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6EC0C">
      <w:pPr>
        <w:widowControl/>
        <w:ind w:firstLine="5046" w:firstLineChars="1147"/>
        <w:rPr>
          <w:rFonts w:eastAsia="黑体"/>
          <w:sz w:val="44"/>
          <w:szCs w:val="44"/>
        </w:rPr>
      </w:pPr>
    </w:p>
    <w:p w14:paraId="62FA50D0">
      <w:pPr>
        <w:widowControl/>
        <w:jc w:val="center"/>
        <w:rPr>
          <w:rFonts w:eastAsia="黑体"/>
          <w:sz w:val="44"/>
          <w:szCs w:val="44"/>
        </w:rPr>
      </w:pPr>
    </w:p>
    <w:p w14:paraId="37FB2E34">
      <w:pPr>
        <w:widowControl/>
        <w:jc w:val="center"/>
        <w:rPr>
          <w:rFonts w:eastAsia="黑体"/>
          <w:sz w:val="44"/>
          <w:szCs w:val="44"/>
        </w:rPr>
      </w:pPr>
    </w:p>
    <w:p w14:paraId="3A285749">
      <w:pPr>
        <w:widowControl/>
        <w:jc w:val="center"/>
        <w:rPr>
          <w:kern w:val="0"/>
          <w:sz w:val="84"/>
          <w:szCs w:val="84"/>
        </w:rPr>
        <w:sectPr>
          <w:footerReference r:id="rId8" w:type="first"/>
          <w:headerReference r:id="rId5" w:type="default"/>
          <w:headerReference r:id="rId6" w:type="even"/>
          <w:footerReference r:id="rId7" w:type="even"/>
          <w:pgSz w:w="11907" w:h="16839"/>
          <w:pgMar w:top="734" w:right="1417" w:bottom="1361" w:left="1418" w:header="170" w:footer="611" w:gutter="0"/>
          <w:pgNumType w:fmt="upperRoman" w:start="1"/>
          <w:cols w:space="720" w:num="1"/>
          <w:docGrid w:type="lines" w:linePitch="312" w:charSpace="0"/>
        </w:sectPr>
      </w:pPr>
      <w:r>
        <w:rPr>
          <w:sz w:val="44"/>
          <w:szCs w:val="44"/>
        </w:rPr>
        <mc:AlternateContent>
          <mc:Choice Requires="wps">
            <w:drawing>
              <wp:anchor distT="0" distB="0" distL="114300" distR="114300" simplePos="0" relativeHeight="251659264" behindDoc="0" locked="0" layoutInCell="1" allowOverlap="1">
                <wp:simplePos x="0" y="0"/>
                <wp:positionH relativeFrom="column">
                  <wp:posOffset>4418330</wp:posOffset>
                </wp:positionH>
                <wp:positionV relativeFrom="paragraph">
                  <wp:posOffset>7357110</wp:posOffset>
                </wp:positionV>
                <wp:extent cx="1501140" cy="464820"/>
                <wp:effectExtent l="0" t="0" r="0" b="0"/>
                <wp:wrapNone/>
                <wp:docPr id="2"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501140" cy="464820"/>
                        </a:xfrm>
                        <a:prstGeom prst="rect">
                          <a:avLst/>
                        </a:prstGeom>
                        <a:noFill/>
                        <a:ln>
                          <a:noFill/>
                        </a:ln>
                      </wps:spPr>
                      <wps:txbx>
                        <w:txbxContent>
                          <w:p w14:paraId="4D7A7B69">
                            <w:pPr>
                              <w:jc w:val="center"/>
                              <w:rPr>
                                <w:rStyle w:val="42"/>
                                <w:rFonts w:hint="eastAsia" w:hAnsi="宋体"/>
                                <w:bCs/>
                                <w:kern w:val="0"/>
                                <w:sz w:val="44"/>
                                <w:szCs w:val="44"/>
                              </w:rPr>
                            </w:pPr>
                            <w:r>
                              <w:rPr>
                                <w:rStyle w:val="42"/>
                                <w:rFonts w:hAnsi="宋体"/>
                                <w:bCs/>
                                <w:kern w:val="0"/>
                                <w:sz w:val="44"/>
                                <w:szCs w:val="44"/>
                              </w:rPr>
                              <w:t>联合发布</w:t>
                            </w:r>
                          </w:p>
                          <w:p w14:paraId="6EDD3FD0">
                            <w:pPr>
                              <w:ind w:firstLine="811"/>
                              <w:jc w:val="center"/>
                              <w:rPr>
                                <w:rStyle w:val="42"/>
                                <w:rFonts w:hint="eastAsia" w:hAnsi="宋体"/>
                                <w:bCs/>
                                <w:kern w:val="0"/>
                                <w:sz w:val="44"/>
                                <w:szCs w:val="44"/>
                              </w:rPr>
                            </w:pP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347.9pt;margin-top:579.3pt;height:36.6pt;width:118.2pt;z-index:251659264;mso-width-relative:page;mso-height-relative:page;" filled="f" stroked="f" coordsize="21600,21600" o:gfxdata="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zfh8dkAAAANAQAADwAA&#10;AAAAAAABACAAAAAiAAAAZHJzL2Rvd25yZXYueG1sUEsBAhQAFAAAAAgAh07iQPtktxwVAgAAFQQA&#10;AA4AAAAAAAAAAQAgAAAAKAEAAGRycy9lMm9Eb2MueG1sUEsFBgAAAAAGAAYAWQEAAK8FAAAAAA==&#10;">
                <v:fill on="f" focussize="0,0"/>
                <v:stroke on="f"/>
                <v:imagedata o:title=""/>
                <o:lock v:ext="edit" aspectratio="f"/>
                <v:textbox>
                  <w:txbxContent>
                    <w:p w14:paraId="4D7A7B69">
                      <w:pPr>
                        <w:jc w:val="center"/>
                        <w:rPr>
                          <w:rStyle w:val="42"/>
                          <w:rFonts w:hint="eastAsia" w:hAnsi="宋体"/>
                          <w:bCs/>
                          <w:kern w:val="0"/>
                          <w:sz w:val="44"/>
                          <w:szCs w:val="44"/>
                        </w:rPr>
                      </w:pPr>
                      <w:r>
                        <w:rPr>
                          <w:rStyle w:val="42"/>
                          <w:rFonts w:hAnsi="宋体"/>
                          <w:bCs/>
                          <w:kern w:val="0"/>
                          <w:sz w:val="44"/>
                          <w:szCs w:val="44"/>
                        </w:rPr>
                        <w:t>联合发布</w:t>
                      </w:r>
                    </w:p>
                    <w:p w14:paraId="6EDD3FD0">
                      <w:pPr>
                        <w:ind w:firstLine="811"/>
                        <w:jc w:val="center"/>
                        <w:rPr>
                          <w:rStyle w:val="42"/>
                          <w:rFonts w:hint="eastAsia" w:hAnsi="宋体"/>
                          <w:bCs/>
                          <w:kern w:val="0"/>
                          <w:sz w:val="44"/>
                          <w:szCs w:val="44"/>
                        </w:rPr>
                      </w:pPr>
                    </w:p>
                  </w:txbxContent>
                </v:textbox>
              </v:shape>
            </w:pict>
          </mc:Fallback>
        </mc:AlternateContent>
      </w:r>
      <w:r>
        <w:rPr>
          <w:sz w:val="44"/>
          <w:szCs w:val="44"/>
        </w:rPr>
        <mc:AlternateContent>
          <mc:Choice Requires="wpg">
            <w:drawing>
              <wp:anchor distT="0" distB="0" distL="114300" distR="114300" simplePos="0" relativeHeight="251663360" behindDoc="0" locked="0" layoutInCell="1" allowOverlap="1">
                <wp:simplePos x="0" y="0"/>
                <wp:positionH relativeFrom="margin">
                  <wp:posOffset>-43815</wp:posOffset>
                </wp:positionH>
                <wp:positionV relativeFrom="paragraph">
                  <wp:posOffset>6539230</wp:posOffset>
                </wp:positionV>
                <wp:extent cx="5826760" cy="1494155"/>
                <wp:effectExtent l="0" t="0" r="21590" b="0"/>
                <wp:wrapNone/>
                <wp:docPr id="3" name="Group 15"/>
                <wp:cNvGraphicFramePr/>
                <a:graphic xmlns:a="http://schemas.openxmlformats.org/drawingml/2006/main">
                  <a:graphicData uri="http://schemas.microsoft.com/office/word/2010/wordprocessingGroup">
                    <wpg:wgp>
                      <wpg:cNvGrpSpPr/>
                      <wpg:grpSpPr>
                        <a:xfrm>
                          <a:off x="0" y="0"/>
                          <a:ext cx="5826760" cy="1494155"/>
                          <a:chOff x="1418" y="13141"/>
                          <a:chExt cx="9176" cy="2353"/>
                        </a:xfrm>
                      </wpg:grpSpPr>
                      <wps:wsp>
                        <wps:cNvPr id="4" name="fmFrame5"/>
                        <wps:cNvSpPr txBox="1">
                          <a:spLocks noChangeArrowheads="1"/>
                        </wps:cNvSpPr>
                        <wps:spPr bwMode="auto">
                          <a:xfrm>
                            <a:off x="1778" y="13157"/>
                            <a:ext cx="3456" cy="593"/>
                          </a:xfrm>
                          <a:prstGeom prst="rect">
                            <a:avLst/>
                          </a:prstGeom>
                          <a:solidFill>
                            <a:srgbClr val="FFFFFF"/>
                          </a:solidFill>
                          <a:ln>
                            <a:noFill/>
                          </a:ln>
                          <a:effectLst/>
                        </wps:spPr>
                        <wps:txbx>
                          <w:txbxContent>
                            <w:p w14:paraId="6887385A">
                              <w:pPr>
                                <w:pStyle w:val="47"/>
                                <w:rPr>
                                  <w:rFonts w:ascii="黑体"/>
                                  <w:sz w:val="32"/>
                                  <w:szCs w:val="32"/>
                                </w:rPr>
                              </w:pPr>
                              <w:r>
                                <w:rPr>
                                  <w:rFonts w:hint="eastAsia" w:ascii="黑体"/>
                                  <w:sz w:val="32"/>
                                  <w:szCs w:val="32"/>
                                </w:rPr>
                                <w:t>2025-××-××发布</w:t>
                              </w:r>
                            </w:p>
                            <w:p w14:paraId="2689B667">
                              <w:pPr>
                                <w:ind w:firstLine="420"/>
                                <w:rPr>
                                  <w:rFonts w:ascii="黑体"/>
                                </w:rPr>
                              </w:pPr>
                            </w:p>
                          </w:txbxContent>
                        </wps:txbx>
                        <wps:bodyPr rot="0" vert="horz" wrap="square" lIns="0" tIns="0" rIns="0" bIns="0" anchor="t" anchorCtr="0" upright="1">
                          <a:noAutofit/>
                        </wps:bodyPr>
                      </wps:wsp>
                      <wps:wsp>
                        <wps:cNvPr id="6" name="fmFrame6"/>
                        <wps:cNvSpPr txBox="1">
                          <a:spLocks noChangeArrowheads="1"/>
                        </wps:cNvSpPr>
                        <wps:spPr bwMode="auto">
                          <a:xfrm>
                            <a:off x="7214" y="13141"/>
                            <a:ext cx="3243" cy="626"/>
                          </a:xfrm>
                          <a:prstGeom prst="rect">
                            <a:avLst/>
                          </a:prstGeom>
                          <a:solidFill>
                            <a:srgbClr val="FFFFFF"/>
                          </a:solidFill>
                          <a:ln>
                            <a:noFill/>
                          </a:ln>
                          <a:effectLst/>
                        </wps:spPr>
                        <wps:txbx>
                          <w:txbxContent>
                            <w:p w14:paraId="5DE229F5">
                              <w:pPr>
                                <w:pStyle w:val="53"/>
                                <w:ind w:left="1860" w:hanging="1860"/>
                                <w:jc w:val="left"/>
                                <w:rPr>
                                  <w:rFonts w:ascii="黑体"/>
                                  <w:sz w:val="32"/>
                                  <w:szCs w:val="32"/>
                                </w:rPr>
                              </w:pPr>
                              <w:r>
                                <w:rPr>
                                  <w:rFonts w:hint="eastAsia" w:ascii="黑体"/>
                                  <w:sz w:val="32"/>
                                  <w:szCs w:val="32"/>
                                </w:rPr>
                                <w:t>2025-××-××实施</w:t>
                              </w:r>
                            </w:p>
                            <w:p w14:paraId="48709191">
                              <w:pPr>
                                <w:ind w:firstLine="420"/>
                                <w:rPr>
                                  <w:rFonts w:ascii="黑体"/>
                                </w:rPr>
                              </w:pPr>
                            </w:p>
                          </w:txbxContent>
                        </wps:txbx>
                        <wps:bodyPr rot="0" vert="horz" wrap="square" lIns="0" tIns="0" rIns="0" bIns="0" anchor="t" anchorCtr="0" upright="1">
                          <a:noAutofit/>
                        </wps:bodyPr>
                      </wps:wsp>
                      <wps:wsp>
                        <wps:cNvPr id="7" name="fmFrame7"/>
                        <wps:cNvSpPr txBox="1">
                          <a:spLocks noChangeArrowheads="1"/>
                        </wps:cNvSpPr>
                        <wps:spPr bwMode="auto">
                          <a:xfrm>
                            <a:off x="1646" y="14132"/>
                            <a:ext cx="6822" cy="1362"/>
                          </a:xfrm>
                          <a:prstGeom prst="rect">
                            <a:avLst/>
                          </a:prstGeom>
                          <a:solidFill>
                            <a:srgbClr val="FFFFFF"/>
                          </a:solidFill>
                          <a:ln>
                            <a:noFill/>
                          </a:ln>
                          <a:effectLst/>
                        </wps:spPr>
                        <wps:txbx>
                          <w:txbxContent>
                            <w:p w14:paraId="430E9703">
                              <w:pPr>
                                <w:pStyle w:val="48"/>
                                <w:snapToGrid w:val="0"/>
                                <w:spacing w:line="300" w:lineRule="auto"/>
                                <w:ind w:firstLine="0" w:firstLineChars="0"/>
                                <w:jc w:val="distribute"/>
                                <w:rPr>
                                  <w:rFonts w:hint="eastAsia" w:ascii="黑体" w:hAnsi="黑体" w:eastAsia="黑体"/>
                                  <w:bCs/>
                                  <w:spacing w:val="-40"/>
                                  <w:w w:val="135"/>
                                  <w:sz w:val="44"/>
                                  <w:szCs w:val="44"/>
                                </w:rPr>
                              </w:pPr>
                              <w:r>
                                <w:rPr>
                                  <w:rFonts w:hint="eastAsia" w:ascii="黑体" w:hAnsi="黑体" w:eastAsia="黑体"/>
                                  <w:bCs/>
                                  <w:spacing w:val="-40"/>
                                  <w:w w:val="135"/>
                                  <w:sz w:val="44"/>
                                  <w:szCs w:val="44"/>
                                </w:rPr>
                                <w:t>北京市住房和</w:t>
                              </w:r>
                              <w:r>
                                <w:rPr>
                                  <w:rFonts w:hint="eastAsia" w:ascii="黑体" w:hAnsi="黑体" w:eastAsia="黑体"/>
                                  <w:bCs/>
                                  <w:spacing w:val="-20"/>
                                  <w:w w:val="135"/>
                                  <w:sz w:val="44"/>
                                  <w:szCs w:val="44"/>
                                </w:rPr>
                                <w:t>城乡</w:t>
                              </w:r>
                              <w:r>
                                <w:rPr>
                                  <w:rFonts w:hint="eastAsia" w:ascii="黑体" w:hAnsi="黑体" w:eastAsia="黑体"/>
                                  <w:bCs/>
                                  <w:spacing w:val="-40"/>
                                  <w:w w:val="135"/>
                                  <w:sz w:val="44"/>
                                  <w:szCs w:val="44"/>
                                </w:rPr>
                                <w:t>建设委员会</w:t>
                              </w:r>
                            </w:p>
                            <w:p w14:paraId="21C433D8">
                              <w:pPr>
                                <w:pStyle w:val="48"/>
                                <w:snapToGrid w:val="0"/>
                                <w:spacing w:line="300" w:lineRule="auto"/>
                                <w:ind w:firstLine="0" w:firstLineChars="0"/>
                                <w:jc w:val="distribute"/>
                                <w:rPr>
                                  <w:rFonts w:hint="eastAsia" w:ascii="黑体" w:hAnsi="黑体" w:eastAsia="黑体"/>
                                  <w:bCs/>
                                  <w:spacing w:val="-20"/>
                                  <w:w w:val="135"/>
                                  <w:sz w:val="44"/>
                                  <w:szCs w:val="44"/>
                                </w:rPr>
                              </w:pPr>
                              <w:r>
                                <w:rPr>
                                  <w:rFonts w:hint="eastAsia" w:ascii="黑体" w:hAnsi="黑体" w:eastAsia="黑体"/>
                                  <w:bCs/>
                                  <w:spacing w:val="-20"/>
                                  <w:w w:val="135"/>
                                  <w:sz w:val="44"/>
                                  <w:szCs w:val="44"/>
                                </w:rPr>
                                <w:t>北京市市场监督管理局</w:t>
                              </w:r>
                            </w:p>
                            <w:p w14:paraId="7F05B291">
                              <w:pPr>
                                <w:pStyle w:val="48"/>
                                <w:ind w:firstLine="880"/>
                                <w:jc w:val="distribute"/>
                                <w:rPr>
                                  <w:rFonts w:hint="eastAsia" w:ascii="黑体" w:hAnsi="黑体" w:eastAsia="黑体"/>
                                  <w:bCs/>
                                  <w:sz w:val="44"/>
                                  <w:szCs w:val="44"/>
                                </w:rPr>
                              </w:pPr>
                            </w:p>
                            <w:p w14:paraId="18A0615C">
                              <w:pPr>
                                <w:ind w:firstLine="420"/>
                                <w:jc w:val="distribute"/>
                                <w:rPr>
                                  <w:rFonts w:hint="eastAsia" w:ascii="黑体" w:hAnsi="黑体" w:eastAsia="黑体"/>
                                  <w:bCs/>
                                  <w:sz w:val="44"/>
                                  <w:szCs w:val="44"/>
                                </w:rPr>
                              </w:pPr>
                            </w:p>
                          </w:txbxContent>
                        </wps:txbx>
                        <wps:bodyPr rot="0" vert="horz" wrap="square" lIns="0" tIns="0" rIns="0" bIns="0" anchor="ctr" anchorCtr="0" upright="1">
                          <a:noAutofit/>
                        </wps:bodyPr>
                      </wps:wsp>
                      <wps:wsp>
                        <wps:cNvPr id="8" name="直线 31"/>
                        <wps:cNvCnPr>
                          <a:cxnSpLocks noChangeShapeType="1"/>
                        </wps:cNvCnPr>
                        <wps:spPr bwMode="auto">
                          <a:xfrm flipV="1">
                            <a:off x="1418" y="13767"/>
                            <a:ext cx="9176" cy="9"/>
                          </a:xfrm>
                          <a:prstGeom prst="line">
                            <a:avLst/>
                          </a:prstGeom>
                          <a:noFill/>
                          <a:ln w="12700">
                            <a:solidFill>
                              <a:srgbClr val="800008"/>
                            </a:solidFill>
                            <a:round/>
                          </a:ln>
                          <a:effectLst/>
                        </wps:spPr>
                        <wps:bodyPr/>
                      </wps:wsp>
                    </wpg:wgp>
                  </a:graphicData>
                </a:graphic>
              </wp:anchor>
            </w:drawing>
          </mc:Choice>
          <mc:Fallback>
            <w:pict>
              <v:group id="Group 15" o:spid="_x0000_s1026" o:spt="203" style="position:absolute;left:0pt;margin-left:-3.45pt;margin-top:514.9pt;height:117.65pt;width:458.8pt;mso-position-horizontal-relative:margin;z-index:251663360;mso-width-relative:page;mso-height-relative:page;" coordorigin="1418,13141" coordsize="9176,2353" o:gfxdata="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rtuDctsAAAAMAQAADwAA&#10;AAAAAAABACAAAAAiAAAAZHJzL2Rvd25yZXYueG1sUEsBAhQAFAAAAAgAh07iQPuDJ31pAwAACAwA&#10;AA4AAAAAAAAAAQAgAAAAKgEAAGRycy9lMm9Eb2MueG1sUEsFBgAAAAAGAAYAWQEAAAUHAAAAAA==&#10;">
                <o:lock v:ext="edit" aspectratio="f"/>
                <v:shape id="fmFrame5" o:spid="_x0000_s1026" o:spt="202" type="#_x0000_t202" style="position:absolute;left:1778;top:13157;height:593;width:3456;" fillcolor="#FFFFFF" filled="t" stroked="f" coordsize="21600,21600" o:gfxdata="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d7yvQAA&#10;ANo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14:paraId="6887385A">
                        <w:pPr>
                          <w:pStyle w:val="47"/>
                          <w:rPr>
                            <w:rFonts w:ascii="黑体"/>
                            <w:sz w:val="32"/>
                            <w:szCs w:val="32"/>
                          </w:rPr>
                        </w:pPr>
                        <w:r>
                          <w:rPr>
                            <w:rFonts w:hint="eastAsia" w:ascii="黑体"/>
                            <w:sz w:val="32"/>
                            <w:szCs w:val="32"/>
                          </w:rPr>
                          <w:t>2025-××-××发布</w:t>
                        </w:r>
                      </w:p>
                      <w:p w14:paraId="2689B667">
                        <w:pPr>
                          <w:ind w:firstLine="420"/>
                          <w:rPr>
                            <w:rFonts w:ascii="黑体"/>
                          </w:rPr>
                        </w:pPr>
                      </w:p>
                    </w:txbxContent>
                  </v:textbox>
                </v:shape>
                <v:shape id="fmFrame6" o:spid="_x0000_s1026" o:spt="202" type="#_x0000_t202" style="position:absolute;left:7214;top:13141;height:626;width:3243;" fillcolor="#FFFFFF" filled="t" stroked="f" coordsize="21600,21600" o:gfxdata="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CflHrgAAADa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14:paraId="5DE229F5">
                        <w:pPr>
                          <w:pStyle w:val="53"/>
                          <w:ind w:left="1860" w:hanging="1860"/>
                          <w:jc w:val="left"/>
                          <w:rPr>
                            <w:rFonts w:ascii="黑体"/>
                            <w:sz w:val="32"/>
                            <w:szCs w:val="32"/>
                          </w:rPr>
                        </w:pPr>
                        <w:r>
                          <w:rPr>
                            <w:rFonts w:hint="eastAsia" w:ascii="黑体"/>
                            <w:sz w:val="32"/>
                            <w:szCs w:val="32"/>
                          </w:rPr>
                          <w:t>2025-××-××实施</w:t>
                        </w:r>
                      </w:p>
                      <w:p w14:paraId="48709191">
                        <w:pPr>
                          <w:ind w:firstLine="420"/>
                          <w:rPr>
                            <w:rFonts w:ascii="黑体"/>
                          </w:rPr>
                        </w:pPr>
                      </w:p>
                    </w:txbxContent>
                  </v:textbox>
                </v:shape>
                <v:shape id="fmFrame7" o:spid="_x0000_s1026" o:spt="202" type="#_x0000_t202" style="position:absolute;left:1646;top:14132;height:1362;width:6822;v-text-anchor:middle;" fillcolor="#FFFFFF" filled="t" stroked="f" coordsize="21600,21600" o:gfxdata="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W5GbsAAADa&#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14:paraId="430E9703">
                        <w:pPr>
                          <w:pStyle w:val="48"/>
                          <w:snapToGrid w:val="0"/>
                          <w:spacing w:line="300" w:lineRule="auto"/>
                          <w:ind w:firstLine="0" w:firstLineChars="0"/>
                          <w:jc w:val="distribute"/>
                          <w:rPr>
                            <w:rFonts w:hint="eastAsia" w:ascii="黑体" w:hAnsi="黑体" w:eastAsia="黑体"/>
                            <w:bCs/>
                            <w:spacing w:val="-40"/>
                            <w:w w:val="135"/>
                            <w:sz w:val="44"/>
                            <w:szCs w:val="44"/>
                          </w:rPr>
                        </w:pPr>
                        <w:r>
                          <w:rPr>
                            <w:rFonts w:hint="eastAsia" w:ascii="黑体" w:hAnsi="黑体" w:eastAsia="黑体"/>
                            <w:bCs/>
                            <w:spacing w:val="-40"/>
                            <w:w w:val="135"/>
                            <w:sz w:val="44"/>
                            <w:szCs w:val="44"/>
                          </w:rPr>
                          <w:t>北京市住房和</w:t>
                        </w:r>
                        <w:r>
                          <w:rPr>
                            <w:rFonts w:hint="eastAsia" w:ascii="黑体" w:hAnsi="黑体" w:eastAsia="黑体"/>
                            <w:bCs/>
                            <w:spacing w:val="-20"/>
                            <w:w w:val="135"/>
                            <w:sz w:val="44"/>
                            <w:szCs w:val="44"/>
                          </w:rPr>
                          <w:t>城乡</w:t>
                        </w:r>
                        <w:r>
                          <w:rPr>
                            <w:rFonts w:hint="eastAsia" w:ascii="黑体" w:hAnsi="黑体" w:eastAsia="黑体"/>
                            <w:bCs/>
                            <w:spacing w:val="-40"/>
                            <w:w w:val="135"/>
                            <w:sz w:val="44"/>
                            <w:szCs w:val="44"/>
                          </w:rPr>
                          <w:t>建设委员会</w:t>
                        </w:r>
                      </w:p>
                      <w:p w14:paraId="21C433D8">
                        <w:pPr>
                          <w:pStyle w:val="48"/>
                          <w:snapToGrid w:val="0"/>
                          <w:spacing w:line="300" w:lineRule="auto"/>
                          <w:ind w:firstLine="0" w:firstLineChars="0"/>
                          <w:jc w:val="distribute"/>
                          <w:rPr>
                            <w:rFonts w:hint="eastAsia" w:ascii="黑体" w:hAnsi="黑体" w:eastAsia="黑体"/>
                            <w:bCs/>
                            <w:spacing w:val="-20"/>
                            <w:w w:val="135"/>
                            <w:sz w:val="44"/>
                            <w:szCs w:val="44"/>
                          </w:rPr>
                        </w:pPr>
                        <w:r>
                          <w:rPr>
                            <w:rFonts w:hint="eastAsia" w:ascii="黑体" w:hAnsi="黑体" w:eastAsia="黑体"/>
                            <w:bCs/>
                            <w:spacing w:val="-20"/>
                            <w:w w:val="135"/>
                            <w:sz w:val="44"/>
                            <w:szCs w:val="44"/>
                          </w:rPr>
                          <w:t>北京市市场监督管理局</w:t>
                        </w:r>
                      </w:p>
                      <w:p w14:paraId="7F05B291">
                        <w:pPr>
                          <w:pStyle w:val="48"/>
                          <w:ind w:firstLine="880"/>
                          <w:jc w:val="distribute"/>
                          <w:rPr>
                            <w:rFonts w:hint="eastAsia" w:ascii="黑体" w:hAnsi="黑体" w:eastAsia="黑体"/>
                            <w:bCs/>
                            <w:sz w:val="44"/>
                            <w:szCs w:val="44"/>
                          </w:rPr>
                        </w:pPr>
                      </w:p>
                      <w:p w14:paraId="18A0615C">
                        <w:pPr>
                          <w:ind w:firstLine="420"/>
                          <w:jc w:val="distribute"/>
                          <w:rPr>
                            <w:rFonts w:hint="eastAsia" w:ascii="黑体" w:hAnsi="黑体" w:eastAsia="黑体"/>
                            <w:bCs/>
                            <w:sz w:val="44"/>
                            <w:szCs w:val="44"/>
                          </w:rPr>
                        </w:pPr>
                      </w:p>
                    </w:txbxContent>
                  </v:textbox>
                </v:shape>
                <v:line id="直线 31" o:spid="_x0000_s1026" o:spt="20" style="position:absolute;left:1418;top:13767;flip:y;height:9;width:9176;" filled="f" stroked="t" coordsize="21600,21600" o:gfxdata="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r+LW8AAAA&#10;2gAAAA8AAAAAAAAAAQAgAAAAIgAAAGRycy9kb3ducmV2LnhtbFBLAQIUABQAAAAIAIdO4kAzLwWe&#10;OwAAADkAAAAQAAAAAAAAAAEAIAAAAAsBAABkcnMvc2hhcGV4bWwueG1sUEsFBgAAAAAGAAYAWwEA&#10;ALUDAAAAAA==&#10;">
                  <v:fill on="f" focussize="0,0"/>
                  <v:stroke weight="1pt" color="#800008" joinstyle="round"/>
                  <v:imagedata o:title=""/>
                  <o:lock v:ext="edit" aspectratio="f"/>
                </v:line>
              </v:group>
            </w:pict>
          </mc:Fallback>
        </mc:AlternateContent>
      </w:r>
      <w:r>
        <w:rPr>
          <w:sz w:val="44"/>
          <w:szCs w:val="44"/>
        </w:rPr>
        <mc:AlternateContent>
          <mc:Choice Requires="wps">
            <w:drawing>
              <wp:anchor distT="0" distB="0" distL="114300" distR="114300" simplePos="0" relativeHeight="251662336" behindDoc="0" locked="0" layoutInCell="1" allowOverlap="1">
                <wp:simplePos x="0" y="0"/>
                <wp:positionH relativeFrom="column">
                  <wp:posOffset>-68580</wp:posOffset>
                </wp:positionH>
                <wp:positionV relativeFrom="paragraph">
                  <wp:posOffset>1359535</wp:posOffset>
                </wp:positionV>
                <wp:extent cx="5867400" cy="0"/>
                <wp:effectExtent l="0" t="6350" r="0" b="6350"/>
                <wp:wrapNone/>
                <wp:docPr id="1" name="直线 26"/>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2700">
                          <a:solidFill>
                            <a:srgbClr val="800008"/>
                          </a:solidFill>
                          <a:round/>
                        </a:ln>
                        <a:effectLst/>
                      </wps:spPr>
                      <wps:bodyPr/>
                    </wps:wsp>
                  </a:graphicData>
                </a:graphic>
              </wp:anchor>
            </w:drawing>
          </mc:Choice>
          <mc:Fallback>
            <w:pict>
              <v:line id="直线 26" o:spid="_x0000_s1026" o:spt="20" style="position:absolute;left:0pt;margin-left:-5.4pt;margin-top:107.05pt;height:0pt;width:462pt;z-index:251662336;mso-width-relative:page;mso-height-relative:page;" filled="f" stroked="t" coordsize="21600,21600" o:gfxdata="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5p2mnXAAAACwEAAA8AAAAA&#10;AAAAAQAgAAAAIgAAAGRycy9kb3ducmV2LnhtbFBLAQIUABQAAAAIAIdO4kCzRIUz3AEAALEDAAAO&#10;AAAAAAAAAAEAIAAAACYBAABkcnMvZTJvRG9jLnhtbFBLBQYAAAAABgAGAFkBAAB0BQAAAAA=&#10;">
                <v:fill on="f" focussize="0,0"/>
                <v:stroke weight="1pt" color="#800008" joinstyle="round"/>
                <v:imagedata o:title=""/>
                <o:lock v:ext="edit" aspectratio="f"/>
              </v:line>
            </w:pict>
          </mc:Fallback>
        </mc:AlternateContent>
      </w:r>
      <w:r>
        <w:rPr>
          <w:sz w:val="44"/>
          <w:szCs w:val="44"/>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913765</wp:posOffset>
                </wp:positionV>
                <wp:extent cx="5771515" cy="387350"/>
                <wp:effectExtent l="0" t="0" r="635" b="12700"/>
                <wp:wrapNone/>
                <wp:docPr id="9" name="fmFrame3"/>
                <wp:cNvGraphicFramePr/>
                <a:graphic xmlns:a="http://schemas.openxmlformats.org/drawingml/2006/main">
                  <a:graphicData uri="http://schemas.microsoft.com/office/word/2010/wordprocessingShape">
                    <wps:wsp>
                      <wps:cNvSpPr txBox="1">
                        <a:spLocks noChangeArrowheads="1"/>
                      </wps:cNvSpPr>
                      <wps:spPr bwMode="auto">
                        <a:xfrm>
                          <a:off x="0" y="0"/>
                          <a:ext cx="5771515" cy="387350"/>
                        </a:xfrm>
                        <a:prstGeom prst="rect">
                          <a:avLst/>
                        </a:prstGeom>
                        <a:solidFill>
                          <a:srgbClr val="FFFFFF"/>
                        </a:solidFill>
                        <a:ln>
                          <a:noFill/>
                        </a:ln>
                        <a:effectLst/>
                      </wps:spPr>
                      <wps:txbx>
                        <w:txbxContent>
                          <w:p w14:paraId="002F6DAD">
                            <w:pPr>
                              <w:autoSpaceDE w:val="0"/>
                              <w:autoSpaceDN w:val="0"/>
                              <w:adjustRightInd w:val="0"/>
                              <w:snapToGrid w:val="0"/>
                              <w:spacing w:after="0" w:line="240" w:lineRule="auto"/>
                              <w:ind w:firstLine="6335" w:firstLineChars="3017"/>
                              <w:rPr>
                                <w:rFonts w:hint="eastAsia" w:ascii="方正黑体_GBK" w:hAnsi="方正黑体_GBK" w:eastAsia="方正黑体_GBK" w:cs="方正黑体_GBK"/>
                                <w:bCs/>
                                <w:szCs w:val="21"/>
                                <w:lang w:val="nl-NL"/>
                              </w:rPr>
                            </w:pPr>
                            <w:r>
                              <w:rPr>
                                <w:rFonts w:hint="eastAsia" w:ascii="方正黑体_GBK" w:hAnsi="方正黑体_GBK" w:eastAsia="方正黑体_GBK" w:cs="方正黑体_GBK"/>
                                <w:bCs/>
                                <w:szCs w:val="21"/>
                                <w:lang w:val="nl-NL"/>
                              </w:rPr>
                              <w:t>编  号：DB11/T XXX-202x</w:t>
                            </w:r>
                          </w:p>
                          <w:p w14:paraId="368F4277">
                            <w:pPr>
                              <w:autoSpaceDE w:val="0"/>
                              <w:autoSpaceDN w:val="0"/>
                              <w:adjustRightInd w:val="0"/>
                              <w:snapToGrid w:val="0"/>
                              <w:spacing w:after="0" w:line="240" w:lineRule="auto"/>
                              <w:ind w:firstLine="6335" w:firstLineChars="3017"/>
                              <w:rPr>
                                <w:rFonts w:hint="eastAsia" w:ascii="方正黑体_GBK" w:hAnsi="方正黑体_GBK" w:eastAsia="方正黑体_GBK" w:cs="方正黑体_GBK"/>
                                <w:bCs/>
                                <w:szCs w:val="21"/>
                                <w:lang w:val="nl-NL"/>
                              </w:rPr>
                            </w:pPr>
                            <w:r>
                              <w:rPr>
                                <w:rFonts w:hint="eastAsia" w:ascii="方正黑体_GBK" w:hAnsi="方正黑体_GBK" w:eastAsia="方正黑体_GBK" w:cs="方正黑体_GBK"/>
                                <w:bCs/>
                                <w:szCs w:val="21"/>
                                <w:lang w:val="nl-NL"/>
                              </w:rPr>
                              <w:t>备案号：J1XXXXXXX-202X</w:t>
                            </w:r>
                          </w:p>
                        </w:txbxContent>
                      </wps:txbx>
                      <wps:bodyPr rot="0" vert="horz" wrap="square" lIns="0" tIns="0" rIns="0" bIns="0" anchor="t" anchorCtr="0" upright="1">
                        <a:noAutofit/>
                      </wps:bodyPr>
                    </wps:wsp>
                  </a:graphicData>
                </a:graphic>
              </wp:anchor>
            </w:drawing>
          </mc:Choice>
          <mc:Fallback>
            <w:pict>
              <v:shape id="fmFrame3" o:spid="_x0000_s1026" o:spt="202" type="#_x0000_t202" style="position:absolute;left:0pt;margin-left:0.6pt;margin-top:71.95pt;height:30.5pt;width:454.45pt;z-index:251660288;mso-width-relative:page;mso-height-relative:page;" fillcolor="#FFFFFF" filled="t" stroked="f" coordsize="21600,21600" o:gfxdata="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KGUj2AAAAAkBAAAPAAAA&#10;AAAAAAEAIAAAACIAAABkcnMvZG93bnJldi54bWxQSwECFAAUAAAACACHTuJAivJVhxUCAAA5BAAA&#10;DgAAAAAAAAABACAAAAAnAQAAZHJzL2Uyb0RvYy54bWxQSwUGAAAAAAYABgBZAQAArgUAAAAA&#10;">
                <v:fill on="t" focussize="0,0"/>
                <v:stroke on="f"/>
                <v:imagedata o:title=""/>
                <o:lock v:ext="edit" aspectratio="f"/>
                <v:textbox inset="0mm,0mm,0mm,0mm">
                  <w:txbxContent>
                    <w:p w14:paraId="002F6DAD">
                      <w:pPr>
                        <w:autoSpaceDE w:val="0"/>
                        <w:autoSpaceDN w:val="0"/>
                        <w:adjustRightInd w:val="0"/>
                        <w:snapToGrid w:val="0"/>
                        <w:spacing w:after="0" w:line="240" w:lineRule="auto"/>
                        <w:ind w:firstLine="6335" w:firstLineChars="3017"/>
                        <w:rPr>
                          <w:rFonts w:hint="eastAsia" w:ascii="方正黑体_GBK" w:hAnsi="方正黑体_GBK" w:eastAsia="方正黑体_GBK" w:cs="方正黑体_GBK"/>
                          <w:bCs/>
                          <w:szCs w:val="21"/>
                          <w:lang w:val="nl-NL"/>
                        </w:rPr>
                      </w:pPr>
                      <w:r>
                        <w:rPr>
                          <w:rFonts w:hint="eastAsia" w:ascii="方正黑体_GBK" w:hAnsi="方正黑体_GBK" w:eastAsia="方正黑体_GBK" w:cs="方正黑体_GBK"/>
                          <w:bCs/>
                          <w:szCs w:val="21"/>
                          <w:lang w:val="nl-NL"/>
                        </w:rPr>
                        <w:t>编  号：DB11/T XXX-202x</w:t>
                      </w:r>
                    </w:p>
                    <w:p w14:paraId="368F4277">
                      <w:pPr>
                        <w:autoSpaceDE w:val="0"/>
                        <w:autoSpaceDN w:val="0"/>
                        <w:adjustRightInd w:val="0"/>
                        <w:snapToGrid w:val="0"/>
                        <w:spacing w:after="0" w:line="240" w:lineRule="auto"/>
                        <w:ind w:firstLine="6335" w:firstLineChars="3017"/>
                        <w:rPr>
                          <w:rFonts w:hint="eastAsia" w:ascii="方正黑体_GBK" w:hAnsi="方正黑体_GBK" w:eastAsia="方正黑体_GBK" w:cs="方正黑体_GBK"/>
                          <w:bCs/>
                          <w:szCs w:val="21"/>
                          <w:lang w:val="nl-NL"/>
                        </w:rPr>
                      </w:pPr>
                      <w:r>
                        <w:rPr>
                          <w:rFonts w:hint="eastAsia" w:ascii="方正黑体_GBK" w:hAnsi="方正黑体_GBK" w:eastAsia="方正黑体_GBK" w:cs="方正黑体_GBK"/>
                          <w:bCs/>
                          <w:szCs w:val="21"/>
                          <w:lang w:val="nl-NL"/>
                        </w:rPr>
                        <w:t>备案号：J1XXXXXXX-202X</w:t>
                      </w:r>
                    </w:p>
                  </w:txbxContent>
                </v:textbox>
              </v:shape>
            </w:pict>
          </mc:Fallback>
        </mc:AlternateContent>
      </w:r>
      <w:r>
        <w:rPr>
          <w:rFonts w:hint="eastAsia" w:eastAsia="黑体"/>
          <w:sz w:val="44"/>
          <w:szCs w:val="44"/>
        </w:rPr>
        <w:t xml:space="preserve"> </w:t>
      </w:r>
      <w:r>
        <w:rPr>
          <w:rFonts w:eastAsia="黑体"/>
          <w:sz w:val="44"/>
          <w:szCs w:val="44"/>
        </w:rPr>
        <w:t>北京市地方标准</w:t>
      </w:r>
      <w:r>
        <w:rPr>
          <w:rFonts w:eastAsia="黑体"/>
          <w:sz w:val="48"/>
        </w:rPr>
        <w:tab/>
      </w:r>
      <w:r>
        <w:rPr>
          <w:rFonts w:eastAsia="黑体"/>
          <w:sz w:val="48"/>
        </w:rPr>
        <w:t xml:space="preserve">   </w:t>
      </w:r>
      <w:r>
        <w:rPr>
          <w:rFonts w:eastAsia="黑体"/>
          <w:position w:val="-23"/>
          <w:sz w:val="84"/>
          <w:szCs w:val="84"/>
        </w:rPr>
        <w:t>DB</w:t>
      </w:r>
      <w:r>
        <w:rPr>
          <w:sz w:val="84"/>
          <w:szCs w:val="84"/>
        </w:rPr>
        <mc:AlternateContent>
          <mc:Choice Requires="wps">
            <w:drawing>
              <wp:anchor distT="0" distB="0" distL="114300" distR="114300" simplePos="0" relativeHeight="251661312" behindDoc="0" locked="0" layoutInCell="1" allowOverlap="1">
                <wp:simplePos x="0" y="0"/>
                <wp:positionH relativeFrom="column">
                  <wp:posOffset>-78105</wp:posOffset>
                </wp:positionH>
                <wp:positionV relativeFrom="paragraph">
                  <wp:posOffset>2657475</wp:posOffset>
                </wp:positionV>
                <wp:extent cx="5771515" cy="3413125"/>
                <wp:effectExtent l="0" t="0" r="635" b="15875"/>
                <wp:wrapNone/>
                <wp:docPr id="10" name="fmFrame4"/>
                <wp:cNvGraphicFramePr/>
                <a:graphic xmlns:a="http://schemas.openxmlformats.org/drawingml/2006/main">
                  <a:graphicData uri="http://schemas.microsoft.com/office/word/2010/wordprocessingShape">
                    <wps:wsp>
                      <wps:cNvSpPr txBox="1">
                        <a:spLocks noChangeArrowheads="1"/>
                      </wps:cNvSpPr>
                      <wps:spPr bwMode="auto">
                        <a:xfrm>
                          <a:off x="0" y="0"/>
                          <a:ext cx="5771515" cy="3413125"/>
                        </a:xfrm>
                        <a:prstGeom prst="rect">
                          <a:avLst/>
                        </a:prstGeom>
                        <a:solidFill>
                          <a:srgbClr val="FFFFFF"/>
                        </a:solidFill>
                        <a:ln>
                          <a:noFill/>
                        </a:ln>
                        <a:effectLst/>
                      </wps:spPr>
                      <wps:txbx>
                        <w:txbxContent>
                          <w:p w14:paraId="5B165B16">
                            <w:pPr>
                              <w:jc w:val="center"/>
                              <w:rPr>
                                <w:rFonts w:hint="eastAsia" w:ascii="黑体" w:hAnsi="黑体" w:eastAsia="黑体"/>
                                <w:sz w:val="52"/>
                                <w:szCs w:val="52"/>
                              </w:rPr>
                            </w:pPr>
                            <w:r>
                              <w:rPr>
                                <w:rFonts w:hint="eastAsia" w:ascii="黑体" w:hAnsi="黑体" w:eastAsia="黑体"/>
                                <w:snapToGrid w:val="0"/>
                                <w:sz w:val="52"/>
                                <w:szCs w:val="52"/>
                              </w:rPr>
                              <w:t>装配式工业厂房建设技术规程</w:t>
                            </w:r>
                          </w:p>
                          <w:p w14:paraId="03B15222">
                            <w:pPr>
                              <w:pStyle w:val="61"/>
                              <w:snapToGrid w:val="0"/>
                              <w:spacing w:before="0" w:line="240" w:lineRule="auto"/>
                              <w:rPr>
                                <w:rStyle w:val="31"/>
                                <w:rFonts w:eastAsia="宋体"/>
                                <w:b w:val="0"/>
                                <w:bCs/>
                              </w:rPr>
                            </w:pPr>
                            <w:r>
                              <w:rPr>
                                <w:rFonts w:hint="eastAsia"/>
                                <w:b/>
                                <w:bCs/>
                                <w:sz w:val="36"/>
                                <w:szCs w:val="36"/>
                              </w:rPr>
                              <w:t>Technical Specification for the Construction of Prefabricated Industrial Buildings</w:t>
                            </w:r>
                          </w:p>
                          <w:p w14:paraId="44A88E7C">
                            <w:pPr>
                              <w:pStyle w:val="61"/>
                              <w:snapToGrid w:val="0"/>
                              <w:spacing w:before="0" w:line="240" w:lineRule="auto"/>
                              <w:rPr>
                                <w:rStyle w:val="31"/>
                                <w:rFonts w:hint="eastAsia" w:ascii="黑体" w:hAnsi="黑体" w:eastAsia="黑体"/>
                                <w:b w:val="0"/>
                                <w:sz w:val="32"/>
                                <w:szCs w:val="32"/>
                              </w:rPr>
                            </w:pPr>
                            <w:r>
                              <w:rPr>
                                <w:rStyle w:val="31"/>
                                <w:rFonts w:hint="eastAsia" w:ascii="黑体" w:hAnsi="黑体" w:eastAsia="黑体"/>
                                <w:b w:val="0"/>
                                <w:sz w:val="32"/>
                                <w:szCs w:val="32"/>
                              </w:rPr>
                              <w:t>（征求意见稿）</w:t>
                            </w:r>
                          </w:p>
                          <w:p w14:paraId="116F045D">
                            <w:pPr>
                              <w:pStyle w:val="61"/>
                              <w:snapToGrid w:val="0"/>
                              <w:spacing w:before="0" w:line="240" w:lineRule="auto"/>
                              <w:rPr>
                                <w:rStyle w:val="31"/>
                                <w:rFonts w:hint="eastAsia" w:ascii="黑体" w:hAnsi="黑体" w:eastAsia="黑体"/>
                                <w:b w:val="0"/>
                                <w:sz w:val="32"/>
                                <w:szCs w:val="32"/>
                              </w:rPr>
                            </w:pPr>
                          </w:p>
                          <w:p w14:paraId="6B072B0A">
                            <w:pPr>
                              <w:pStyle w:val="60"/>
                              <w:spacing w:line="240" w:lineRule="auto"/>
                              <w:ind w:firstLine="480"/>
                            </w:pPr>
                          </w:p>
                          <w:p w14:paraId="0D0B14E0">
                            <w:pPr>
                              <w:pStyle w:val="58"/>
                              <w:spacing w:line="240" w:lineRule="auto"/>
                              <w:ind w:firstLine="420"/>
                            </w:pPr>
                          </w:p>
                          <w:p w14:paraId="7D2C7AC3">
                            <w:pPr>
                              <w:pStyle w:val="57"/>
                              <w:spacing w:line="240" w:lineRule="auto"/>
                              <w:ind w:left="5250" w:firstLine="420"/>
                            </w:pPr>
                          </w:p>
                          <w:p w14:paraId="2E6E7D2F">
                            <w:pPr>
                              <w:ind w:firstLine="420"/>
                            </w:pPr>
                          </w:p>
                          <w:p w14:paraId="5FC52EBE">
                            <w:pPr>
                              <w:ind w:firstLine="420"/>
                            </w:pPr>
                          </w:p>
                          <w:p w14:paraId="2A9F117B">
                            <w:pPr>
                              <w:ind w:firstLine="420"/>
                            </w:pPr>
                          </w:p>
                          <w:p w14:paraId="336E6916">
                            <w:pPr>
                              <w:ind w:firstLine="420"/>
                            </w:pPr>
                          </w:p>
                          <w:p w14:paraId="2DC23CD2">
                            <w:pPr>
                              <w:ind w:firstLine="420"/>
                            </w:pPr>
                          </w:p>
                        </w:txbxContent>
                      </wps:txbx>
                      <wps:bodyPr rot="0" vert="horz" wrap="square" lIns="0" tIns="0" rIns="0" bIns="0" anchor="t" anchorCtr="0" upright="1">
                        <a:noAutofit/>
                      </wps:bodyPr>
                    </wps:wsp>
                  </a:graphicData>
                </a:graphic>
              </wp:anchor>
            </w:drawing>
          </mc:Choice>
          <mc:Fallback>
            <w:pict>
              <v:shape id="fmFrame4" o:spid="_x0000_s1026" o:spt="202" type="#_x0000_t202" style="position:absolute;left:0pt;margin-left:-6.15pt;margin-top:209.25pt;height:268.75pt;width:454.45pt;z-index:251661312;mso-width-relative:page;mso-height-relative:page;" fillcolor="#FFFFFF" filled="t" stroked="f" coordsize="21600,21600" o:gfxdata="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ihJwNsAAAALAQAA&#10;DwAAAAAAAAABACAAAAAiAAAAZHJzL2Rvd25yZXYueG1sUEsBAhQAFAAAAAgAh07iQD0CsvsWAgAA&#10;OwQAAA4AAAAAAAAAAQAgAAAAKgEAAGRycy9lMm9Eb2MueG1sUEsFBgAAAAAGAAYAWQEAALIFAAAA&#10;AA==&#10;">
                <v:fill on="t" focussize="0,0"/>
                <v:stroke on="f"/>
                <v:imagedata o:title=""/>
                <o:lock v:ext="edit" aspectratio="f"/>
                <v:textbox inset="0mm,0mm,0mm,0mm">
                  <w:txbxContent>
                    <w:p w14:paraId="5B165B16">
                      <w:pPr>
                        <w:jc w:val="center"/>
                        <w:rPr>
                          <w:rFonts w:hint="eastAsia" w:ascii="黑体" w:hAnsi="黑体" w:eastAsia="黑体"/>
                          <w:sz w:val="52"/>
                          <w:szCs w:val="52"/>
                        </w:rPr>
                      </w:pPr>
                      <w:r>
                        <w:rPr>
                          <w:rFonts w:hint="eastAsia" w:ascii="黑体" w:hAnsi="黑体" w:eastAsia="黑体"/>
                          <w:snapToGrid w:val="0"/>
                          <w:sz w:val="52"/>
                          <w:szCs w:val="52"/>
                        </w:rPr>
                        <w:t>装配式工业厂房建设技术规程</w:t>
                      </w:r>
                    </w:p>
                    <w:p w14:paraId="03B15222">
                      <w:pPr>
                        <w:pStyle w:val="61"/>
                        <w:snapToGrid w:val="0"/>
                        <w:spacing w:before="0" w:line="240" w:lineRule="auto"/>
                        <w:rPr>
                          <w:rStyle w:val="31"/>
                          <w:rFonts w:eastAsia="宋体"/>
                          <w:b w:val="0"/>
                          <w:bCs/>
                        </w:rPr>
                      </w:pPr>
                      <w:r>
                        <w:rPr>
                          <w:rFonts w:hint="eastAsia"/>
                          <w:b/>
                          <w:bCs/>
                          <w:sz w:val="36"/>
                          <w:szCs w:val="36"/>
                        </w:rPr>
                        <w:t>Technical Specification for the Construction of Prefabricated Industrial Buildings</w:t>
                      </w:r>
                    </w:p>
                    <w:p w14:paraId="44A88E7C">
                      <w:pPr>
                        <w:pStyle w:val="61"/>
                        <w:snapToGrid w:val="0"/>
                        <w:spacing w:before="0" w:line="240" w:lineRule="auto"/>
                        <w:rPr>
                          <w:rStyle w:val="31"/>
                          <w:rFonts w:hint="eastAsia" w:ascii="黑体" w:hAnsi="黑体" w:eastAsia="黑体"/>
                          <w:b w:val="0"/>
                          <w:sz w:val="32"/>
                          <w:szCs w:val="32"/>
                        </w:rPr>
                      </w:pPr>
                      <w:r>
                        <w:rPr>
                          <w:rStyle w:val="31"/>
                          <w:rFonts w:hint="eastAsia" w:ascii="黑体" w:hAnsi="黑体" w:eastAsia="黑体"/>
                          <w:b w:val="0"/>
                          <w:sz w:val="32"/>
                          <w:szCs w:val="32"/>
                        </w:rPr>
                        <w:t>（征求意见稿）</w:t>
                      </w:r>
                    </w:p>
                    <w:p w14:paraId="116F045D">
                      <w:pPr>
                        <w:pStyle w:val="61"/>
                        <w:snapToGrid w:val="0"/>
                        <w:spacing w:before="0" w:line="240" w:lineRule="auto"/>
                        <w:rPr>
                          <w:rStyle w:val="31"/>
                          <w:rFonts w:hint="eastAsia" w:ascii="黑体" w:hAnsi="黑体" w:eastAsia="黑体"/>
                          <w:b w:val="0"/>
                          <w:sz w:val="32"/>
                          <w:szCs w:val="32"/>
                        </w:rPr>
                      </w:pPr>
                    </w:p>
                    <w:p w14:paraId="6B072B0A">
                      <w:pPr>
                        <w:pStyle w:val="60"/>
                        <w:spacing w:line="240" w:lineRule="auto"/>
                        <w:ind w:firstLine="480"/>
                      </w:pPr>
                    </w:p>
                    <w:p w14:paraId="0D0B14E0">
                      <w:pPr>
                        <w:pStyle w:val="58"/>
                        <w:spacing w:line="240" w:lineRule="auto"/>
                        <w:ind w:firstLine="420"/>
                      </w:pPr>
                    </w:p>
                    <w:p w14:paraId="7D2C7AC3">
                      <w:pPr>
                        <w:pStyle w:val="57"/>
                        <w:spacing w:line="240" w:lineRule="auto"/>
                        <w:ind w:left="5250" w:firstLine="420"/>
                      </w:pPr>
                    </w:p>
                    <w:p w14:paraId="2E6E7D2F">
                      <w:pPr>
                        <w:ind w:firstLine="420"/>
                      </w:pPr>
                    </w:p>
                    <w:p w14:paraId="5FC52EBE">
                      <w:pPr>
                        <w:ind w:firstLine="420"/>
                      </w:pPr>
                    </w:p>
                    <w:p w14:paraId="2A9F117B">
                      <w:pPr>
                        <w:ind w:firstLine="420"/>
                      </w:pPr>
                    </w:p>
                    <w:p w14:paraId="336E6916">
                      <w:pPr>
                        <w:ind w:firstLine="420"/>
                      </w:pPr>
                    </w:p>
                    <w:p w14:paraId="2DC23CD2">
                      <w:pPr>
                        <w:ind w:firstLine="420"/>
                      </w:pPr>
                    </w:p>
                  </w:txbxContent>
                </v:textbox>
              </v:shape>
            </w:pict>
          </mc:Fallback>
        </mc:AlternateContent>
      </w:r>
    </w:p>
    <w:p w14:paraId="38A94F8E">
      <w:pPr>
        <w:pStyle w:val="68"/>
      </w:pPr>
    </w:p>
    <w:p w14:paraId="525DD1BA"/>
    <w:p w14:paraId="7443AFEC"/>
    <w:p w14:paraId="63C0EB64">
      <w:pPr>
        <w:spacing w:before="156" w:beforeLines="50"/>
        <w:jc w:val="center"/>
        <w:rPr>
          <w:rFonts w:hint="eastAsia" w:ascii="黑体" w:hAnsi="黑体" w:eastAsia="黑体"/>
          <w:spacing w:val="56"/>
          <w:sz w:val="28"/>
          <w:szCs w:val="28"/>
        </w:rPr>
      </w:pPr>
      <w:r>
        <w:rPr>
          <w:rFonts w:hint="eastAsia" w:ascii="黑体" w:hAnsi="黑体" w:eastAsia="黑体"/>
          <w:spacing w:val="56"/>
          <w:sz w:val="28"/>
          <w:szCs w:val="28"/>
        </w:rPr>
        <w:t>北京市地方标准</w:t>
      </w:r>
    </w:p>
    <w:p w14:paraId="7B134280">
      <w:pPr>
        <w:ind w:firstLine="480"/>
        <w:rPr>
          <w:szCs w:val="28"/>
        </w:rPr>
      </w:pPr>
    </w:p>
    <w:p w14:paraId="2CEB2D46">
      <w:pPr>
        <w:jc w:val="center"/>
        <w:rPr>
          <w:rFonts w:eastAsia="黑体"/>
          <w:sz w:val="44"/>
          <w:szCs w:val="44"/>
        </w:rPr>
      </w:pPr>
      <w:r>
        <w:rPr>
          <w:rFonts w:hint="eastAsia" w:eastAsia="黑体"/>
          <w:sz w:val="44"/>
          <w:szCs w:val="44"/>
        </w:rPr>
        <w:t>装配式工业厂房建设技术规程</w:t>
      </w:r>
    </w:p>
    <w:p w14:paraId="5534AB2C">
      <w:pPr>
        <w:pStyle w:val="61"/>
        <w:snapToGrid w:val="0"/>
        <w:spacing w:line="240" w:lineRule="auto"/>
        <w:rPr>
          <w:rFonts w:eastAsia="黑体"/>
          <w:szCs w:val="21"/>
        </w:rPr>
      </w:pPr>
      <w:r>
        <w:rPr>
          <w:rFonts w:hint="eastAsia"/>
          <w:b/>
          <w:bCs/>
          <w:sz w:val="36"/>
          <w:szCs w:val="36"/>
        </w:rPr>
        <w:t>Technical Specification for the Construction of Prefabricated Industrial Buildings</w:t>
      </w:r>
    </w:p>
    <w:p w14:paraId="6097A188">
      <w:pPr>
        <w:autoSpaceDE w:val="0"/>
        <w:autoSpaceDN w:val="0"/>
        <w:adjustRightInd w:val="0"/>
        <w:ind w:firstLine="480"/>
        <w:jc w:val="center"/>
        <w:rPr>
          <w:lang w:val="nl-NL"/>
        </w:rPr>
      </w:pPr>
    </w:p>
    <w:p w14:paraId="341CC37C">
      <w:pPr>
        <w:autoSpaceDE w:val="0"/>
        <w:autoSpaceDN w:val="0"/>
        <w:adjustRightInd w:val="0"/>
        <w:ind w:firstLine="480"/>
        <w:jc w:val="center"/>
        <w:rPr>
          <w:lang w:val="nl-NL"/>
        </w:rPr>
      </w:pPr>
    </w:p>
    <w:p w14:paraId="4E844729">
      <w:pPr>
        <w:autoSpaceDE w:val="0"/>
        <w:autoSpaceDN w:val="0"/>
        <w:adjustRightInd w:val="0"/>
        <w:ind w:firstLine="2822" w:firstLineChars="1008"/>
        <w:rPr>
          <w:b/>
          <w:sz w:val="28"/>
          <w:lang w:val="nl-NL"/>
        </w:rPr>
      </w:pPr>
      <w:r>
        <w:rPr>
          <w:rFonts w:hint="eastAsia" w:ascii="黑体" w:hAnsi="黑体" w:eastAsia="黑体"/>
          <w:bCs/>
          <w:sz w:val="28"/>
          <w:lang w:val="nl-NL"/>
        </w:rPr>
        <w:t>编  号：</w:t>
      </w:r>
      <w:r>
        <w:rPr>
          <w:rFonts w:hint="eastAsia"/>
          <w:b/>
          <w:sz w:val="28"/>
          <w:lang w:val="nl-NL"/>
        </w:rPr>
        <w:t>DB11/T XXXX-202X</w:t>
      </w:r>
    </w:p>
    <w:p w14:paraId="43AAC4F0">
      <w:pPr>
        <w:autoSpaceDE w:val="0"/>
        <w:autoSpaceDN w:val="0"/>
        <w:adjustRightInd w:val="0"/>
        <w:ind w:firstLine="2822" w:firstLineChars="1008"/>
        <w:rPr>
          <w:b/>
          <w:sz w:val="28"/>
          <w:lang w:val="nl-NL"/>
        </w:rPr>
      </w:pPr>
      <w:r>
        <w:rPr>
          <w:rFonts w:hint="eastAsia" w:ascii="黑体" w:hAnsi="黑体" w:eastAsia="黑体"/>
          <w:bCs/>
          <w:sz w:val="28"/>
          <w:lang w:val="nl-NL"/>
        </w:rPr>
        <w:t>备案号：</w:t>
      </w:r>
      <w:r>
        <w:rPr>
          <w:rFonts w:hint="eastAsia"/>
          <w:b/>
          <w:sz w:val="28"/>
          <w:lang w:val="nl-NL"/>
        </w:rPr>
        <w:t>J1XXXX-202X</w:t>
      </w:r>
    </w:p>
    <w:p w14:paraId="09520B40">
      <w:pPr>
        <w:autoSpaceDE w:val="0"/>
        <w:autoSpaceDN w:val="0"/>
        <w:adjustRightInd w:val="0"/>
        <w:jc w:val="center"/>
        <w:rPr>
          <w:b/>
          <w:sz w:val="28"/>
          <w:lang w:val="nl-NL"/>
        </w:rPr>
      </w:pPr>
    </w:p>
    <w:p w14:paraId="2B86447B">
      <w:pPr>
        <w:autoSpaceDE w:val="0"/>
        <w:autoSpaceDN w:val="0"/>
        <w:adjustRightInd w:val="0"/>
        <w:jc w:val="center"/>
        <w:rPr>
          <w:b/>
          <w:sz w:val="28"/>
          <w:lang w:val="nl-NL"/>
        </w:rPr>
      </w:pPr>
    </w:p>
    <w:p w14:paraId="58FDFF4B">
      <w:pPr>
        <w:autoSpaceDE w:val="0"/>
        <w:autoSpaceDN w:val="0"/>
        <w:adjustRightInd w:val="0"/>
        <w:ind w:firstLine="2125" w:firstLineChars="759"/>
        <w:rPr>
          <w:sz w:val="28"/>
        </w:rPr>
      </w:pPr>
      <w:r>
        <w:rPr>
          <w:rFonts w:hint="eastAsia"/>
          <w:sz w:val="28"/>
          <w:lang w:val="nl-NL"/>
        </w:rPr>
        <w:t>主编单位：中国建筑一局（集团）</w:t>
      </w:r>
      <w:r>
        <w:rPr>
          <w:rFonts w:hint="eastAsia"/>
          <w:sz w:val="28"/>
        </w:rPr>
        <w:t>有限公司</w:t>
      </w:r>
    </w:p>
    <w:p w14:paraId="2337CD92">
      <w:pPr>
        <w:snapToGrid w:val="0"/>
        <w:spacing w:line="360" w:lineRule="auto"/>
        <w:ind w:firstLine="3542" w:firstLineChars="1265"/>
        <w:jc w:val="left"/>
        <w:rPr>
          <w:sz w:val="28"/>
          <w:szCs w:val="28"/>
        </w:rPr>
      </w:pPr>
      <w:r>
        <w:rPr>
          <w:rFonts w:hint="eastAsia"/>
          <w:sz w:val="28"/>
          <w:szCs w:val="28"/>
        </w:rPr>
        <w:t>中建一局集团建设发展有限公司</w:t>
      </w:r>
    </w:p>
    <w:p w14:paraId="2ED60E0A">
      <w:pPr>
        <w:snapToGrid w:val="0"/>
        <w:spacing w:line="360" w:lineRule="auto"/>
        <w:ind w:firstLine="3542" w:firstLineChars="1265"/>
        <w:jc w:val="left"/>
        <w:rPr>
          <w:sz w:val="28"/>
          <w:szCs w:val="28"/>
        </w:rPr>
      </w:pPr>
      <w:r>
        <w:rPr>
          <w:rFonts w:hint="eastAsia"/>
          <w:sz w:val="28"/>
          <w:szCs w:val="28"/>
        </w:rPr>
        <w:t>北京市住房和城乡建设科技促进中心</w:t>
      </w:r>
    </w:p>
    <w:p w14:paraId="64E571B8">
      <w:pPr>
        <w:autoSpaceDE w:val="0"/>
        <w:autoSpaceDN w:val="0"/>
        <w:adjustRightInd w:val="0"/>
        <w:ind w:firstLine="2125" w:firstLineChars="759"/>
        <w:rPr>
          <w:sz w:val="28"/>
          <w:lang w:val="nl-NL"/>
        </w:rPr>
      </w:pPr>
      <w:r>
        <w:rPr>
          <w:rFonts w:hint="eastAsia"/>
          <w:sz w:val="28"/>
          <w:lang w:val="nl-NL"/>
        </w:rPr>
        <w:t>批准部门：北京市市场监督管理局</w:t>
      </w:r>
    </w:p>
    <w:p w14:paraId="514882C0">
      <w:pPr>
        <w:autoSpaceDE w:val="0"/>
        <w:autoSpaceDN w:val="0"/>
        <w:adjustRightInd w:val="0"/>
        <w:ind w:firstLine="2125" w:firstLineChars="759"/>
        <w:rPr>
          <w:sz w:val="28"/>
          <w:lang w:val="nl-NL"/>
        </w:rPr>
      </w:pPr>
      <w:r>
        <w:rPr>
          <w:rFonts w:hint="eastAsia"/>
          <w:sz w:val="28"/>
          <w:lang w:val="nl-NL"/>
        </w:rPr>
        <w:t>施行日期：202X年   月   日</w:t>
      </w:r>
    </w:p>
    <w:p w14:paraId="65CCD098">
      <w:pPr>
        <w:ind w:firstLine="420"/>
        <w:rPr>
          <w:lang w:val="nl-NL"/>
        </w:rPr>
      </w:pPr>
    </w:p>
    <w:p w14:paraId="7D6B570B">
      <w:pPr>
        <w:autoSpaceDE w:val="0"/>
        <w:autoSpaceDN w:val="0"/>
        <w:adjustRightInd w:val="0"/>
        <w:jc w:val="center"/>
        <w:rPr>
          <w:rFonts w:hint="eastAsia" w:ascii="宋体" w:hAnsi="宋体"/>
          <w:sz w:val="20"/>
          <w:szCs w:val="20"/>
          <w:lang w:val="nl-NL"/>
        </w:rPr>
      </w:pPr>
      <w:r>
        <w:rPr>
          <w:rFonts w:hint="eastAsia"/>
          <w:b/>
          <w:sz w:val="28"/>
          <w:lang w:val="nl-NL"/>
        </w:rPr>
        <w:t>2025年 北京</w:t>
      </w:r>
      <w:r>
        <w:rPr>
          <w:rFonts w:eastAsia="黑体"/>
          <w:sz w:val="32"/>
          <w:szCs w:val="32"/>
          <w:lang w:val="nl-NL"/>
        </w:rPr>
        <w:br w:type="page"/>
      </w:r>
    </w:p>
    <w:p w14:paraId="19F73C8E">
      <w:pPr>
        <w:spacing w:after="156" w:afterLines="50" w:line="288" w:lineRule="auto"/>
        <w:jc w:val="center"/>
        <w:rPr>
          <w:rFonts w:hint="eastAsia" w:ascii="黑体" w:hAnsi="黑体" w:eastAsia="黑体"/>
          <w:bCs/>
          <w:sz w:val="32"/>
          <w:szCs w:val="32"/>
        </w:rPr>
      </w:pPr>
      <w:r>
        <w:rPr>
          <w:rFonts w:ascii="黑体" w:hAnsi="黑体" w:eastAsia="黑体"/>
          <w:bCs/>
          <w:sz w:val="32"/>
          <w:szCs w:val="32"/>
        </w:rPr>
        <w:t>前  言</w:t>
      </w:r>
    </w:p>
    <w:p w14:paraId="3CDADB4B">
      <w:pPr>
        <w:snapToGrid w:val="0"/>
        <w:spacing w:line="312" w:lineRule="auto"/>
        <w:ind w:firstLine="480" w:firstLineChars="200"/>
        <w:rPr>
          <w:sz w:val="24"/>
          <w:szCs w:val="21"/>
        </w:rPr>
      </w:pPr>
      <w:r>
        <w:rPr>
          <w:sz w:val="24"/>
          <w:szCs w:val="21"/>
        </w:rPr>
        <w:t>根据</w:t>
      </w:r>
      <w:r>
        <w:rPr>
          <w:rFonts w:hint="eastAsia"/>
          <w:sz w:val="24"/>
          <w:szCs w:val="21"/>
        </w:rPr>
        <w:t>北京市市场监督管理局</w:t>
      </w:r>
      <w:r>
        <w:rPr>
          <w:sz w:val="24"/>
          <w:szCs w:val="21"/>
        </w:rPr>
        <w:t>《2</w:t>
      </w:r>
      <w:r>
        <w:rPr>
          <w:rFonts w:hint="eastAsia"/>
          <w:sz w:val="24"/>
          <w:szCs w:val="21"/>
        </w:rPr>
        <w:t>025</w:t>
      </w:r>
      <w:r>
        <w:rPr>
          <w:sz w:val="24"/>
          <w:szCs w:val="21"/>
        </w:rPr>
        <w:t>年北京市地方标准制修订项目计划》（京</w:t>
      </w:r>
      <w:r>
        <w:rPr>
          <w:rFonts w:hint="eastAsia"/>
          <w:sz w:val="24"/>
          <w:szCs w:val="21"/>
        </w:rPr>
        <w:t>市</w:t>
      </w:r>
      <w:r>
        <w:rPr>
          <w:sz w:val="24"/>
          <w:szCs w:val="21"/>
        </w:rPr>
        <w:t>监发[202</w:t>
      </w:r>
      <w:r>
        <w:rPr>
          <w:rFonts w:hint="eastAsia"/>
          <w:sz w:val="24"/>
          <w:szCs w:val="21"/>
        </w:rPr>
        <w:t>5</w:t>
      </w:r>
      <w:r>
        <w:rPr>
          <w:sz w:val="24"/>
          <w:szCs w:val="21"/>
        </w:rPr>
        <w:t>]</w:t>
      </w:r>
      <w:r>
        <w:rPr>
          <w:rFonts w:hint="eastAsia"/>
          <w:sz w:val="24"/>
          <w:szCs w:val="21"/>
        </w:rPr>
        <w:t>1</w:t>
      </w:r>
      <w:r>
        <w:rPr>
          <w:sz w:val="24"/>
          <w:szCs w:val="21"/>
        </w:rPr>
        <w:t>号）的要求，标准编制组经广泛调查研究，认真总结实践经验，参考有关国外先进标准，并在广泛征求意见的基础上，制定本标准。</w:t>
      </w:r>
    </w:p>
    <w:p w14:paraId="331B9F91">
      <w:pPr>
        <w:snapToGrid w:val="0"/>
        <w:spacing w:line="312" w:lineRule="auto"/>
        <w:ind w:firstLine="480" w:firstLineChars="200"/>
        <w:rPr>
          <w:sz w:val="24"/>
          <w:szCs w:val="21"/>
        </w:rPr>
      </w:pPr>
      <w:r>
        <w:rPr>
          <w:sz w:val="24"/>
          <w:szCs w:val="21"/>
        </w:rPr>
        <w:t xml:space="preserve">本标准的主要技术内容是：1 总则；2 术语；3 基本规定；4 </w:t>
      </w:r>
      <w:r>
        <w:rPr>
          <w:rFonts w:hint="eastAsia"/>
          <w:sz w:val="24"/>
          <w:szCs w:val="21"/>
        </w:rPr>
        <w:t>深化设计</w:t>
      </w:r>
      <w:r>
        <w:rPr>
          <w:sz w:val="24"/>
          <w:szCs w:val="21"/>
        </w:rPr>
        <w:t xml:space="preserve">；5 </w:t>
      </w:r>
      <w:r>
        <w:rPr>
          <w:rFonts w:hint="eastAsia"/>
          <w:sz w:val="24"/>
          <w:szCs w:val="21"/>
        </w:rPr>
        <w:t>生产与运输</w:t>
      </w:r>
      <w:r>
        <w:rPr>
          <w:sz w:val="24"/>
          <w:szCs w:val="21"/>
        </w:rPr>
        <w:t xml:space="preserve">；6 </w:t>
      </w:r>
      <w:r>
        <w:rPr>
          <w:rFonts w:hint="eastAsia"/>
          <w:sz w:val="24"/>
          <w:szCs w:val="21"/>
        </w:rPr>
        <w:t>施工</w:t>
      </w:r>
      <w:r>
        <w:rPr>
          <w:sz w:val="24"/>
          <w:szCs w:val="21"/>
        </w:rPr>
        <w:t xml:space="preserve">；7 </w:t>
      </w:r>
      <w:r>
        <w:rPr>
          <w:rFonts w:hint="eastAsia"/>
          <w:sz w:val="24"/>
          <w:szCs w:val="21"/>
        </w:rPr>
        <w:t>质量验收。</w:t>
      </w:r>
    </w:p>
    <w:p w14:paraId="45C556EA">
      <w:pPr>
        <w:snapToGrid w:val="0"/>
        <w:spacing w:line="312" w:lineRule="auto"/>
        <w:ind w:firstLine="480" w:firstLineChars="200"/>
        <w:rPr>
          <w:sz w:val="24"/>
          <w:szCs w:val="21"/>
        </w:rPr>
      </w:pPr>
      <w:r>
        <w:rPr>
          <w:rFonts w:hint="eastAsia"/>
          <w:sz w:val="24"/>
          <w:szCs w:val="21"/>
        </w:rPr>
        <w:t>本规程由北京市住房和城乡建设委员会和北京市市场监督管理局共同管理，北京市住房和城乡建设委员会归口、组织实施，并组织编制单位对本规程技术内容进行解释。执行过程中如有意见或建议，请寄送中国建筑一局（集团）有限公司（地址：北京市西四环南路52号，邮编100161；电话：010-83982040；电子邮箱：csceczhj@163.com）</w:t>
      </w:r>
      <w:r>
        <w:rPr>
          <w:sz w:val="24"/>
          <w:szCs w:val="21"/>
        </w:rPr>
        <w:t>。</w:t>
      </w:r>
    </w:p>
    <w:p w14:paraId="3EA435A9">
      <w:pPr>
        <w:snapToGrid w:val="0"/>
        <w:spacing w:line="312" w:lineRule="auto"/>
        <w:ind w:firstLine="480" w:firstLineChars="200"/>
        <w:rPr>
          <w:sz w:val="24"/>
          <w:szCs w:val="21"/>
        </w:rPr>
      </w:pPr>
      <w:r>
        <w:rPr>
          <w:rFonts w:hint="eastAsia"/>
          <w:sz w:val="24"/>
          <w:szCs w:val="21"/>
        </w:rPr>
        <w:t>本规程</w:t>
      </w:r>
      <w:r>
        <w:rPr>
          <w:sz w:val="24"/>
          <w:szCs w:val="21"/>
        </w:rPr>
        <w:t>主编单位</w:t>
      </w:r>
      <w:r>
        <w:rPr>
          <w:rFonts w:hint="eastAsia"/>
          <w:sz w:val="24"/>
          <w:szCs w:val="21"/>
        </w:rPr>
        <w:t>：中国建筑一局（集团）有限公司</w:t>
      </w:r>
    </w:p>
    <w:p w14:paraId="3CAB6864">
      <w:pPr>
        <w:snapToGrid w:val="0"/>
        <w:spacing w:line="312" w:lineRule="auto"/>
        <w:ind w:firstLine="2407" w:firstLineChars="1003"/>
        <w:rPr>
          <w:sz w:val="24"/>
          <w:szCs w:val="21"/>
        </w:rPr>
      </w:pPr>
      <w:r>
        <w:rPr>
          <w:rFonts w:hint="eastAsia"/>
          <w:sz w:val="24"/>
          <w:szCs w:val="21"/>
        </w:rPr>
        <w:t>中建一局集团建设发展有限公司</w:t>
      </w:r>
    </w:p>
    <w:p w14:paraId="16D08F8F">
      <w:pPr>
        <w:snapToGrid w:val="0"/>
        <w:spacing w:line="312" w:lineRule="auto"/>
        <w:ind w:firstLine="2407" w:firstLineChars="1003"/>
        <w:rPr>
          <w:sz w:val="24"/>
          <w:szCs w:val="21"/>
        </w:rPr>
      </w:pPr>
      <w:r>
        <w:rPr>
          <w:rFonts w:hint="eastAsia"/>
          <w:sz w:val="24"/>
          <w:szCs w:val="21"/>
        </w:rPr>
        <w:t>北京市住房和城乡建设科技促进中心</w:t>
      </w:r>
    </w:p>
    <w:p w14:paraId="5A202283">
      <w:pPr>
        <w:snapToGrid w:val="0"/>
        <w:spacing w:line="312" w:lineRule="auto"/>
        <w:ind w:firstLine="480" w:firstLineChars="200"/>
        <w:rPr>
          <w:sz w:val="24"/>
          <w:szCs w:val="21"/>
        </w:rPr>
      </w:pPr>
      <w:r>
        <w:rPr>
          <w:rFonts w:hint="eastAsia"/>
          <w:sz w:val="24"/>
          <w:szCs w:val="21"/>
        </w:rPr>
        <w:t>本规程参编单位：中建二局第三建筑工程有限公司</w:t>
      </w:r>
    </w:p>
    <w:p w14:paraId="1DD8D2F5">
      <w:pPr>
        <w:snapToGrid w:val="0"/>
        <w:spacing w:line="312" w:lineRule="auto"/>
        <w:ind w:firstLine="2400" w:firstLineChars="1000"/>
        <w:rPr>
          <w:sz w:val="24"/>
          <w:szCs w:val="21"/>
        </w:rPr>
      </w:pPr>
      <w:r>
        <w:rPr>
          <w:rFonts w:hint="eastAsia"/>
          <w:sz w:val="24"/>
          <w:szCs w:val="21"/>
        </w:rPr>
        <w:t>北京城建北方集团有限公司</w:t>
      </w:r>
    </w:p>
    <w:p w14:paraId="2221D2E7">
      <w:pPr>
        <w:snapToGrid w:val="0"/>
        <w:spacing w:line="312" w:lineRule="auto"/>
        <w:ind w:firstLine="2400" w:firstLineChars="1000"/>
        <w:rPr>
          <w:sz w:val="24"/>
          <w:szCs w:val="21"/>
        </w:rPr>
      </w:pPr>
      <w:r>
        <w:rPr>
          <w:rFonts w:hint="eastAsia"/>
          <w:sz w:val="24"/>
          <w:szCs w:val="21"/>
        </w:rPr>
        <w:t>北京城建亚泰建设集团有限公司</w:t>
      </w:r>
    </w:p>
    <w:p w14:paraId="06A4AFDA">
      <w:pPr>
        <w:snapToGrid w:val="0"/>
        <w:spacing w:line="312" w:lineRule="auto"/>
        <w:ind w:firstLine="2400" w:firstLineChars="1000"/>
        <w:rPr>
          <w:sz w:val="24"/>
          <w:szCs w:val="21"/>
        </w:rPr>
      </w:pPr>
      <w:r>
        <w:rPr>
          <w:rFonts w:hint="eastAsia"/>
          <w:sz w:val="24"/>
          <w:szCs w:val="21"/>
        </w:rPr>
        <w:t>北京市建筑工程研究院有限责任公司</w:t>
      </w:r>
    </w:p>
    <w:p w14:paraId="76FB000E">
      <w:pPr>
        <w:snapToGrid w:val="0"/>
        <w:spacing w:line="312" w:lineRule="auto"/>
        <w:ind w:firstLine="2400" w:firstLineChars="1000"/>
        <w:rPr>
          <w:sz w:val="24"/>
          <w:szCs w:val="21"/>
        </w:rPr>
      </w:pPr>
      <w:r>
        <w:rPr>
          <w:rFonts w:hint="eastAsia"/>
          <w:sz w:val="24"/>
          <w:szCs w:val="21"/>
        </w:rPr>
        <w:t>中冶建筑研究总院有限公司</w:t>
      </w:r>
    </w:p>
    <w:p w14:paraId="163E0C54">
      <w:pPr>
        <w:snapToGrid w:val="0"/>
        <w:spacing w:line="312" w:lineRule="auto"/>
        <w:ind w:firstLine="2400" w:firstLineChars="1000"/>
        <w:rPr>
          <w:sz w:val="24"/>
          <w:szCs w:val="21"/>
        </w:rPr>
      </w:pPr>
      <w:r>
        <w:rPr>
          <w:rFonts w:hint="eastAsia"/>
          <w:sz w:val="24"/>
          <w:szCs w:val="21"/>
        </w:rPr>
        <w:t>世源科技工程有限公司</w:t>
      </w:r>
    </w:p>
    <w:p w14:paraId="656BB413">
      <w:pPr>
        <w:snapToGrid w:val="0"/>
        <w:spacing w:line="312" w:lineRule="auto"/>
        <w:ind w:firstLine="2400" w:firstLineChars="1000"/>
        <w:rPr>
          <w:sz w:val="24"/>
          <w:szCs w:val="21"/>
        </w:rPr>
      </w:pPr>
      <w:r>
        <w:rPr>
          <w:rFonts w:hint="eastAsia"/>
          <w:sz w:val="24"/>
          <w:szCs w:val="21"/>
        </w:rPr>
        <w:t>中国电子系统工程第四建设有限公司</w:t>
      </w:r>
    </w:p>
    <w:p w14:paraId="6FE83AA1">
      <w:pPr>
        <w:snapToGrid w:val="0"/>
        <w:spacing w:line="312" w:lineRule="auto"/>
        <w:ind w:firstLine="2400" w:firstLineChars="1000"/>
        <w:rPr>
          <w:sz w:val="24"/>
          <w:szCs w:val="21"/>
        </w:rPr>
      </w:pPr>
      <w:r>
        <w:rPr>
          <w:rFonts w:hint="eastAsia"/>
          <w:sz w:val="24"/>
          <w:szCs w:val="21"/>
        </w:rPr>
        <w:t>中建二局安装工程有限公司</w:t>
      </w:r>
    </w:p>
    <w:p w14:paraId="3B1E2AC0">
      <w:pPr>
        <w:snapToGrid w:val="0"/>
        <w:spacing w:line="312" w:lineRule="auto"/>
        <w:ind w:firstLine="2400" w:firstLineChars="1000"/>
        <w:rPr>
          <w:sz w:val="24"/>
          <w:szCs w:val="21"/>
        </w:rPr>
      </w:pPr>
      <w:r>
        <w:rPr>
          <w:rFonts w:hint="eastAsia"/>
          <w:sz w:val="24"/>
          <w:szCs w:val="21"/>
        </w:rPr>
        <w:t>中建（天津）工业化建筑工程有限公司</w:t>
      </w:r>
    </w:p>
    <w:p w14:paraId="0F5ACFC2">
      <w:pPr>
        <w:snapToGrid w:val="0"/>
        <w:spacing w:line="312" w:lineRule="auto"/>
        <w:ind w:firstLine="2400" w:firstLineChars="1000"/>
        <w:rPr>
          <w:sz w:val="24"/>
          <w:szCs w:val="21"/>
        </w:rPr>
      </w:pPr>
      <w:r>
        <w:rPr>
          <w:rFonts w:hint="eastAsia"/>
          <w:sz w:val="24"/>
          <w:szCs w:val="21"/>
        </w:rPr>
        <w:t>北京住总集团有限责任公司</w:t>
      </w:r>
    </w:p>
    <w:p w14:paraId="29E10E4F">
      <w:pPr>
        <w:snapToGrid w:val="0"/>
        <w:spacing w:line="312" w:lineRule="auto"/>
        <w:ind w:firstLine="2400" w:firstLineChars="1000"/>
        <w:rPr>
          <w:sz w:val="24"/>
          <w:szCs w:val="21"/>
        </w:rPr>
      </w:pPr>
      <w:r>
        <w:rPr>
          <w:rFonts w:hint="eastAsia"/>
          <w:sz w:val="24"/>
          <w:szCs w:val="21"/>
        </w:rPr>
        <w:t>中煤建设集团工程有限公司</w:t>
      </w:r>
    </w:p>
    <w:p w14:paraId="39EEB575">
      <w:pPr>
        <w:snapToGrid w:val="0"/>
        <w:spacing w:line="312" w:lineRule="auto"/>
        <w:ind w:firstLine="2400" w:firstLineChars="1000"/>
        <w:rPr>
          <w:sz w:val="24"/>
          <w:szCs w:val="21"/>
        </w:rPr>
      </w:pPr>
      <w:r>
        <w:rPr>
          <w:rFonts w:hint="eastAsia"/>
          <w:sz w:val="24"/>
          <w:szCs w:val="21"/>
        </w:rPr>
        <w:t>北京住总第六开发建设有限公司</w:t>
      </w:r>
    </w:p>
    <w:p w14:paraId="15B40B4B">
      <w:pPr>
        <w:adjustRightInd w:val="0"/>
        <w:snapToGrid w:val="0"/>
        <w:spacing w:before="156" w:beforeLines="50" w:line="300" w:lineRule="auto"/>
        <w:ind w:left="2967" w:leftChars="270" w:hanging="2400" w:hangingChars="1000"/>
        <w:jc w:val="left"/>
        <w:rPr>
          <w:rFonts w:hint="eastAsia" w:ascii="宋体" w:hAnsi="宋体"/>
          <w:sz w:val="24"/>
          <w:szCs w:val="21"/>
        </w:rPr>
      </w:pPr>
      <w:r>
        <w:rPr>
          <w:rFonts w:hint="eastAsia"/>
          <w:sz w:val="24"/>
          <w:szCs w:val="21"/>
        </w:rPr>
        <w:t>本规程</w:t>
      </w:r>
      <w:r>
        <w:rPr>
          <w:sz w:val="24"/>
          <w:szCs w:val="21"/>
        </w:rPr>
        <w:t>主要起草</w:t>
      </w:r>
      <w:r>
        <w:rPr>
          <w:rFonts w:hint="eastAsia"/>
          <w:sz w:val="24"/>
          <w:szCs w:val="21"/>
        </w:rPr>
        <w:t>人员</w:t>
      </w:r>
      <w:r>
        <w:rPr>
          <w:sz w:val="24"/>
          <w:szCs w:val="21"/>
        </w:rPr>
        <w:t>：</w:t>
      </w:r>
      <w:r>
        <w:rPr>
          <w:rFonts w:hint="eastAsia" w:ascii="宋体" w:hAnsi="宋体"/>
          <w:sz w:val="24"/>
          <w:szCs w:val="21"/>
        </w:rPr>
        <w:t>周予启  郭海山  刘卫未  牛寅平  李  贝  赵晓敏  张惠丽  李  峰  吕雪源  李黎明  张  军  吴大伟  赵华颖  王振兴  张  鹏  孙岩波  王晓锋  徐志强  秦敬伟  陈家兴  李永敢  袁勇军  张茂春  李大朋  张  仟  李  楠  王志勇  苏乾丰  刘宇超  尹  硕  陈俊恒  刘  宇  于  雷  阎明伟  张佳旭  许世宁     刘  强  解晓骁  张鹏斌  周泽恩  王志伟  卢芳龙  吕明岩  杜建永  邢振宇  惠宝军  徐昌全</w:t>
      </w:r>
    </w:p>
    <w:p w14:paraId="37220228">
      <w:pPr>
        <w:snapToGrid w:val="0"/>
        <w:spacing w:line="312" w:lineRule="auto"/>
        <w:ind w:firstLine="480" w:firstLineChars="200"/>
        <w:rPr>
          <w:lang w:bidi="ar"/>
        </w:rPr>
      </w:pPr>
      <w:r>
        <w:rPr>
          <w:rFonts w:hint="eastAsia"/>
          <w:sz w:val="24"/>
          <w:szCs w:val="21"/>
        </w:rPr>
        <w:t>本规程</w:t>
      </w:r>
      <w:r>
        <w:rPr>
          <w:sz w:val="24"/>
          <w:szCs w:val="21"/>
        </w:rPr>
        <w:t>主要审查</w:t>
      </w:r>
      <w:r>
        <w:rPr>
          <w:rFonts w:hint="eastAsia"/>
          <w:sz w:val="24"/>
          <w:szCs w:val="21"/>
        </w:rPr>
        <w:t>人员</w:t>
      </w:r>
      <w:r>
        <w:rPr>
          <w:sz w:val="24"/>
          <w:szCs w:val="21"/>
        </w:rPr>
        <w:t>：</w:t>
      </w:r>
      <w:r>
        <w:rPr>
          <w:lang w:bidi="ar"/>
        </w:rPr>
        <w:br w:type="page"/>
      </w:r>
    </w:p>
    <w:sdt>
      <w:sdtPr>
        <w:rPr>
          <w:rFonts w:ascii="Times New Roman" w:hAnsi="Times New Roman" w:eastAsia="宋体" w:cs="Times New Roman"/>
          <w:color w:val="auto"/>
          <w:kern w:val="2"/>
          <w:sz w:val="21"/>
          <w:szCs w:val="24"/>
          <w:lang w:val="zh-CN"/>
        </w:rPr>
        <w:id w:val="147463865"/>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14:paraId="2EB97E11">
          <w:pPr>
            <w:pStyle w:val="122"/>
            <w:keepNext/>
            <w:keepLines/>
            <w:pageBreakBefore w:val="0"/>
            <w:widowControl/>
            <w:kinsoku/>
            <w:wordWrap/>
            <w:overflowPunct/>
            <w:topLinePunct w:val="0"/>
            <w:autoSpaceDE/>
            <w:autoSpaceDN/>
            <w:bidi w:val="0"/>
            <w:adjustRightInd/>
            <w:snapToGrid/>
            <w:spacing w:before="0" w:after="0" w:line="240" w:lineRule="auto"/>
            <w:jc w:val="center"/>
            <w:textAlignment w:val="auto"/>
            <w:rPr>
              <w:rFonts w:hint="eastAsia" w:ascii="仿宋" w:hAnsi="仿宋" w:eastAsia="仿宋" w:cs="Times New Roman"/>
              <w:bCs/>
              <w:color w:val="auto"/>
              <w:kern w:val="2"/>
            </w:rPr>
          </w:pPr>
          <w:r>
            <w:rPr>
              <w:rFonts w:ascii="仿宋" w:hAnsi="仿宋" w:eastAsia="仿宋" w:cs="Times New Roman"/>
              <w:bCs/>
              <w:color w:val="auto"/>
              <w:kern w:val="2"/>
            </w:rPr>
            <w:t>目</w:t>
          </w:r>
          <w:r>
            <w:rPr>
              <w:rFonts w:hint="eastAsia" w:ascii="仿宋" w:hAnsi="仿宋" w:eastAsia="仿宋" w:cs="Times New Roman"/>
              <w:bCs/>
              <w:color w:val="auto"/>
              <w:kern w:val="2"/>
            </w:rPr>
            <w:t xml:space="preserve">   次</w:t>
          </w:r>
        </w:p>
        <w:p w14:paraId="1D261B3C">
          <w:pPr>
            <w:pStyle w:val="20"/>
            <w:spacing w:line="312" w:lineRule="auto"/>
            <w:rPr>
              <w:rFonts w:hint="eastAsia" w:asciiTheme="minorHAnsi" w:hAnsiTheme="minorHAnsi" w:eastAsiaTheme="minorEastAsia" w:cstheme="minorBidi"/>
              <w:sz w:val="24"/>
              <w14:ligatures w14:val="standardContextual"/>
            </w:rPr>
          </w:pPr>
          <w:r>
            <w:rPr>
              <w:sz w:val="24"/>
            </w:rPr>
            <w:fldChar w:fldCharType="begin"/>
          </w:r>
          <w:r>
            <w:rPr>
              <w:sz w:val="24"/>
            </w:rPr>
            <w:instrText xml:space="preserve"> </w:instrText>
          </w:r>
          <w:r>
            <w:rPr>
              <w:rFonts w:hint="eastAsia"/>
              <w:sz w:val="24"/>
            </w:rPr>
            <w:instrText xml:space="preserve">TOC \o "1-2" \h \z \u</w:instrText>
          </w:r>
          <w:r>
            <w:rPr>
              <w:sz w:val="24"/>
            </w:rPr>
            <w:instrText xml:space="preserve"> </w:instrText>
          </w:r>
          <w:r>
            <w:rPr>
              <w:sz w:val="24"/>
            </w:rPr>
            <w:fldChar w:fldCharType="separate"/>
          </w:r>
          <w:r>
            <w:fldChar w:fldCharType="begin"/>
          </w:r>
          <w:r>
            <w:instrText xml:space="preserve"> HYPERLINK \l "_Toc227574838" </w:instrText>
          </w:r>
          <w:r>
            <w:fldChar w:fldCharType="separate"/>
          </w:r>
          <w:r>
            <w:rPr>
              <w:rStyle w:val="35"/>
              <w:rFonts w:hint="eastAsia"/>
              <w:b/>
              <w:color w:val="auto"/>
              <w:sz w:val="24"/>
            </w:rPr>
            <w:t>1</w:t>
          </w:r>
          <w:r>
            <w:rPr>
              <w:rStyle w:val="35"/>
              <w:rFonts w:hint="eastAsia"/>
              <w:color w:val="auto"/>
              <w:sz w:val="24"/>
            </w:rPr>
            <w:t xml:space="preserve"> </w:t>
          </w:r>
          <w:r>
            <w:rPr>
              <w:rStyle w:val="35"/>
              <w:rFonts w:hint="eastAsia" w:ascii="黑体" w:hAnsi="黑体" w:eastAsia="黑体"/>
              <w:b/>
              <w:bCs/>
              <w:color w:val="auto"/>
              <w:sz w:val="24"/>
            </w:rPr>
            <w:t>总则</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_Toc227574838 \h</w:instrText>
          </w:r>
          <w:r>
            <w:rPr>
              <w:rFonts w:hint="eastAsia"/>
              <w:sz w:val="24"/>
            </w:rPr>
            <w:instrText xml:space="preserve"> </w:instrText>
          </w:r>
          <w:r>
            <w:rPr>
              <w:rFonts w:hint="eastAsia"/>
              <w:sz w:val="24"/>
            </w:rPr>
            <w:fldChar w:fldCharType="separate"/>
          </w:r>
          <w:r>
            <w:rPr>
              <w:sz w:val="24"/>
            </w:rPr>
            <w:t>1</w:t>
          </w:r>
          <w:r>
            <w:rPr>
              <w:rFonts w:hint="eastAsia"/>
              <w:sz w:val="24"/>
            </w:rPr>
            <w:fldChar w:fldCharType="end"/>
          </w:r>
          <w:r>
            <w:rPr>
              <w:rFonts w:hint="eastAsia"/>
              <w:sz w:val="24"/>
            </w:rPr>
            <w:fldChar w:fldCharType="end"/>
          </w:r>
        </w:p>
        <w:p w14:paraId="59EF8418">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"_Toc227574839" </w:instrText>
          </w:r>
          <w:r>
            <w:fldChar w:fldCharType="separate"/>
          </w:r>
          <w:r>
            <w:rPr>
              <w:rStyle w:val="35"/>
              <w:rFonts w:hint="eastAsia"/>
              <w:b/>
              <w:color w:val="auto"/>
              <w:sz w:val="24"/>
            </w:rPr>
            <w:t>2</w:t>
          </w:r>
          <w:r>
            <w:rPr>
              <w:rStyle w:val="35"/>
              <w:rFonts w:hint="eastAsia"/>
              <w:color w:val="auto"/>
              <w:sz w:val="24"/>
            </w:rPr>
            <w:t xml:space="preserve"> </w:t>
          </w:r>
          <w:r>
            <w:rPr>
              <w:rStyle w:val="35"/>
              <w:rFonts w:hint="eastAsia" w:ascii="黑体" w:hAnsi="黑体" w:eastAsia="黑体"/>
              <w:b/>
              <w:bCs/>
              <w:color w:val="auto"/>
              <w:sz w:val="24"/>
            </w:rPr>
            <w:t>术语</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_Toc227574839 \h</w:instrText>
          </w:r>
          <w:r>
            <w:rPr>
              <w:rFonts w:hint="eastAsia"/>
              <w:sz w:val="24"/>
            </w:rPr>
            <w:instrText xml:space="preserve"> </w:instrText>
          </w:r>
          <w:r>
            <w:rPr>
              <w:rFonts w:hint="eastAsia"/>
              <w:sz w:val="24"/>
            </w:rPr>
            <w:fldChar w:fldCharType="separate"/>
          </w:r>
          <w:r>
            <w:rPr>
              <w:sz w:val="24"/>
            </w:rPr>
            <w:t>2</w:t>
          </w:r>
          <w:r>
            <w:rPr>
              <w:rFonts w:hint="eastAsia"/>
              <w:sz w:val="24"/>
            </w:rPr>
            <w:fldChar w:fldCharType="end"/>
          </w:r>
          <w:r>
            <w:rPr>
              <w:rFonts w:hint="eastAsia"/>
              <w:sz w:val="24"/>
            </w:rPr>
            <w:fldChar w:fldCharType="end"/>
          </w:r>
        </w:p>
        <w:p w14:paraId="54AB6881">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"_Toc227574840" </w:instrText>
          </w:r>
          <w:r>
            <w:fldChar w:fldCharType="separate"/>
          </w:r>
          <w:r>
            <w:rPr>
              <w:rStyle w:val="35"/>
              <w:rFonts w:hint="eastAsia"/>
              <w:b/>
              <w:color w:val="auto"/>
              <w:sz w:val="24"/>
            </w:rPr>
            <w:t>3</w:t>
          </w:r>
          <w:r>
            <w:rPr>
              <w:rStyle w:val="35"/>
              <w:rFonts w:hint="eastAsia"/>
              <w:color w:val="auto"/>
              <w:sz w:val="24"/>
            </w:rPr>
            <w:t xml:space="preserve"> </w:t>
          </w:r>
          <w:r>
            <w:rPr>
              <w:rStyle w:val="35"/>
              <w:rFonts w:hint="eastAsia" w:ascii="黑体" w:hAnsi="黑体" w:eastAsia="黑体"/>
              <w:b/>
              <w:bCs/>
              <w:color w:val="auto"/>
              <w:sz w:val="24"/>
            </w:rPr>
            <w:t>基本规定</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_Toc227574840 \h</w:instrText>
          </w:r>
          <w:r>
            <w:rPr>
              <w:rFonts w:hint="eastAsia"/>
              <w:sz w:val="24"/>
            </w:rPr>
            <w:instrText xml:space="preserve"> </w:instrText>
          </w:r>
          <w:r>
            <w:rPr>
              <w:rFonts w:hint="eastAsia"/>
              <w:sz w:val="24"/>
            </w:rPr>
            <w:fldChar w:fldCharType="separate"/>
          </w:r>
          <w:r>
            <w:rPr>
              <w:sz w:val="24"/>
            </w:rPr>
            <w:t>3</w:t>
          </w:r>
          <w:r>
            <w:rPr>
              <w:rFonts w:hint="eastAsia"/>
              <w:sz w:val="24"/>
            </w:rPr>
            <w:fldChar w:fldCharType="end"/>
          </w:r>
          <w:r>
            <w:rPr>
              <w:rFonts w:hint="eastAsia"/>
              <w:sz w:val="24"/>
            </w:rPr>
            <w:fldChar w:fldCharType="end"/>
          </w:r>
        </w:p>
        <w:p w14:paraId="4ED50A42">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"_Toc227574841" </w:instrText>
          </w:r>
          <w:r>
            <w:fldChar w:fldCharType="separate"/>
          </w:r>
          <w:r>
            <w:rPr>
              <w:rStyle w:val="35"/>
              <w:rFonts w:hint="eastAsia"/>
              <w:b/>
              <w:color w:val="auto"/>
              <w:sz w:val="24"/>
            </w:rPr>
            <w:t>4</w:t>
          </w:r>
          <w:r>
            <w:rPr>
              <w:rStyle w:val="35"/>
              <w:rFonts w:hint="eastAsia"/>
              <w:color w:val="auto"/>
              <w:sz w:val="24"/>
            </w:rPr>
            <w:t xml:space="preserve"> </w:t>
          </w:r>
          <w:r>
            <w:rPr>
              <w:rStyle w:val="35"/>
              <w:rFonts w:hint="eastAsia" w:ascii="黑体" w:hAnsi="黑体" w:eastAsia="黑体"/>
              <w:b/>
              <w:bCs/>
              <w:color w:val="auto"/>
              <w:sz w:val="24"/>
            </w:rPr>
            <w:t>深化设计</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_Toc227574841 \h</w:instrText>
          </w:r>
          <w:r>
            <w:rPr>
              <w:rFonts w:hint="eastAsia"/>
              <w:sz w:val="24"/>
            </w:rPr>
            <w:instrText xml:space="preserve"> </w:instrText>
          </w:r>
          <w:r>
            <w:rPr>
              <w:rFonts w:hint="eastAsia"/>
              <w:sz w:val="24"/>
            </w:rPr>
            <w:fldChar w:fldCharType="separate"/>
          </w:r>
          <w:r>
            <w:rPr>
              <w:sz w:val="24"/>
            </w:rPr>
            <w:t>4</w:t>
          </w:r>
          <w:r>
            <w:rPr>
              <w:rFonts w:hint="eastAsia"/>
              <w:sz w:val="24"/>
            </w:rPr>
            <w:fldChar w:fldCharType="end"/>
          </w:r>
          <w:r>
            <w:rPr>
              <w:rFonts w:hint="eastAsia"/>
              <w:sz w:val="24"/>
            </w:rPr>
            <w:fldChar w:fldCharType="end"/>
          </w:r>
        </w:p>
        <w:p w14:paraId="5DF7674F">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"_Toc227574842" </w:instrText>
          </w:r>
          <w:r>
            <w:fldChar w:fldCharType="separate"/>
          </w:r>
          <w:r>
            <w:rPr>
              <w:rStyle w:val="35"/>
              <w:rFonts w:hint="eastAsia"/>
              <w:b/>
              <w:color w:val="auto"/>
              <w:sz w:val="24"/>
            </w:rPr>
            <w:t>4.1</w:t>
          </w:r>
          <w:r>
            <w:rPr>
              <w:rStyle w:val="35"/>
              <w:rFonts w:hint="eastAsia"/>
              <w:color w:val="auto"/>
              <w:sz w:val="24"/>
            </w:rPr>
            <w:t xml:space="preserve"> 一般规定</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_Toc227574842 \h</w:instrText>
          </w:r>
          <w:r>
            <w:rPr>
              <w:rFonts w:hint="eastAsia"/>
              <w:sz w:val="24"/>
            </w:rPr>
            <w:instrText xml:space="preserve"> </w:instrText>
          </w:r>
          <w:r>
            <w:rPr>
              <w:rFonts w:hint="eastAsia"/>
              <w:sz w:val="24"/>
            </w:rPr>
            <w:fldChar w:fldCharType="separate"/>
          </w:r>
          <w:r>
            <w:rPr>
              <w:sz w:val="24"/>
            </w:rPr>
            <w:t>4</w:t>
          </w:r>
          <w:r>
            <w:rPr>
              <w:rFonts w:hint="eastAsia"/>
              <w:sz w:val="24"/>
            </w:rPr>
            <w:fldChar w:fldCharType="end"/>
          </w:r>
          <w:r>
            <w:rPr>
              <w:rFonts w:hint="eastAsia"/>
              <w:sz w:val="24"/>
            </w:rPr>
            <w:fldChar w:fldCharType="end"/>
          </w:r>
        </w:p>
        <w:p w14:paraId="774319A9">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"_Toc227574843" </w:instrText>
          </w:r>
          <w:r>
            <w:fldChar w:fldCharType="separate"/>
          </w:r>
          <w:r>
            <w:rPr>
              <w:rStyle w:val="35"/>
              <w:rFonts w:hint="eastAsia"/>
              <w:b/>
              <w:color w:val="auto"/>
              <w:sz w:val="24"/>
            </w:rPr>
            <w:t>4.2</w:t>
          </w:r>
          <w:r>
            <w:rPr>
              <w:rStyle w:val="35"/>
              <w:rFonts w:hint="eastAsia"/>
              <w:color w:val="auto"/>
              <w:sz w:val="24"/>
            </w:rPr>
            <w:t xml:space="preserve"> 构件设计</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_Toc227574843 \h</w:instrText>
          </w:r>
          <w:r>
            <w:rPr>
              <w:rFonts w:hint="eastAsia"/>
              <w:sz w:val="24"/>
            </w:rPr>
            <w:instrText xml:space="preserve"> </w:instrText>
          </w:r>
          <w:r>
            <w:rPr>
              <w:rFonts w:hint="eastAsia"/>
              <w:sz w:val="24"/>
            </w:rPr>
            <w:fldChar w:fldCharType="separate"/>
          </w:r>
          <w:r>
            <w:rPr>
              <w:sz w:val="24"/>
            </w:rPr>
            <w:t>5</w:t>
          </w:r>
          <w:r>
            <w:rPr>
              <w:rFonts w:hint="eastAsia"/>
              <w:sz w:val="24"/>
            </w:rPr>
            <w:fldChar w:fldCharType="end"/>
          </w:r>
          <w:r>
            <w:rPr>
              <w:rFonts w:hint="eastAsia"/>
              <w:sz w:val="24"/>
            </w:rPr>
            <w:fldChar w:fldCharType="end"/>
          </w:r>
        </w:p>
        <w:p w14:paraId="643C7209">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"_Toc227574844" </w:instrText>
          </w:r>
          <w:r>
            <w:fldChar w:fldCharType="separate"/>
          </w:r>
          <w:r>
            <w:rPr>
              <w:rStyle w:val="35"/>
              <w:rFonts w:hint="eastAsia"/>
              <w:b/>
              <w:color w:val="auto"/>
              <w:sz w:val="24"/>
            </w:rPr>
            <w:t>4.3</w:t>
          </w:r>
          <w:r>
            <w:rPr>
              <w:rStyle w:val="35"/>
              <w:rFonts w:hint="eastAsia"/>
              <w:color w:val="auto"/>
              <w:sz w:val="24"/>
            </w:rPr>
            <w:t xml:space="preserve"> 连接设计</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_Toc227574844 \h</w:instrText>
          </w:r>
          <w:r>
            <w:rPr>
              <w:rFonts w:hint="eastAsia"/>
              <w:sz w:val="24"/>
            </w:rPr>
            <w:instrText xml:space="preserve"> </w:instrText>
          </w:r>
          <w:r>
            <w:rPr>
              <w:rFonts w:hint="eastAsia"/>
              <w:sz w:val="24"/>
            </w:rPr>
            <w:fldChar w:fldCharType="separate"/>
          </w:r>
          <w:r>
            <w:rPr>
              <w:sz w:val="24"/>
            </w:rPr>
            <w:t>6</w:t>
          </w:r>
          <w:r>
            <w:rPr>
              <w:rFonts w:hint="eastAsia"/>
              <w:sz w:val="24"/>
            </w:rPr>
            <w:fldChar w:fldCharType="end"/>
          </w:r>
          <w:r>
            <w:rPr>
              <w:rFonts w:hint="eastAsia"/>
              <w:sz w:val="24"/>
            </w:rPr>
            <w:fldChar w:fldCharType="end"/>
          </w:r>
        </w:p>
        <w:p w14:paraId="7DEFB708">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"_Toc227574845" </w:instrText>
          </w:r>
          <w:r>
            <w:fldChar w:fldCharType="separate"/>
          </w:r>
          <w:r>
            <w:rPr>
              <w:rStyle w:val="35"/>
              <w:rFonts w:hint="eastAsia"/>
              <w:b/>
              <w:color w:val="auto"/>
              <w:sz w:val="24"/>
            </w:rPr>
            <w:t>5</w:t>
          </w:r>
          <w:r>
            <w:rPr>
              <w:rStyle w:val="35"/>
              <w:rFonts w:hint="eastAsia"/>
              <w:color w:val="auto"/>
              <w:sz w:val="24"/>
            </w:rPr>
            <w:t xml:space="preserve"> </w:t>
          </w:r>
          <w:r>
            <w:rPr>
              <w:rStyle w:val="35"/>
              <w:rFonts w:hint="eastAsia" w:ascii="黑体" w:hAnsi="黑体" w:eastAsia="黑体"/>
              <w:b/>
              <w:bCs/>
              <w:color w:val="auto"/>
              <w:sz w:val="24"/>
            </w:rPr>
            <w:t>生产与运输</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_Toc227574845 \h</w:instrText>
          </w:r>
          <w:r>
            <w:rPr>
              <w:rFonts w:hint="eastAsia"/>
              <w:sz w:val="24"/>
            </w:rPr>
            <w:instrText xml:space="preserve"> </w:instrText>
          </w:r>
          <w:r>
            <w:rPr>
              <w:rFonts w:hint="eastAsia"/>
              <w:sz w:val="24"/>
            </w:rPr>
            <w:fldChar w:fldCharType="separate"/>
          </w:r>
          <w:r>
            <w:rPr>
              <w:sz w:val="24"/>
            </w:rPr>
            <w:t>8</w:t>
          </w:r>
          <w:r>
            <w:rPr>
              <w:rFonts w:hint="eastAsia"/>
              <w:sz w:val="24"/>
            </w:rPr>
            <w:fldChar w:fldCharType="end"/>
          </w:r>
          <w:r>
            <w:rPr>
              <w:rFonts w:hint="eastAsia"/>
              <w:sz w:val="24"/>
            </w:rPr>
            <w:fldChar w:fldCharType="end"/>
          </w:r>
        </w:p>
        <w:p w14:paraId="704DA018">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"_Toc227574846" </w:instrText>
          </w:r>
          <w:r>
            <w:fldChar w:fldCharType="separate"/>
          </w:r>
          <w:r>
            <w:rPr>
              <w:rStyle w:val="35"/>
              <w:rFonts w:hint="eastAsia"/>
              <w:b/>
              <w:color w:val="auto"/>
              <w:sz w:val="24"/>
            </w:rPr>
            <w:t>5.1</w:t>
          </w:r>
          <w:r>
            <w:rPr>
              <w:rStyle w:val="35"/>
              <w:rFonts w:hint="eastAsia"/>
              <w:color w:val="auto"/>
              <w:sz w:val="24"/>
            </w:rPr>
            <w:t xml:space="preserve"> 一般规定</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_Toc227574846 \h</w:instrText>
          </w:r>
          <w:r>
            <w:rPr>
              <w:rFonts w:hint="eastAsia"/>
              <w:sz w:val="24"/>
            </w:rPr>
            <w:instrText xml:space="preserve"> </w:instrText>
          </w:r>
          <w:r>
            <w:rPr>
              <w:rFonts w:hint="eastAsia"/>
              <w:sz w:val="24"/>
            </w:rPr>
            <w:fldChar w:fldCharType="separate"/>
          </w:r>
          <w:r>
            <w:rPr>
              <w:sz w:val="24"/>
            </w:rPr>
            <w:t>8</w:t>
          </w:r>
          <w:r>
            <w:rPr>
              <w:rFonts w:hint="eastAsia"/>
              <w:sz w:val="24"/>
            </w:rPr>
            <w:fldChar w:fldCharType="end"/>
          </w:r>
          <w:r>
            <w:rPr>
              <w:rFonts w:hint="eastAsia"/>
              <w:sz w:val="24"/>
            </w:rPr>
            <w:fldChar w:fldCharType="end"/>
          </w:r>
        </w:p>
        <w:p w14:paraId="6D03B206">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"_Toc227574847" </w:instrText>
          </w:r>
          <w:r>
            <w:fldChar w:fldCharType="separate"/>
          </w:r>
          <w:r>
            <w:rPr>
              <w:rStyle w:val="35"/>
              <w:rFonts w:hint="eastAsia"/>
              <w:b/>
              <w:color w:val="auto"/>
              <w:sz w:val="24"/>
            </w:rPr>
            <w:t>5.2</w:t>
          </w:r>
          <w:r>
            <w:rPr>
              <w:rStyle w:val="35"/>
              <w:rFonts w:hint="eastAsia"/>
              <w:color w:val="auto"/>
              <w:sz w:val="24"/>
            </w:rPr>
            <w:t xml:space="preserve"> 构件生产</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_Toc227574847 \h</w:instrText>
          </w:r>
          <w:r>
            <w:rPr>
              <w:rFonts w:hint="eastAsia"/>
              <w:sz w:val="24"/>
            </w:rPr>
            <w:instrText xml:space="preserve"> </w:instrText>
          </w:r>
          <w:r>
            <w:rPr>
              <w:rFonts w:hint="eastAsia"/>
              <w:sz w:val="24"/>
            </w:rPr>
            <w:fldChar w:fldCharType="separate"/>
          </w:r>
          <w:r>
            <w:rPr>
              <w:sz w:val="24"/>
            </w:rPr>
            <w:t>8</w:t>
          </w:r>
          <w:r>
            <w:rPr>
              <w:rFonts w:hint="eastAsia"/>
              <w:sz w:val="24"/>
            </w:rPr>
            <w:fldChar w:fldCharType="end"/>
          </w:r>
          <w:r>
            <w:rPr>
              <w:rFonts w:hint="eastAsia"/>
              <w:sz w:val="24"/>
            </w:rPr>
            <w:fldChar w:fldCharType="end"/>
          </w:r>
        </w:p>
        <w:p w14:paraId="41D19361">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"_Toc227574848" </w:instrText>
          </w:r>
          <w:r>
            <w:fldChar w:fldCharType="separate"/>
          </w:r>
          <w:r>
            <w:rPr>
              <w:rStyle w:val="35"/>
              <w:rFonts w:hint="eastAsia"/>
              <w:b/>
              <w:color w:val="auto"/>
              <w:sz w:val="24"/>
            </w:rPr>
            <w:t>5.3</w:t>
          </w:r>
          <w:r>
            <w:rPr>
              <w:rStyle w:val="35"/>
              <w:rFonts w:hint="eastAsia"/>
              <w:color w:val="auto"/>
              <w:sz w:val="24"/>
            </w:rPr>
            <w:t xml:space="preserve"> 存放与运输</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_Toc227574848 \h</w:instrText>
          </w:r>
          <w:r>
            <w:rPr>
              <w:rFonts w:hint="eastAsia"/>
              <w:sz w:val="24"/>
            </w:rPr>
            <w:instrText xml:space="preserve"> </w:instrText>
          </w:r>
          <w:r>
            <w:rPr>
              <w:rFonts w:hint="eastAsia"/>
              <w:sz w:val="24"/>
            </w:rPr>
            <w:fldChar w:fldCharType="separate"/>
          </w:r>
          <w:r>
            <w:rPr>
              <w:sz w:val="24"/>
            </w:rPr>
            <w:t>8</w:t>
          </w:r>
          <w:r>
            <w:rPr>
              <w:rFonts w:hint="eastAsia"/>
              <w:sz w:val="24"/>
            </w:rPr>
            <w:fldChar w:fldCharType="end"/>
          </w:r>
          <w:r>
            <w:rPr>
              <w:rFonts w:hint="eastAsia"/>
              <w:sz w:val="24"/>
            </w:rPr>
            <w:fldChar w:fldCharType="end"/>
          </w:r>
        </w:p>
        <w:p w14:paraId="200FCC2D">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"_Toc227574849" </w:instrText>
          </w:r>
          <w:r>
            <w:fldChar w:fldCharType="separate"/>
          </w:r>
          <w:r>
            <w:rPr>
              <w:rStyle w:val="35"/>
              <w:rFonts w:hint="eastAsia"/>
              <w:b/>
              <w:color w:val="auto"/>
              <w:sz w:val="24"/>
            </w:rPr>
            <w:t>6</w:t>
          </w:r>
          <w:r>
            <w:rPr>
              <w:rStyle w:val="35"/>
              <w:rFonts w:hint="eastAsia"/>
              <w:color w:val="auto"/>
              <w:sz w:val="24"/>
            </w:rPr>
            <w:t xml:space="preserve"> </w:t>
          </w:r>
          <w:r>
            <w:rPr>
              <w:rStyle w:val="35"/>
              <w:rFonts w:hint="eastAsia" w:ascii="黑体" w:hAnsi="黑体" w:eastAsia="黑体"/>
              <w:b/>
              <w:bCs/>
              <w:color w:val="auto"/>
              <w:sz w:val="24"/>
            </w:rPr>
            <w:t>施工</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_Toc227574849 \h</w:instrText>
          </w:r>
          <w:r>
            <w:rPr>
              <w:rFonts w:hint="eastAsia"/>
              <w:sz w:val="24"/>
            </w:rPr>
            <w:instrText xml:space="preserve"> </w:instrText>
          </w:r>
          <w:r>
            <w:rPr>
              <w:rFonts w:hint="eastAsia"/>
              <w:sz w:val="24"/>
            </w:rPr>
            <w:fldChar w:fldCharType="separate"/>
          </w:r>
          <w:r>
            <w:rPr>
              <w:sz w:val="24"/>
            </w:rPr>
            <w:t>10</w:t>
          </w:r>
          <w:r>
            <w:rPr>
              <w:rFonts w:hint="eastAsia"/>
              <w:sz w:val="24"/>
            </w:rPr>
            <w:fldChar w:fldCharType="end"/>
          </w:r>
          <w:r>
            <w:rPr>
              <w:rFonts w:hint="eastAsia"/>
              <w:sz w:val="24"/>
            </w:rPr>
            <w:fldChar w:fldCharType="end"/>
          </w:r>
        </w:p>
        <w:p w14:paraId="1918AF52">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"_Toc227574850" </w:instrText>
          </w:r>
          <w:r>
            <w:fldChar w:fldCharType="separate"/>
          </w:r>
          <w:r>
            <w:rPr>
              <w:rStyle w:val="35"/>
              <w:rFonts w:hint="eastAsia"/>
              <w:b/>
              <w:color w:val="auto"/>
              <w:sz w:val="24"/>
            </w:rPr>
            <w:t>6.1</w:t>
          </w:r>
          <w:r>
            <w:rPr>
              <w:rStyle w:val="35"/>
              <w:rFonts w:hint="eastAsia"/>
              <w:color w:val="auto"/>
              <w:sz w:val="24"/>
            </w:rPr>
            <w:t xml:space="preserve"> 一般规定</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_Toc227574850 \h</w:instrText>
          </w:r>
          <w:r>
            <w:rPr>
              <w:rFonts w:hint="eastAsia"/>
              <w:sz w:val="24"/>
            </w:rPr>
            <w:instrText xml:space="preserve"> </w:instrText>
          </w:r>
          <w:r>
            <w:rPr>
              <w:rFonts w:hint="eastAsia"/>
              <w:sz w:val="24"/>
            </w:rPr>
            <w:fldChar w:fldCharType="separate"/>
          </w:r>
          <w:r>
            <w:rPr>
              <w:sz w:val="24"/>
            </w:rPr>
            <w:t>10</w:t>
          </w:r>
          <w:r>
            <w:rPr>
              <w:rFonts w:hint="eastAsia"/>
              <w:sz w:val="24"/>
            </w:rPr>
            <w:fldChar w:fldCharType="end"/>
          </w:r>
          <w:r>
            <w:rPr>
              <w:rFonts w:hint="eastAsia"/>
              <w:sz w:val="24"/>
            </w:rPr>
            <w:fldChar w:fldCharType="end"/>
          </w:r>
        </w:p>
        <w:p w14:paraId="630A8F84">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"_Toc227574851" </w:instrText>
          </w:r>
          <w:r>
            <w:fldChar w:fldCharType="separate"/>
          </w:r>
          <w:r>
            <w:rPr>
              <w:rStyle w:val="35"/>
              <w:rFonts w:hint="eastAsia"/>
              <w:b/>
              <w:color w:val="auto"/>
              <w:sz w:val="24"/>
            </w:rPr>
            <w:t>6.2</w:t>
          </w:r>
          <w:r>
            <w:rPr>
              <w:rStyle w:val="35"/>
              <w:rFonts w:hint="eastAsia"/>
              <w:color w:val="auto"/>
              <w:sz w:val="24"/>
            </w:rPr>
            <w:t xml:space="preserve"> 构件安装</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_Toc227574851 \h</w:instrText>
          </w:r>
          <w:r>
            <w:rPr>
              <w:rFonts w:hint="eastAsia"/>
              <w:sz w:val="24"/>
            </w:rPr>
            <w:instrText xml:space="preserve"> </w:instrText>
          </w:r>
          <w:r>
            <w:rPr>
              <w:rFonts w:hint="eastAsia"/>
              <w:sz w:val="24"/>
            </w:rPr>
            <w:fldChar w:fldCharType="separate"/>
          </w:r>
          <w:r>
            <w:rPr>
              <w:sz w:val="24"/>
            </w:rPr>
            <w:t>10</w:t>
          </w:r>
          <w:r>
            <w:rPr>
              <w:rFonts w:hint="eastAsia"/>
              <w:sz w:val="24"/>
            </w:rPr>
            <w:fldChar w:fldCharType="end"/>
          </w:r>
          <w:r>
            <w:rPr>
              <w:rFonts w:hint="eastAsia"/>
              <w:sz w:val="24"/>
            </w:rPr>
            <w:fldChar w:fldCharType="end"/>
          </w:r>
        </w:p>
        <w:p w14:paraId="273093AC">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"_Toc227574852" </w:instrText>
          </w:r>
          <w:r>
            <w:fldChar w:fldCharType="separate"/>
          </w:r>
          <w:r>
            <w:rPr>
              <w:rStyle w:val="35"/>
              <w:rFonts w:hint="eastAsia"/>
              <w:b/>
              <w:color w:val="auto"/>
              <w:sz w:val="24"/>
            </w:rPr>
            <w:t>6.3</w:t>
          </w:r>
          <w:r>
            <w:rPr>
              <w:rStyle w:val="35"/>
              <w:rFonts w:hint="eastAsia"/>
              <w:color w:val="auto"/>
              <w:sz w:val="24"/>
            </w:rPr>
            <w:t xml:space="preserve"> 机电施工</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_Toc227574852 \h</w:instrText>
          </w:r>
          <w:r>
            <w:rPr>
              <w:rFonts w:hint="eastAsia"/>
              <w:sz w:val="24"/>
            </w:rPr>
            <w:instrText xml:space="preserve"> </w:instrText>
          </w:r>
          <w:r>
            <w:rPr>
              <w:rFonts w:hint="eastAsia"/>
              <w:sz w:val="24"/>
            </w:rPr>
            <w:fldChar w:fldCharType="separate"/>
          </w:r>
          <w:r>
            <w:rPr>
              <w:sz w:val="24"/>
            </w:rPr>
            <w:t>12</w:t>
          </w:r>
          <w:r>
            <w:rPr>
              <w:rFonts w:hint="eastAsia"/>
              <w:sz w:val="24"/>
            </w:rPr>
            <w:fldChar w:fldCharType="end"/>
          </w:r>
          <w:r>
            <w:rPr>
              <w:rFonts w:hint="eastAsia"/>
              <w:sz w:val="24"/>
            </w:rPr>
            <w:fldChar w:fldCharType="end"/>
          </w:r>
        </w:p>
        <w:p w14:paraId="0D9DE35C">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"_Toc227574853" </w:instrText>
          </w:r>
          <w:r>
            <w:fldChar w:fldCharType="separate"/>
          </w:r>
          <w:r>
            <w:rPr>
              <w:rStyle w:val="35"/>
              <w:rFonts w:hint="eastAsia"/>
              <w:b/>
              <w:color w:val="auto"/>
              <w:sz w:val="24"/>
            </w:rPr>
            <w:t>6.4</w:t>
          </w:r>
          <w:r>
            <w:rPr>
              <w:rStyle w:val="35"/>
              <w:rFonts w:hint="eastAsia"/>
              <w:color w:val="auto"/>
              <w:sz w:val="24"/>
            </w:rPr>
            <w:t xml:space="preserve"> 连接施工</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_Toc227574853 \h</w:instrText>
          </w:r>
          <w:r>
            <w:rPr>
              <w:rFonts w:hint="eastAsia"/>
              <w:sz w:val="24"/>
            </w:rPr>
            <w:instrText xml:space="preserve"> </w:instrText>
          </w:r>
          <w:r>
            <w:rPr>
              <w:rFonts w:hint="eastAsia"/>
              <w:sz w:val="24"/>
            </w:rPr>
            <w:fldChar w:fldCharType="separate"/>
          </w:r>
          <w:r>
            <w:rPr>
              <w:sz w:val="24"/>
            </w:rPr>
            <w:t>13</w:t>
          </w:r>
          <w:r>
            <w:rPr>
              <w:rFonts w:hint="eastAsia"/>
              <w:sz w:val="24"/>
            </w:rPr>
            <w:fldChar w:fldCharType="end"/>
          </w:r>
          <w:r>
            <w:rPr>
              <w:rFonts w:hint="eastAsia"/>
              <w:sz w:val="24"/>
            </w:rPr>
            <w:fldChar w:fldCharType="end"/>
          </w:r>
        </w:p>
        <w:p w14:paraId="7D280AE6">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"_Toc227574854" </w:instrText>
          </w:r>
          <w:r>
            <w:fldChar w:fldCharType="separate"/>
          </w:r>
          <w:r>
            <w:rPr>
              <w:rStyle w:val="35"/>
              <w:rFonts w:hint="eastAsia"/>
              <w:b/>
              <w:color w:val="auto"/>
              <w:sz w:val="24"/>
            </w:rPr>
            <w:t>6.5</w:t>
          </w:r>
          <w:r>
            <w:rPr>
              <w:rStyle w:val="35"/>
              <w:rFonts w:hint="eastAsia"/>
              <w:color w:val="auto"/>
              <w:sz w:val="24"/>
            </w:rPr>
            <w:t xml:space="preserve"> 特殊工艺施工</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_Toc227574854 \h</w:instrText>
          </w:r>
          <w:r>
            <w:rPr>
              <w:rFonts w:hint="eastAsia"/>
              <w:sz w:val="24"/>
            </w:rPr>
            <w:instrText xml:space="preserve"> </w:instrText>
          </w:r>
          <w:r>
            <w:rPr>
              <w:rFonts w:hint="eastAsia"/>
              <w:sz w:val="24"/>
            </w:rPr>
            <w:fldChar w:fldCharType="separate"/>
          </w:r>
          <w:r>
            <w:rPr>
              <w:sz w:val="24"/>
            </w:rPr>
            <w:t>14</w:t>
          </w:r>
          <w:r>
            <w:rPr>
              <w:rFonts w:hint="eastAsia"/>
              <w:sz w:val="24"/>
            </w:rPr>
            <w:fldChar w:fldCharType="end"/>
          </w:r>
          <w:r>
            <w:rPr>
              <w:rFonts w:hint="eastAsia"/>
              <w:sz w:val="24"/>
            </w:rPr>
            <w:fldChar w:fldCharType="end"/>
          </w:r>
        </w:p>
        <w:p w14:paraId="04370887">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"_Toc227574855" </w:instrText>
          </w:r>
          <w:r>
            <w:fldChar w:fldCharType="separate"/>
          </w:r>
          <w:r>
            <w:rPr>
              <w:rStyle w:val="35"/>
              <w:rFonts w:hint="eastAsia"/>
              <w:b/>
              <w:color w:val="auto"/>
              <w:sz w:val="24"/>
            </w:rPr>
            <w:t>6.6</w:t>
          </w:r>
          <w:r>
            <w:rPr>
              <w:rStyle w:val="35"/>
              <w:rFonts w:hint="eastAsia"/>
              <w:color w:val="auto"/>
              <w:sz w:val="24"/>
            </w:rPr>
            <w:t xml:space="preserve"> 施工安全</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_Toc227574855 \h</w:instrText>
          </w:r>
          <w:r>
            <w:rPr>
              <w:rFonts w:hint="eastAsia"/>
              <w:sz w:val="24"/>
            </w:rPr>
            <w:instrText xml:space="preserve"> </w:instrText>
          </w:r>
          <w:r>
            <w:rPr>
              <w:rFonts w:hint="eastAsia"/>
              <w:sz w:val="24"/>
            </w:rPr>
            <w:fldChar w:fldCharType="separate"/>
          </w:r>
          <w:r>
            <w:rPr>
              <w:sz w:val="24"/>
            </w:rPr>
            <w:t>16</w:t>
          </w:r>
          <w:r>
            <w:rPr>
              <w:rFonts w:hint="eastAsia"/>
              <w:sz w:val="24"/>
            </w:rPr>
            <w:fldChar w:fldCharType="end"/>
          </w:r>
          <w:r>
            <w:rPr>
              <w:rFonts w:hint="eastAsia"/>
              <w:sz w:val="24"/>
            </w:rPr>
            <w:fldChar w:fldCharType="end"/>
          </w:r>
        </w:p>
        <w:p w14:paraId="4E4ED6F8">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"_Toc227574856" </w:instrText>
          </w:r>
          <w:r>
            <w:fldChar w:fldCharType="separate"/>
          </w:r>
          <w:r>
            <w:rPr>
              <w:rStyle w:val="35"/>
              <w:rFonts w:hint="eastAsia"/>
              <w:b/>
              <w:color w:val="auto"/>
              <w:sz w:val="24"/>
            </w:rPr>
            <w:t>7</w:t>
          </w:r>
          <w:r>
            <w:rPr>
              <w:rStyle w:val="35"/>
              <w:rFonts w:hint="eastAsia"/>
              <w:color w:val="auto"/>
              <w:sz w:val="24"/>
            </w:rPr>
            <w:t xml:space="preserve"> </w:t>
          </w:r>
          <w:r>
            <w:rPr>
              <w:rStyle w:val="35"/>
              <w:rFonts w:hint="eastAsia" w:ascii="黑体" w:hAnsi="黑体" w:eastAsia="黑体"/>
              <w:b/>
              <w:bCs/>
              <w:color w:val="auto"/>
              <w:sz w:val="24"/>
            </w:rPr>
            <w:t>质量验收</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_Toc227574856 \h</w:instrText>
          </w:r>
          <w:r>
            <w:rPr>
              <w:rFonts w:hint="eastAsia"/>
              <w:sz w:val="24"/>
            </w:rPr>
            <w:instrText xml:space="preserve"> </w:instrText>
          </w:r>
          <w:r>
            <w:rPr>
              <w:rFonts w:hint="eastAsia"/>
              <w:sz w:val="24"/>
            </w:rPr>
            <w:fldChar w:fldCharType="separate"/>
          </w:r>
          <w:r>
            <w:rPr>
              <w:sz w:val="24"/>
            </w:rPr>
            <w:t>19</w:t>
          </w:r>
          <w:r>
            <w:rPr>
              <w:rFonts w:hint="eastAsia"/>
              <w:sz w:val="24"/>
            </w:rPr>
            <w:fldChar w:fldCharType="end"/>
          </w:r>
          <w:r>
            <w:rPr>
              <w:rFonts w:hint="eastAsia"/>
              <w:sz w:val="24"/>
            </w:rPr>
            <w:fldChar w:fldCharType="end"/>
          </w:r>
        </w:p>
        <w:p w14:paraId="4199BD36">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"_Toc227574857" </w:instrText>
          </w:r>
          <w:r>
            <w:fldChar w:fldCharType="separate"/>
          </w:r>
          <w:r>
            <w:rPr>
              <w:rStyle w:val="35"/>
              <w:rFonts w:hint="eastAsia"/>
              <w:b/>
              <w:color w:val="auto"/>
              <w:sz w:val="24"/>
            </w:rPr>
            <w:t>7.1</w:t>
          </w:r>
          <w:r>
            <w:rPr>
              <w:rStyle w:val="35"/>
              <w:rFonts w:hint="eastAsia"/>
              <w:color w:val="auto"/>
              <w:sz w:val="24"/>
            </w:rPr>
            <w:t xml:space="preserve"> 一般规定</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_Toc227574857 \h</w:instrText>
          </w:r>
          <w:r>
            <w:rPr>
              <w:rFonts w:hint="eastAsia"/>
              <w:sz w:val="24"/>
            </w:rPr>
            <w:instrText xml:space="preserve"> </w:instrText>
          </w:r>
          <w:r>
            <w:rPr>
              <w:rFonts w:hint="eastAsia"/>
              <w:sz w:val="24"/>
            </w:rPr>
            <w:fldChar w:fldCharType="separate"/>
          </w:r>
          <w:r>
            <w:rPr>
              <w:sz w:val="24"/>
            </w:rPr>
            <w:t>19</w:t>
          </w:r>
          <w:r>
            <w:rPr>
              <w:rFonts w:hint="eastAsia"/>
              <w:sz w:val="24"/>
            </w:rPr>
            <w:fldChar w:fldCharType="end"/>
          </w:r>
          <w:r>
            <w:rPr>
              <w:rFonts w:hint="eastAsia"/>
              <w:sz w:val="24"/>
            </w:rPr>
            <w:fldChar w:fldCharType="end"/>
          </w:r>
        </w:p>
        <w:p w14:paraId="41FCA7A5">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"_Toc227574858" </w:instrText>
          </w:r>
          <w:r>
            <w:fldChar w:fldCharType="separate"/>
          </w:r>
          <w:r>
            <w:rPr>
              <w:rStyle w:val="35"/>
              <w:rFonts w:hint="eastAsia"/>
              <w:b/>
              <w:color w:val="auto"/>
              <w:sz w:val="24"/>
            </w:rPr>
            <w:t>7.2</w:t>
          </w:r>
          <w:r>
            <w:rPr>
              <w:rStyle w:val="35"/>
              <w:rFonts w:hint="eastAsia"/>
              <w:color w:val="auto"/>
              <w:sz w:val="24"/>
            </w:rPr>
            <w:t xml:space="preserve"> 构件进场验收</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_Toc227574858 \h</w:instrText>
          </w:r>
          <w:r>
            <w:rPr>
              <w:rFonts w:hint="eastAsia"/>
              <w:sz w:val="24"/>
            </w:rPr>
            <w:instrText xml:space="preserve"> </w:instrText>
          </w:r>
          <w:r>
            <w:rPr>
              <w:rFonts w:hint="eastAsia"/>
              <w:sz w:val="24"/>
            </w:rPr>
            <w:fldChar w:fldCharType="separate"/>
          </w:r>
          <w:r>
            <w:rPr>
              <w:sz w:val="24"/>
            </w:rPr>
            <w:t>20</w:t>
          </w:r>
          <w:r>
            <w:rPr>
              <w:rFonts w:hint="eastAsia"/>
              <w:sz w:val="24"/>
            </w:rPr>
            <w:fldChar w:fldCharType="end"/>
          </w:r>
          <w:r>
            <w:rPr>
              <w:rFonts w:hint="eastAsia"/>
              <w:sz w:val="24"/>
            </w:rPr>
            <w:fldChar w:fldCharType="end"/>
          </w:r>
        </w:p>
        <w:p w14:paraId="14B8356B">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sz w:val="24"/>
              <w14:ligatures w14:val="standardContextual"/>
            </w:rPr>
          </w:pPr>
          <w:r>
            <w:fldChar w:fldCharType="begin"/>
          </w:r>
          <w:r>
            <w:instrText xml:space="preserve"> HYPERLINK \l "_Toc227574859" </w:instrText>
          </w:r>
          <w:r>
            <w:fldChar w:fldCharType="separate"/>
          </w:r>
          <w:r>
            <w:rPr>
              <w:rStyle w:val="35"/>
              <w:rFonts w:hint="eastAsia"/>
              <w:b/>
              <w:color w:val="auto"/>
              <w:sz w:val="24"/>
            </w:rPr>
            <w:t>7.3</w:t>
          </w:r>
          <w:r>
            <w:rPr>
              <w:rStyle w:val="35"/>
              <w:rFonts w:hint="eastAsia"/>
              <w:color w:val="auto"/>
              <w:sz w:val="24"/>
            </w:rPr>
            <w:t xml:space="preserve"> 施工安装验收</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_Toc227574859 \h</w:instrText>
          </w:r>
          <w:r>
            <w:rPr>
              <w:rFonts w:hint="eastAsia"/>
              <w:sz w:val="24"/>
            </w:rPr>
            <w:instrText xml:space="preserve"> </w:instrText>
          </w:r>
          <w:r>
            <w:rPr>
              <w:rFonts w:hint="eastAsia"/>
              <w:sz w:val="24"/>
            </w:rPr>
            <w:fldChar w:fldCharType="separate"/>
          </w:r>
          <w:r>
            <w:rPr>
              <w:sz w:val="24"/>
            </w:rPr>
            <w:t>22</w:t>
          </w:r>
          <w:r>
            <w:rPr>
              <w:rFonts w:hint="eastAsia"/>
              <w:sz w:val="24"/>
            </w:rPr>
            <w:fldChar w:fldCharType="end"/>
          </w:r>
          <w:r>
            <w:rPr>
              <w:rFonts w:hint="eastAsia"/>
              <w:sz w:val="24"/>
            </w:rPr>
            <w:fldChar w:fldCharType="end"/>
          </w:r>
        </w:p>
        <w:p w14:paraId="79E6007E">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Style w:val="35"/>
              <w:rFonts w:hint="eastAsia" w:ascii="黑体" w:hAnsi="黑体" w:eastAsia="黑体"/>
              <w:b/>
              <w:bCs/>
              <w:color w:val="auto"/>
            </w:rPr>
          </w:pPr>
          <w:r>
            <w:fldChar w:fldCharType="begin"/>
          </w:r>
          <w:r>
            <w:instrText xml:space="preserve"> HYPERLINK \l "_Toc227574860" </w:instrText>
          </w:r>
          <w:r>
            <w:fldChar w:fldCharType="separate"/>
          </w:r>
          <w:r>
            <w:rPr>
              <w:rStyle w:val="35"/>
              <w:rFonts w:hint="eastAsia" w:ascii="黑体" w:hAnsi="黑体" w:eastAsia="黑体"/>
              <w:b/>
              <w:bCs/>
              <w:color w:val="auto"/>
              <w:sz w:val="24"/>
            </w:rPr>
            <w:t>本规程用词说明</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_Toc227574860 \h</w:instrText>
          </w:r>
          <w:r>
            <w:rPr>
              <w:rFonts w:hint="eastAsia"/>
              <w:sz w:val="24"/>
            </w:rPr>
            <w:instrText xml:space="preserve"> </w:instrText>
          </w:r>
          <w:r>
            <w:rPr>
              <w:rFonts w:hint="eastAsia"/>
              <w:sz w:val="24"/>
            </w:rPr>
            <w:fldChar w:fldCharType="separate"/>
          </w:r>
          <w:r>
            <w:rPr>
              <w:sz w:val="24"/>
            </w:rPr>
            <w:t>28</w:t>
          </w:r>
          <w:r>
            <w:rPr>
              <w:rFonts w:hint="eastAsia"/>
              <w:sz w:val="24"/>
            </w:rPr>
            <w:fldChar w:fldCharType="end"/>
          </w:r>
          <w:r>
            <w:rPr>
              <w:rFonts w:hint="eastAsia"/>
              <w:sz w:val="24"/>
            </w:rPr>
            <w:fldChar w:fldCharType="end"/>
          </w:r>
        </w:p>
        <w:p w14:paraId="07ADCB93">
          <w:pPr>
            <w:pStyle w:val="20"/>
            <w:spacing w:line="312" w:lineRule="auto"/>
            <w:rPr>
              <w:rStyle w:val="35"/>
              <w:rFonts w:hint="eastAsia" w:ascii="黑体" w:hAnsi="黑体" w:eastAsia="黑体"/>
              <w:b/>
              <w:bCs/>
              <w:color w:val="auto"/>
            </w:rPr>
          </w:pPr>
          <w:r>
            <w:fldChar w:fldCharType="begin"/>
          </w:r>
          <w:r>
            <w:instrText xml:space="preserve"> HYPERLINK \l "_Toc227574861" </w:instrText>
          </w:r>
          <w:r>
            <w:fldChar w:fldCharType="separate"/>
          </w:r>
          <w:r>
            <w:rPr>
              <w:rStyle w:val="35"/>
              <w:rFonts w:hint="eastAsia" w:ascii="黑体" w:hAnsi="黑体" w:eastAsia="黑体"/>
              <w:b/>
              <w:bCs/>
              <w:color w:val="auto"/>
              <w:sz w:val="24"/>
            </w:rPr>
            <w:t>引用标准名录</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_Toc227574861 \h</w:instrText>
          </w:r>
          <w:r>
            <w:rPr>
              <w:rFonts w:hint="eastAsia"/>
              <w:sz w:val="24"/>
            </w:rPr>
            <w:instrText xml:space="preserve"> </w:instrText>
          </w:r>
          <w:r>
            <w:rPr>
              <w:rFonts w:hint="eastAsia"/>
              <w:sz w:val="24"/>
            </w:rPr>
            <w:fldChar w:fldCharType="separate"/>
          </w:r>
          <w:r>
            <w:rPr>
              <w:sz w:val="24"/>
            </w:rPr>
            <w:t>29</w:t>
          </w:r>
          <w:r>
            <w:rPr>
              <w:rFonts w:hint="eastAsia"/>
              <w:sz w:val="24"/>
            </w:rPr>
            <w:fldChar w:fldCharType="end"/>
          </w:r>
          <w:r>
            <w:rPr>
              <w:rFonts w:hint="eastAsia"/>
              <w:sz w:val="24"/>
            </w:rPr>
            <w:fldChar w:fldCharType="end"/>
          </w:r>
        </w:p>
        <w:p w14:paraId="31678C29">
          <w:pPr>
            <w:pStyle w:val="20"/>
            <w:spacing w:line="312" w:lineRule="auto"/>
            <w:rPr>
              <w:rStyle w:val="35"/>
              <w:rFonts w:hint="eastAsia" w:ascii="黑体" w:hAnsi="黑体" w:eastAsia="黑体"/>
              <w:b/>
              <w:bCs/>
              <w:color w:val="auto"/>
            </w:rPr>
          </w:pPr>
          <w:r>
            <w:fldChar w:fldCharType="begin"/>
          </w:r>
          <w:r>
            <w:instrText xml:space="preserve"> HYPERLINK \l "_Toc227574862" </w:instrText>
          </w:r>
          <w:r>
            <w:fldChar w:fldCharType="separate"/>
          </w:r>
          <w:r>
            <w:rPr>
              <w:rStyle w:val="35"/>
              <w:rFonts w:hint="eastAsia" w:ascii="黑体" w:hAnsi="黑体" w:eastAsia="黑体"/>
              <w:b/>
              <w:bCs/>
              <w:color w:val="auto"/>
              <w:sz w:val="24"/>
            </w:rPr>
            <w:t>附：条文说明</w:t>
          </w:r>
          <w:r>
            <w:rPr>
              <w:rFonts w:hint="eastAsia"/>
              <w:sz w:val="24"/>
            </w:rPr>
            <w:tab/>
          </w:r>
          <w:r>
            <w:rPr>
              <w:rFonts w:hint="eastAsia"/>
              <w:sz w:val="24"/>
            </w:rPr>
            <w:t>31</w:t>
          </w:r>
          <w:r>
            <w:rPr>
              <w:rFonts w:hint="eastAsia"/>
              <w:sz w:val="24"/>
            </w:rPr>
            <w:fldChar w:fldCharType="end"/>
          </w:r>
        </w:p>
        <w:p w14:paraId="6C78DEDA">
          <w:pPr>
            <w:pStyle w:val="20"/>
            <w:spacing w:line="480" w:lineRule="exact"/>
            <w:rPr>
              <w:sz w:val="24"/>
            </w:rPr>
          </w:pPr>
          <w:r>
            <w:fldChar w:fldCharType="end"/>
          </w:r>
        </w:p>
      </w:sdtContent>
    </w:sdt>
    <w:p w14:paraId="740A48DA">
      <w:pPr>
        <w:widowControl/>
        <w:jc w:val="left"/>
      </w:pPr>
    </w:p>
    <w:p w14:paraId="4999D68B">
      <w:pPr>
        <w:widowControl/>
        <w:jc w:val="left"/>
      </w:pPr>
      <w:r>
        <w:br w:type="page"/>
      </w:r>
    </w:p>
    <w:sdt>
      <w:sdtPr>
        <w:rPr>
          <w:lang w:val="zh-CN"/>
        </w:rPr>
        <w:id w:val="147460595"/>
        <w:docPartObj>
          <w:docPartGallery w:val="Table of Contents"/>
          <w:docPartUnique/>
        </w:docPartObj>
      </w:sdtPr>
      <w:sdtEndPr>
        <w:rPr>
          <w:b/>
          <w:bCs/>
          <w:sz w:val="24"/>
          <w:lang w:val="zh-CN"/>
        </w:rPr>
      </w:sdtEndPr>
      <w:sdtContent>
        <w:p w14:paraId="2DC87C5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sz w:val="32"/>
              <w:szCs w:val="32"/>
            </w:rPr>
          </w:pPr>
          <w:bookmarkStart w:id="216" w:name="_GoBack"/>
          <w:r>
            <w:rPr>
              <w:b/>
              <w:sz w:val="32"/>
              <w:szCs w:val="32"/>
            </w:rPr>
            <w:t>Contents</w:t>
          </w:r>
        </w:p>
        <w:bookmarkEnd w:id="216"/>
        <w:p w14:paraId="7F58153C">
          <w:pPr>
            <w:pStyle w:val="20"/>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rPr>
              <w:sz w:val="24"/>
            </w:rPr>
            <w:fldChar w:fldCharType="begin"/>
          </w:r>
          <w:r>
            <w:rPr>
              <w:sz w:val="24"/>
            </w:rPr>
            <w:instrText xml:space="preserve"> TOC \o "1-2" \h \z \u </w:instrText>
          </w:r>
          <w:r>
            <w:rPr>
              <w:sz w:val="24"/>
            </w:rPr>
            <w:fldChar w:fldCharType="separate"/>
          </w:r>
          <w:r>
            <w:fldChar w:fldCharType="begin"/>
          </w:r>
          <w:r>
            <w:instrText xml:space="preserve"> HYPERLINK \l "_Toc214377304" </w:instrText>
          </w:r>
          <w:r>
            <w:fldChar w:fldCharType="separate"/>
          </w:r>
          <w:r>
            <w:rPr>
              <w:b/>
              <w:bCs/>
              <w:sz w:val="24"/>
            </w:rPr>
            <w:t>1 General provisions</w:t>
          </w:r>
          <w:r>
            <w:rPr>
              <w:sz w:val="24"/>
            </w:rPr>
            <w:tab/>
          </w:r>
          <w:r>
            <w:rPr>
              <w:rFonts w:hint="eastAsia"/>
              <w:sz w:val="24"/>
            </w:rPr>
            <w:t>1</w:t>
          </w:r>
          <w:r>
            <w:rPr>
              <w:rFonts w:hint="eastAsia"/>
              <w:sz w:val="24"/>
            </w:rPr>
            <w:fldChar w:fldCharType="end"/>
          </w:r>
        </w:p>
        <w:p w14:paraId="71339EFF">
          <w:pPr>
            <w:pStyle w:val="20"/>
            <w:keepNext w:val="0"/>
            <w:keepLines w:val="0"/>
            <w:pageBreakBefore w:val="0"/>
            <w:widowControl w:val="0"/>
            <w:kinsoku/>
            <w:wordWrap/>
            <w:overflowPunct/>
            <w:topLinePunct w:val="0"/>
            <w:autoSpaceDE/>
            <w:autoSpaceDN/>
            <w:bidi w:val="0"/>
            <w:adjustRightInd/>
            <w:snapToGrid/>
            <w:spacing w:line="240" w:lineRule="auto"/>
            <w:textAlignment w:val="auto"/>
            <w:rPr>
              <w:b/>
              <w:bCs/>
              <w:sz w:val="24"/>
            </w:rPr>
          </w:pPr>
          <w:r>
            <w:fldChar w:fldCharType="begin"/>
          </w:r>
          <w:r>
            <w:instrText xml:space="preserve"> HYPERLINK \l "_Toc214377305" </w:instrText>
          </w:r>
          <w:r>
            <w:fldChar w:fldCharType="separate"/>
          </w:r>
          <w:r>
            <w:rPr>
              <w:b/>
              <w:bCs/>
              <w:sz w:val="24"/>
            </w:rPr>
            <w:t>2 Terminology</w:t>
          </w:r>
          <w:r>
            <w:rPr>
              <w:sz w:val="24"/>
            </w:rPr>
            <w:tab/>
          </w:r>
          <w:r>
            <w:rPr>
              <w:rFonts w:hint="eastAsia"/>
              <w:sz w:val="24"/>
            </w:rPr>
            <w:t>2</w:t>
          </w:r>
          <w:r>
            <w:rPr>
              <w:rFonts w:hint="eastAsia"/>
              <w:sz w:val="24"/>
            </w:rPr>
            <w:fldChar w:fldCharType="end"/>
          </w:r>
        </w:p>
        <w:p w14:paraId="646794BF">
          <w:pPr>
            <w:pStyle w:val="20"/>
            <w:keepNext w:val="0"/>
            <w:keepLines w:val="0"/>
            <w:pageBreakBefore w:val="0"/>
            <w:widowControl w:val="0"/>
            <w:kinsoku/>
            <w:wordWrap/>
            <w:overflowPunct/>
            <w:topLinePunct w:val="0"/>
            <w:autoSpaceDE/>
            <w:autoSpaceDN/>
            <w:bidi w:val="0"/>
            <w:adjustRightInd/>
            <w:snapToGrid/>
            <w:spacing w:line="240" w:lineRule="auto"/>
            <w:textAlignment w:val="auto"/>
            <w:rPr>
              <w:b/>
              <w:bCs/>
              <w:sz w:val="24"/>
            </w:rPr>
          </w:pPr>
          <w:r>
            <w:fldChar w:fldCharType="begin"/>
          </w:r>
          <w:r>
            <w:instrText xml:space="preserve"> HYPERLINK \l "_Toc214377306" </w:instrText>
          </w:r>
          <w:r>
            <w:fldChar w:fldCharType="separate"/>
          </w:r>
          <w:r>
            <w:rPr>
              <w:b/>
              <w:bCs/>
              <w:sz w:val="24"/>
            </w:rPr>
            <w:t>3 Basic regulations</w:t>
          </w:r>
          <w:r>
            <w:rPr>
              <w:sz w:val="24"/>
            </w:rPr>
            <w:tab/>
          </w:r>
          <w:r>
            <w:rPr>
              <w:rFonts w:hint="eastAsia"/>
              <w:sz w:val="24"/>
            </w:rPr>
            <w:t>3</w:t>
          </w:r>
          <w:r>
            <w:rPr>
              <w:rFonts w:hint="eastAsia"/>
              <w:sz w:val="24"/>
            </w:rPr>
            <w:fldChar w:fldCharType="end"/>
          </w:r>
        </w:p>
        <w:p w14:paraId="74C243D1">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"_Toc220147752" </w:instrText>
          </w:r>
          <w:r>
            <w:fldChar w:fldCharType="separate"/>
          </w:r>
          <w:r>
            <w:rPr>
              <w:rStyle w:val="35"/>
              <w:b/>
              <w:color w:val="auto"/>
              <w:sz w:val="24"/>
            </w:rPr>
            <w:t>4</w:t>
          </w:r>
          <w:r>
            <w:rPr>
              <w:rStyle w:val="35"/>
              <w:color w:val="auto"/>
              <w:sz w:val="24"/>
            </w:rPr>
            <w:t xml:space="preserve"> </w:t>
          </w:r>
          <w:r>
            <w:rPr>
              <w:rStyle w:val="35"/>
              <w:b/>
              <w:bCs/>
              <w:color w:val="auto"/>
              <w:sz w:val="24"/>
            </w:rPr>
            <w:t>Design</w:t>
          </w:r>
          <w:r>
            <w:rPr>
              <w:sz w:val="24"/>
            </w:rPr>
            <w:tab/>
          </w:r>
          <w:r>
            <w:rPr>
              <w:rFonts w:hint="eastAsia"/>
              <w:sz w:val="24"/>
            </w:rPr>
            <w:t>4</w:t>
          </w:r>
          <w:r>
            <w:rPr>
              <w:rFonts w:hint="eastAsia"/>
              <w:sz w:val="24"/>
            </w:rPr>
            <w:fldChar w:fldCharType="end"/>
          </w:r>
        </w:p>
        <w:p w14:paraId="5BB0A05C">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"_Toc220147753" </w:instrText>
          </w:r>
          <w:r>
            <w:fldChar w:fldCharType="separate"/>
          </w:r>
          <w:r>
            <w:rPr>
              <w:rStyle w:val="35"/>
              <w:b/>
              <w:color w:val="auto"/>
              <w:sz w:val="24"/>
            </w:rPr>
            <w:t>4.1</w:t>
          </w:r>
          <w:r>
            <w:rPr>
              <w:rStyle w:val="35"/>
              <w:color w:val="auto"/>
              <w:sz w:val="24"/>
            </w:rPr>
            <w:t xml:space="preserve"> General </w:t>
          </w:r>
          <w:r>
            <w:rPr>
              <w:rStyle w:val="35"/>
              <w:rFonts w:hint="eastAsia"/>
              <w:color w:val="auto"/>
              <w:sz w:val="24"/>
            </w:rPr>
            <w:t>p</w:t>
          </w:r>
          <w:r>
            <w:rPr>
              <w:rStyle w:val="35"/>
              <w:color w:val="auto"/>
              <w:sz w:val="24"/>
            </w:rPr>
            <w:t>rovisions</w:t>
          </w:r>
          <w:r>
            <w:rPr>
              <w:sz w:val="24"/>
            </w:rPr>
            <w:tab/>
          </w:r>
          <w:r>
            <w:rPr>
              <w:rFonts w:hint="eastAsia"/>
              <w:sz w:val="24"/>
            </w:rPr>
            <w:t>4</w:t>
          </w:r>
          <w:r>
            <w:rPr>
              <w:rFonts w:hint="eastAsia"/>
              <w:sz w:val="24"/>
            </w:rPr>
            <w:fldChar w:fldCharType="end"/>
          </w:r>
        </w:p>
        <w:p w14:paraId="2204D7F1">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"_Toc220147754" </w:instrText>
          </w:r>
          <w:r>
            <w:fldChar w:fldCharType="separate"/>
          </w:r>
          <w:r>
            <w:rPr>
              <w:rStyle w:val="35"/>
              <w:b/>
              <w:color w:val="auto"/>
              <w:sz w:val="24"/>
            </w:rPr>
            <w:t>4.2</w:t>
          </w:r>
          <w:r>
            <w:rPr>
              <w:rStyle w:val="35"/>
              <w:color w:val="auto"/>
              <w:sz w:val="24"/>
            </w:rPr>
            <w:t xml:space="preserve"> Component </w:t>
          </w:r>
          <w:r>
            <w:rPr>
              <w:rStyle w:val="35"/>
              <w:rFonts w:hint="eastAsia"/>
              <w:color w:val="auto"/>
              <w:sz w:val="24"/>
            </w:rPr>
            <w:t>d</w:t>
          </w:r>
          <w:r>
            <w:rPr>
              <w:rStyle w:val="35"/>
              <w:color w:val="auto"/>
              <w:sz w:val="24"/>
            </w:rPr>
            <w:t>esign</w:t>
          </w:r>
          <w:r>
            <w:rPr>
              <w:sz w:val="24"/>
            </w:rPr>
            <w:tab/>
          </w:r>
          <w:r>
            <w:rPr>
              <w:rFonts w:hint="eastAsia"/>
              <w:sz w:val="24"/>
            </w:rPr>
            <w:t>5</w:t>
          </w:r>
          <w:r>
            <w:rPr>
              <w:rFonts w:hint="eastAsia"/>
              <w:sz w:val="24"/>
            </w:rPr>
            <w:fldChar w:fldCharType="end"/>
          </w:r>
        </w:p>
        <w:p w14:paraId="2EDD0F52">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"_Toc220147755" </w:instrText>
          </w:r>
          <w:r>
            <w:fldChar w:fldCharType="separate"/>
          </w:r>
          <w:r>
            <w:rPr>
              <w:rStyle w:val="35"/>
              <w:b/>
              <w:color w:val="auto"/>
              <w:sz w:val="24"/>
            </w:rPr>
            <w:t>4.3</w:t>
          </w:r>
          <w:r>
            <w:rPr>
              <w:rStyle w:val="35"/>
              <w:color w:val="auto"/>
              <w:sz w:val="24"/>
            </w:rPr>
            <w:t xml:space="preserve"> Connection </w:t>
          </w:r>
          <w:r>
            <w:rPr>
              <w:rStyle w:val="35"/>
              <w:rFonts w:hint="eastAsia"/>
              <w:color w:val="auto"/>
              <w:sz w:val="24"/>
            </w:rPr>
            <w:t>d</w:t>
          </w:r>
          <w:r>
            <w:rPr>
              <w:rStyle w:val="35"/>
              <w:color w:val="auto"/>
              <w:sz w:val="24"/>
            </w:rPr>
            <w:t>esign</w:t>
          </w:r>
          <w:r>
            <w:rPr>
              <w:sz w:val="24"/>
            </w:rPr>
            <w:tab/>
          </w:r>
          <w:r>
            <w:rPr>
              <w:rFonts w:hint="eastAsia"/>
              <w:sz w:val="24"/>
            </w:rPr>
            <w:t>6</w:t>
          </w:r>
          <w:r>
            <w:rPr>
              <w:rFonts w:hint="eastAsia"/>
              <w:sz w:val="24"/>
            </w:rPr>
            <w:fldChar w:fldCharType="end"/>
          </w:r>
        </w:p>
        <w:p w14:paraId="71A17D4D">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"_Toc220147756" </w:instrText>
          </w:r>
          <w:r>
            <w:fldChar w:fldCharType="separate"/>
          </w:r>
          <w:r>
            <w:rPr>
              <w:rStyle w:val="35"/>
              <w:b/>
              <w:color w:val="auto"/>
              <w:sz w:val="24"/>
            </w:rPr>
            <w:t>5</w:t>
          </w:r>
          <w:r>
            <w:rPr>
              <w:rStyle w:val="35"/>
              <w:color w:val="auto"/>
              <w:sz w:val="24"/>
            </w:rPr>
            <w:t xml:space="preserve"> </w:t>
          </w:r>
          <w:r>
            <w:rPr>
              <w:rStyle w:val="35"/>
              <w:b/>
              <w:bCs/>
              <w:color w:val="auto"/>
              <w:sz w:val="24"/>
            </w:rPr>
            <w:t xml:space="preserve">Production and </w:t>
          </w:r>
          <w:r>
            <w:rPr>
              <w:rStyle w:val="35"/>
              <w:rFonts w:hint="eastAsia"/>
              <w:b/>
              <w:bCs/>
              <w:color w:val="auto"/>
              <w:sz w:val="24"/>
            </w:rPr>
            <w:t>t</w:t>
          </w:r>
          <w:r>
            <w:rPr>
              <w:rStyle w:val="35"/>
              <w:b/>
              <w:bCs/>
              <w:color w:val="auto"/>
              <w:sz w:val="24"/>
            </w:rPr>
            <w:t>ransportation</w:t>
          </w:r>
          <w:r>
            <w:rPr>
              <w:sz w:val="24"/>
            </w:rPr>
            <w:tab/>
          </w:r>
          <w:r>
            <w:rPr>
              <w:rFonts w:hint="eastAsia"/>
              <w:sz w:val="24"/>
            </w:rPr>
            <w:t>8</w:t>
          </w:r>
          <w:r>
            <w:rPr>
              <w:rFonts w:hint="eastAsia"/>
              <w:sz w:val="24"/>
            </w:rPr>
            <w:fldChar w:fldCharType="end"/>
          </w:r>
        </w:p>
        <w:p w14:paraId="5B50DBDF">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"_Toc220147757" </w:instrText>
          </w:r>
          <w:r>
            <w:fldChar w:fldCharType="separate"/>
          </w:r>
          <w:r>
            <w:rPr>
              <w:rStyle w:val="35"/>
              <w:b/>
              <w:color w:val="auto"/>
              <w:sz w:val="24"/>
            </w:rPr>
            <w:t>5.1</w:t>
          </w:r>
          <w:r>
            <w:rPr>
              <w:rStyle w:val="35"/>
              <w:color w:val="auto"/>
              <w:sz w:val="24"/>
            </w:rPr>
            <w:t xml:space="preserve"> General </w:t>
          </w:r>
          <w:r>
            <w:rPr>
              <w:rStyle w:val="35"/>
              <w:rFonts w:hint="eastAsia"/>
              <w:color w:val="auto"/>
              <w:sz w:val="24"/>
            </w:rPr>
            <w:t>p</w:t>
          </w:r>
          <w:r>
            <w:rPr>
              <w:rStyle w:val="35"/>
              <w:color w:val="auto"/>
              <w:sz w:val="24"/>
            </w:rPr>
            <w:t>rovisions</w:t>
          </w:r>
          <w:r>
            <w:rPr>
              <w:sz w:val="24"/>
            </w:rPr>
            <w:tab/>
          </w:r>
          <w:r>
            <w:rPr>
              <w:rFonts w:hint="eastAsia"/>
              <w:sz w:val="24"/>
            </w:rPr>
            <w:t>8</w:t>
          </w:r>
          <w:r>
            <w:rPr>
              <w:rFonts w:hint="eastAsia"/>
              <w:sz w:val="24"/>
            </w:rPr>
            <w:fldChar w:fldCharType="end"/>
          </w:r>
        </w:p>
        <w:p w14:paraId="480FDF3D">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"_Toc220147758" </w:instrText>
          </w:r>
          <w:r>
            <w:fldChar w:fldCharType="separate"/>
          </w:r>
          <w:r>
            <w:rPr>
              <w:rStyle w:val="35"/>
              <w:b/>
              <w:color w:val="auto"/>
              <w:sz w:val="24"/>
            </w:rPr>
            <w:t>5.2</w:t>
          </w:r>
          <w:r>
            <w:rPr>
              <w:rStyle w:val="35"/>
              <w:color w:val="auto"/>
              <w:sz w:val="24"/>
            </w:rPr>
            <w:t xml:space="preserve"> Component </w:t>
          </w:r>
          <w:r>
            <w:rPr>
              <w:rStyle w:val="35"/>
              <w:rFonts w:hint="eastAsia"/>
              <w:color w:val="auto"/>
              <w:sz w:val="24"/>
            </w:rPr>
            <w:t>p</w:t>
          </w:r>
          <w:r>
            <w:rPr>
              <w:rStyle w:val="35"/>
              <w:color w:val="auto"/>
              <w:sz w:val="24"/>
            </w:rPr>
            <w:t>roduction</w:t>
          </w:r>
          <w:r>
            <w:rPr>
              <w:sz w:val="24"/>
            </w:rPr>
            <w:tab/>
          </w:r>
          <w:r>
            <w:rPr>
              <w:rFonts w:hint="eastAsia"/>
              <w:sz w:val="24"/>
            </w:rPr>
            <w:t>8</w:t>
          </w:r>
          <w:r>
            <w:rPr>
              <w:rFonts w:hint="eastAsia"/>
              <w:sz w:val="24"/>
            </w:rPr>
            <w:fldChar w:fldCharType="end"/>
          </w:r>
        </w:p>
        <w:p w14:paraId="23F41036">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"_Toc220147761" </w:instrText>
          </w:r>
          <w:r>
            <w:fldChar w:fldCharType="separate"/>
          </w:r>
          <w:r>
            <w:rPr>
              <w:rStyle w:val="35"/>
              <w:b/>
              <w:color w:val="auto"/>
              <w:sz w:val="24"/>
            </w:rPr>
            <w:t>5.</w:t>
          </w:r>
          <w:r>
            <w:rPr>
              <w:rStyle w:val="35"/>
              <w:rFonts w:hint="eastAsia"/>
              <w:b/>
              <w:color w:val="auto"/>
              <w:sz w:val="24"/>
            </w:rPr>
            <w:t>3</w:t>
          </w:r>
          <w:r>
            <w:rPr>
              <w:rStyle w:val="35"/>
              <w:color w:val="auto"/>
              <w:sz w:val="24"/>
            </w:rPr>
            <w:t xml:space="preserve"> Storage and </w:t>
          </w:r>
          <w:r>
            <w:rPr>
              <w:rStyle w:val="35"/>
              <w:rFonts w:hint="eastAsia"/>
              <w:color w:val="auto"/>
              <w:sz w:val="24"/>
            </w:rPr>
            <w:t>t</w:t>
          </w:r>
          <w:r>
            <w:rPr>
              <w:rStyle w:val="35"/>
              <w:color w:val="auto"/>
              <w:sz w:val="24"/>
            </w:rPr>
            <w:t>ransportation</w:t>
          </w:r>
          <w:r>
            <w:rPr>
              <w:sz w:val="24"/>
            </w:rPr>
            <w:tab/>
          </w:r>
          <w:r>
            <w:rPr>
              <w:rFonts w:hint="eastAsia"/>
              <w:sz w:val="24"/>
            </w:rPr>
            <w:t>8</w:t>
          </w:r>
          <w:r>
            <w:rPr>
              <w:rFonts w:hint="eastAsia"/>
              <w:sz w:val="24"/>
            </w:rPr>
            <w:fldChar w:fldCharType="end"/>
          </w:r>
        </w:p>
        <w:p w14:paraId="651EB46B">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"_Toc220147762" </w:instrText>
          </w:r>
          <w:r>
            <w:fldChar w:fldCharType="separate"/>
          </w:r>
          <w:r>
            <w:rPr>
              <w:rStyle w:val="35"/>
              <w:b/>
              <w:color w:val="auto"/>
              <w:sz w:val="24"/>
            </w:rPr>
            <w:t>6</w:t>
          </w:r>
          <w:r>
            <w:rPr>
              <w:rStyle w:val="35"/>
              <w:color w:val="auto"/>
              <w:sz w:val="24"/>
            </w:rPr>
            <w:t xml:space="preserve"> </w:t>
          </w:r>
          <w:r>
            <w:rPr>
              <w:rStyle w:val="35"/>
              <w:b/>
              <w:bCs/>
              <w:color w:val="auto"/>
              <w:sz w:val="24"/>
            </w:rPr>
            <w:t>Construction</w:t>
          </w:r>
          <w:r>
            <w:rPr>
              <w:sz w:val="24"/>
            </w:rPr>
            <w:tab/>
          </w:r>
          <w:r>
            <w:rPr>
              <w:rFonts w:hint="eastAsia"/>
              <w:sz w:val="24"/>
            </w:rPr>
            <w:t>10</w:t>
          </w:r>
          <w:r>
            <w:rPr>
              <w:rFonts w:hint="eastAsia"/>
              <w:sz w:val="24"/>
            </w:rPr>
            <w:fldChar w:fldCharType="end"/>
          </w:r>
        </w:p>
        <w:p w14:paraId="65FC4DAD">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"_Toc220147763" </w:instrText>
          </w:r>
          <w:r>
            <w:fldChar w:fldCharType="separate"/>
          </w:r>
          <w:r>
            <w:rPr>
              <w:rStyle w:val="35"/>
              <w:b/>
              <w:color w:val="auto"/>
              <w:sz w:val="24"/>
            </w:rPr>
            <w:t>6.1</w:t>
          </w:r>
          <w:r>
            <w:rPr>
              <w:rStyle w:val="35"/>
              <w:color w:val="auto"/>
              <w:sz w:val="24"/>
            </w:rPr>
            <w:t xml:space="preserve"> General </w:t>
          </w:r>
          <w:r>
            <w:rPr>
              <w:rStyle w:val="35"/>
              <w:rFonts w:hint="eastAsia"/>
              <w:color w:val="auto"/>
              <w:sz w:val="24"/>
            </w:rPr>
            <w:t>p</w:t>
          </w:r>
          <w:r>
            <w:rPr>
              <w:rStyle w:val="35"/>
              <w:color w:val="auto"/>
              <w:sz w:val="24"/>
            </w:rPr>
            <w:t>rovisions</w:t>
          </w:r>
          <w:r>
            <w:rPr>
              <w:sz w:val="24"/>
            </w:rPr>
            <w:tab/>
          </w:r>
          <w:r>
            <w:rPr>
              <w:sz w:val="24"/>
            </w:rPr>
            <w:t>1</w:t>
          </w:r>
          <w:r>
            <w:rPr>
              <w:rFonts w:hint="eastAsia"/>
              <w:sz w:val="24"/>
            </w:rPr>
            <w:t>0</w:t>
          </w:r>
          <w:r>
            <w:rPr>
              <w:rFonts w:hint="eastAsia"/>
              <w:sz w:val="24"/>
            </w:rPr>
            <w:fldChar w:fldCharType="end"/>
          </w:r>
        </w:p>
        <w:p w14:paraId="1B3CD9C4">
          <w:pPr>
            <w:pStyle w:val="23"/>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fldChar w:fldCharType="begin"/>
          </w:r>
          <w:r>
            <w:instrText xml:space="preserve"> HYPERLINK \l "_Toc220147765" </w:instrText>
          </w:r>
          <w:r>
            <w:fldChar w:fldCharType="separate"/>
          </w:r>
          <w:r>
            <w:rPr>
              <w:rStyle w:val="35"/>
              <w:b/>
              <w:color w:val="auto"/>
              <w:sz w:val="24"/>
            </w:rPr>
            <w:t>6.2</w:t>
          </w:r>
          <w:r>
            <w:rPr>
              <w:rStyle w:val="35"/>
              <w:color w:val="auto"/>
              <w:sz w:val="24"/>
            </w:rPr>
            <w:t xml:space="preserve"> Component </w:t>
          </w:r>
          <w:r>
            <w:rPr>
              <w:rStyle w:val="35"/>
              <w:rFonts w:hint="eastAsia"/>
              <w:color w:val="auto"/>
              <w:sz w:val="24"/>
            </w:rPr>
            <w:t>i</w:t>
          </w:r>
          <w:r>
            <w:rPr>
              <w:rStyle w:val="35"/>
              <w:color w:val="auto"/>
              <w:sz w:val="24"/>
            </w:rPr>
            <w:t>nstallation</w:t>
          </w:r>
          <w:r>
            <w:rPr>
              <w:sz w:val="24"/>
            </w:rPr>
            <w:tab/>
          </w:r>
          <w:r>
            <w:rPr>
              <w:sz w:val="24"/>
            </w:rPr>
            <w:t>1</w:t>
          </w:r>
          <w:r>
            <w:rPr>
              <w:sz w:val="24"/>
            </w:rPr>
            <w:fldChar w:fldCharType="end"/>
          </w:r>
          <w:r>
            <w:rPr>
              <w:rFonts w:hint="eastAsia"/>
              <w:sz w:val="24"/>
            </w:rPr>
            <w:t>0</w:t>
          </w:r>
        </w:p>
        <w:p w14:paraId="087AE79C">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"_Toc220147766" </w:instrText>
          </w:r>
          <w:r>
            <w:fldChar w:fldCharType="separate"/>
          </w:r>
          <w:r>
            <w:rPr>
              <w:rStyle w:val="35"/>
              <w:b/>
              <w:color w:val="auto"/>
              <w:sz w:val="24"/>
            </w:rPr>
            <w:t>6.3</w:t>
          </w:r>
          <w:r>
            <w:rPr>
              <w:rStyle w:val="35"/>
              <w:color w:val="auto"/>
              <w:sz w:val="24"/>
            </w:rPr>
            <w:t xml:space="preserve"> Electromechanical construction</w:t>
          </w:r>
          <w:r>
            <w:rPr>
              <w:sz w:val="24"/>
            </w:rPr>
            <w:tab/>
          </w:r>
          <w:r>
            <w:rPr>
              <w:sz w:val="24"/>
            </w:rPr>
            <w:t>1</w:t>
          </w:r>
          <w:r>
            <w:rPr>
              <w:sz w:val="24"/>
            </w:rPr>
            <w:fldChar w:fldCharType="end"/>
          </w:r>
          <w:r>
            <w:rPr>
              <w:rFonts w:hint="eastAsia"/>
              <w:sz w:val="24"/>
            </w:rPr>
            <w:t>2</w:t>
          </w:r>
        </w:p>
        <w:p w14:paraId="6E13F002">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"_Toc220147766" </w:instrText>
          </w:r>
          <w:r>
            <w:fldChar w:fldCharType="separate"/>
          </w:r>
          <w:r>
            <w:rPr>
              <w:rStyle w:val="35"/>
              <w:b/>
              <w:color w:val="auto"/>
              <w:sz w:val="24"/>
            </w:rPr>
            <w:t>6.</w:t>
          </w:r>
          <w:r>
            <w:rPr>
              <w:rStyle w:val="35"/>
              <w:rFonts w:hint="eastAsia"/>
              <w:b/>
              <w:color w:val="auto"/>
              <w:sz w:val="24"/>
            </w:rPr>
            <w:t>4</w:t>
          </w:r>
          <w:r>
            <w:rPr>
              <w:rStyle w:val="35"/>
              <w:color w:val="auto"/>
              <w:sz w:val="24"/>
            </w:rPr>
            <w:t xml:space="preserve"> Connection </w:t>
          </w:r>
          <w:r>
            <w:rPr>
              <w:rStyle w:val="35"/>
              <w:rFonts w:hint="eastAsia"/>
              <w:color w:val="auto"/>
              <w:sz w:val="24"/>
            </w:rPr>
            <w:t>c</w:t>
          </w:r>
          <w:r>
            <w:rPr>
              <w:rStyle w:val="35"/>
              <w:color w:val="auto"/>
              <w:sz w:val="24"/>
            </w:rPr>
            <w:t>onstruction</w:t>
          </w:r>
          <w:r>
            <w:rPr>
              <w:sz w:val="24"/>
            </w:rPr>
            <w:tab/>
          </w:r>
          <w:r>
            <w:rPr>
              <w:sz w:val="24"/>
            </w:rPr>
            <w:t>1</w:t>
          </w:r>
          <w:r>
            <w:rPr>
              <w:sz w:val="24"/>
            </w:rPr>
            <w:fldChar w:fldCharType="end"/>
          </w:r>
          <w:r>
            <w:rPr>
              <w:rFonts w:hint="eastAsia"/>
              <w:sz w:val="24"/>
            </w:rPr>
            <w:t>3</w:t>
          </w:r>
        </w:p>
        <w:p w14:paraId="0DEB809B">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"_Toc220147767" </w:instrText>
          </w:r>
          <w:r>
            <w:fldChar w:fldCharType="separate"/>
          </w:r>
          <w:r>
            <w:rPr>
              <w:rStyle w:val="35"/>
              <w:b/>
              <w:color w:val="auto"/>
              <w:sz w:val="24"/>
            </w:rPr>
            <w:t>6.</w:t>
          </w:r>
          <w:r>
            <w:rPr>
              <w:rStyle w:val="35"/>
              <w:rFonts w:hint="eastAsia"/>
              <w:b/>
              <w:color w:val="auto"/>
              <w:sz w:val="24"/>
            </w:rPr>
            <w:t>5</w:t>
          </w:r>
          <w:r>
            <w:rPr>
              <w:rStyle w:val="35"/>
              <w:color w:val="auto"/>
              <w:sz w:val="24"/>
            </w:rPr>
            <w:t xml:space="preserve"> Special Process </w:t>
          </w:r>
          <w:r>
            <w:rPr>
              <w:rStyle w:val="35"/>
              <w:rFonts w:hint="eastAsia"/>
              <w:color w:val="auto"/>
              <w:sz w:val="24"/>
            </w:rPr>
            <w:t>c</w:t>
          </w:r>
          <w:r>
            <w:rPr>
              <w:rStyle w:val="35"/>
              <w:color w:val="auto"/>
              <w:sz w:val="24"/>
            </w:rPr>
            <w:t>onstruction</w:t>
          </w:r>
          <w:r>
            <w:rPr>
              <w:sz w:val="24"/>
            </w:rPr>
            <w:tab/>
          </w:r>
          <w:r>
            <w:rPr>
              <w:rFonts w:hint="eastAsia"/>
              <w:sz w:val="24"/>
            </w:rPr>
            <w:t>14</w:t>
          </w:r>
          <w:r>
            <w:rPr>
              <w:rFonts w:hint="eastAsia"/>
              <w:sz w:val="24"/>
            </w:rPr>
            <w:fldChar w:fldCharType="end"/>
          </w:r>
        </w:p>
        <w:p w14:paraId="1EB161CC">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"_Toc220147768" </w:instrText>
          </w:r>
          <w:r>
            <w:fldChar w:fldCharType="separate"/>
          </w:r>
          <w:r>
            <w:rPr>
              <w:rStyle w:val="35"/>
              <w:b/>
              <w:color w:val="auto"/>
              <w:sz w:val="24"/>
            </w:rPr>
            <w:t>6.</w:t>
          </w:r>
          <w:r>
            <w:rPr>
              <w:rStyle w:val="35"/>
              <w:rFonts w:hint="eastAsia"/>
              <w:b/>
              <w:color w:val="auto"/>
              <w:sz w:val="24"/>
            </w:rPr>
            <w:t>6</w:t>
          </w:r>
          <w:r>
            <w:rPr>
              <w:rStyle w:val="35"/>
              <w:color w:val="auto"/>
              <w:sz w:val="24"/>
            </w:rPr>
            <w:t xml:space="preserve"> Construction </w:t>
          </w:r>
          <w:r>
            <w:rPr>
              <w:rStyle w:val="35"/>
              <w:rFonts w:hint="eastAsia"/>
              <w:color w:val="auto"/>
              <w:sz w:val="24"/>
            </w:rPr>
            <w:t>s</w:t>
          </w:r>
          <w:r>
            <w:rPr>
              <w:rStyle w:val="35"/>
              <w:color w:val="auto"/>
              <w:sz w:val="24"/>
            </w:rPr>
            <w:t>afety</w:t>
          </w:r>
          <w:r>
            <w:rPr>
              <w:sz w:val="24"/>
            </w:rPr>
            <w:tab/>
          </w:r>
          <w:r>
            <w:rPr>
              <w:rFonts w:hint="eastAsia"/>
              <w:sz w:val="24"/>
            </w:rPr>
            <w:t>16</w:t>
          </w:r>
          <w:r>
            <w:rPr>
              <w:rFonts w:hint="eastAsia"/>
              <w:sz w:val="24"/>
            </w:rPr>
            <w:fldChar w:fldCharType="end"/>
          </w:r>
        </w:p>
        <w:p w14:paraId="16019E63">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"_Toc220147769" </w:instrText>
          </w:r>
          <w:r>
            <w:fldChar w:fldCharType="separate"/>
          </w:r>
          <w:r>
            <w:rPr>
              <w:rStyle w:val="35"/>
              <w:b/>
              <w:color w:val="auto"/>
              <w:sz w:val="24"/>
            </w:rPr>
            <w:t>7</w:t>
          </w:r>
          <w:r>
            <w:rPr>
              <w:rStyle w:val="35"/>
              <w:color w:val="auto"/>
              <w:sz w:val="24"/>
            </w:rPr>
            <w:t xml:space="preserve"> </w:t>
          </w:r>
          <w:r>
            <w:rPr>
              <w:rStyle w:val="35"/>
              <w:b/>
              <w:bCs/>
              <w:color w:val="auto"/>
              <w:sz w:val="24"/>
            </w:rPr>
            <w:t xml:space="preserve">Quality </w:t>
          </w:r>
          <w:r>
            <w:rPr>
              <w:rStyle w:val="35"/>
              <w:rFonts w:hint="eastAsia"/>
              <w:b/>
              <w:bCs/>
              <w:color w:val="auto"/>
              <w:sz w:val="24"/>
            </w:rPr>
            <w:t>i</w:t>
          </w:r>
          <w:r>
            <w:rPr>
              <w:rStyle w:val="35"/>
              <w:b/>
              <w:bCs/>
              <w:color w:val="auto"/>
              <w:sz w:val="24"/>
            </w:rPr>
            <w:t xml:space="preserve">nspection and </w:t>
          </w:r>
          <w:r>
            <w:rPr>
              <w:rStyle w:val="35"/>
              <w:rFonts w:hint="eastAsia"/>
              <w:b/>
              <w:bCs/>
              <w:color w:val="auto"/>
              <w:sz w:val="24"/>
            </w:rPr>
            <w:t>a</w:t>
          </w:r>
          <w:r>
            <w:rPr>
              <w:rStyle w:val="35"/>
              <w:b/>
              <w:bCs/>
              <w:color w:val="auto"/>
              <w:sz w:val="24"/>
            </w:rPr>
            <w:t>cceptance</w:t>
          </w:r>
          <w:r>
            <w:rPr>
              <w:sz w:val="24"/>
            </w:rPr>
            <w:tab/>
          </w:r>
          <w:r>
            <w:rPr>
              <w:rFonts w:hint="eastAsia"/>
              <w:sz w:val="24"/>
            </w:rPr>
            <w:t>19</w:t>
          </w:r>
          <w:r>
            <w:rPr>
              <w:rFonts w:hint="eastAsia"/>
              <w:sz w:val="24"/>
            </w:rPr>
            <w:fldChar w:fldCharType="end"/>
          </w:r>
        </w:p>
        <w:p w14:paraId="5725F62F">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"_Toc220147770" </w:instrText>
          </w:r>
          <w:r>
            <w:fldChar w:fldCharType="separate"/>
          </w:r>
          <w:r>
            <w:rPr>
              <w:rStyle w:val="35"/>
              <w:b/>
              <w:color w:val="auto"/>
              <w:sz w:val="24"/>
            </w:rPr>
            <w:t>7.1</w:t>
          </w:r>
          <w:r>
            <w:rPr>
              <w:rStyle w:val="35"/>
              <w:color w:val="auto"/>
              <w:sz w:val="24"/>
            </w:rPr>
            <w:t xml:space="preserve"> General </w:t>
          </w:r>
          <w:r>
            <w:rPr>
              <w:rStyle w:val="35"/>
              <w:rFonts w:hint="eastAsia"/>
              <w:color w:val="auto"/>
              <w:sz w:val="24"/>
            </w:rPr>
            <w:t>p</w:t>
          </w:r>
          <w:r>
            <w:rPr>
              <w:rStyle w:val="35"/>
              <w:color w:val="auto"/>
              <w:sz w:val="24"/>
            </w:rPr>
            <w:t>rovisions</w:t>
          </w:r>
          <w:r>
            <w:rPr>
              <w:sz w:val="24"/>
            </w:rPr>
            <w:tab/>
          </w:r>
          <w:r>
            <w:rPr>
              <w:rFonts w:hint="eastAsia"/>
              <w:sz w:val="24"/>
            </w:rPr>
            <w:t>19</w:t>
          </w:r>
          <w:r>
            <w:rPr>
              <w:rFonts w:hint="eastAsia"/>
              <w:sz w:val="24"/>
            </w:rPr>
            <w:fldChar w:fldCharType="end"/>
          </w:r>
        </w:p>
        <w:p w14:paraId="66624815">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eastAsiaTheme="minorEastAsia"/>
              <w:sz w:val="24"/>
              <w14:ligatures w14:val="standardContextual"/>
            </w:rPr>
          </w:pPr>
          <w:r>
            <w:fldChar w:fldCharType="begin"/>
          </w:r>
          <w:r>
            <w:instrText xml:space="preserve"> HYPERLINK \l "_Toc220147771" </w:instrText>
          </w:r>
          <w:r>
            <w:fldChar w:fldCharType="separate"/>
          </w:r>
          <w:r>
            <w:rPr>
              <w:rStyle w:val="35"/>
              <w:b/>
              <w:color w:val="auto"/>
              <w:sz w:val="24"/>
            </w:rPr>
            <w:t>7.2</w:t>
          </w:r>
          <w:r>
            <w:rPr>
              <w:rStyle w:val="35"/>
              <w:color w:val="auto"/>
              <w:sz w:val="24"/>
            </w:rPr>
            <w:t xml:space="preserve"> Inspection and </w:t>
          </w:r>
          <w:r>
            <w:rPr>
              <w:rStyle w:val="35"/>
              <w:rFonts w:hint="eastAsia"/>
              <w:color w:val="auto"/>
              <w:sz w:val="24"/>
            </w:rPr>
            <w:t>a</w:t>
          </w:r>
          <w:r>
            <w:rPr>
              <w:rStyle w:val="35"/>
              <w:color w:val="auto"/>
              <w:sz w:val="24"/>
            </w:rPr>
            <w:t xml:space="preserve">cceptance upon </w:t>
          </w:r>
          <w:r>
            <w:rPr>
              <w:rStyle w:val="35"/>
              <w:rFonts w:hint="eastAsia"/>
              <w:color w:val="auto"/>
              <w:sz w:val="24"/>
            </w:rPr>
            <w:t>c</w:t>
          </w:r>
          <w:r>
            <w:rPr>
              <w:rStyle w:val="35"/>
              <w:color w:val="auto"/>
              <w:sz w:val="24"/>
            </w:rPr>
            <w:t xml:space="preserve">omponent </w:t>
          </w:r>
          <w:r>
            <w:rPr>
              <w:rStyle w:val="35"/>
              <w:rFonts w:hint="eastAsia"/>
              <w:color w:val="auto"/>
              <w:sz w:val="24"/>
            </w:rPr>
            <w:t>a</w:t>
          </w:r>
          <w:r>
            <w:rPr>
              <w:rStyle w:val="35"/>
              <w:color w:val="auto"/>
              <w:sz w:val="24"/>
            </w:rPr>
            <w:t>rrival</w:t>
          </w:r>
          <w:r>
            <w:rPr>
              <w:sz w:val="24"/>
            </w:rPr>
            <w:tab/>
          </w:r>
          <w:r>
            <w:rPr>
              <w:rFonts w:hint="eastAsia"/>
              <w:sz w:val="24"/>
            </w:rPr>
            <w:t>20</w:t>
          </w:r>
          <w:r>
            <w:rPr>
              <w:rFonts w:hint="eastAsia"/>
              <w:sz w:val="24"/>
            </w:rPr>
            <w:fldChar w:fldCharType="end"/>
          </w:r>
        </w:p>
        <w:p w14:paraId="637433C1">
          <w:pPr>
            <w:pStyle w:val="20"/>
            <w:keepNext w:val="0"/>
            <w:keepLines w:val="0"/>
            <w:pageBreakBefore w:val="0"/>
            <w:widowControl w:val="0"/>
            <w:kinsoku/>
            <w:wordWrap/>
            <w:overflowPunct/>
            <w:topLinePunct w:val="0"/>
            <w:autoSpaceDE/>
            <w:autoSpaceDN/>
            <w:bidi w:val="0"/>
            <w:adjustRightInd/>
            <w:snapToGrid/>
            <w:spacing w:line="240" w:lineRule="auto"/>
            <w:ind w:left="283" w:leftChars="135"/>
            <w:textAlignment w:val="auto"/>
            <w:rPr>
              <w:sz w:val="24"/>
            </w:rPr>
          </w:pPr>
          <w:r>
            <w:fldChar w:fldCharType="begin"/>
          </w:r>
          <w:r>
            <w:instrText xml:space="preserve"> HYPERLINK \l "_Toc220147772" </w:instrText>
          </w:r>
          <w:r>
            <w:fldChar w:fldCharType="separate"/>
          </w:r>
          <w:r>
            <w:rPr>
              <w:rStyle w:val="35"/>
              <w:b/>
              <w:color w:val="auto"/>
              <w:sz w:val="24"/>
            </w:rPr>
            <w:t>7.3</w:t>
          </w:r>
          <w:r>
            <w:rPr>
              <w:rStyle w:val="35"/>
              <w:color w:val="auto"/>
              <w:sz w:val="24"/>
            </w:rPr>
            <w:t xml:space="preserve"> Inspection and </w:t>
          </w:r>
          <w:r>
            <w:rPr>
              <w:rStyle w:val="35"/>
              <w:rFonts w:hint="eastAsia"/>
              <w:color w:val="auto"/>
              <w:sz w:val="24"/>
            </w:rPr>
            <w:t>a</w:t>
          </w:r>
          <w:r>
            <w:rPr>
              <w:rStyle w:val="35"/>
              <w:color w:val="auto"/>
              <w:sz w:val="24"/>
            </w:rPr>
            <w:t xml:space="preserve">cceptance of </w:t>
          </w:r>
          <w:r>
            <w:rPr>
              <w:rStyle w:val="35"/>
              <w:rFonts w:hint="eastAsia"/>
              <w:color w:val="auto"/>
              <w:sz w:val="24"/>
            </w:rPr>
            <w:t>c</w:t>
          </w:r>
          <w:r>
            <w:rPr>
              <w:rStyle w:val="35"/>
              <w:color w:val="auto"/>
              <w:sz w:val="24"/>
            </w:rPr>
            <w:t xml:space="preserve">onstruction and </w:t>
          </w:r>
          <w:r>
            <w:rPr>
              <w:rStyle w:val="35"/>
              <w:rFonts w:hint="eastAsia"/>
              <w:color w:val="auto"/>
              <w:sz w:val="24"/>
            </w:rPr>
            <w:t>i</w:t>
          </w:r>
          <w:r>
            <w:rPr>
              <w:rStyle w:val="35"/>
              <w:color w:val="auto"/>
              <w:sz w:val="24"/>
            </w:rPr>
            <w:t>nstallation</w:t>
          </w:r>
          <w:r>
            <w:rPr>
              <w:sz w:val="24"/>
            </w:rPr>
            <w:tab/>
          </w:r>
          <w:r>
            <w:rPr>
              <w:sz w:val="24"/>
            </w:rPr>
            <w:t>2</w:t>
          </w:r>
          <w:r>
            <w:rPr>
              <w:rFonts w:hint="eastAsia"/>
              <w:sz w:val="24"/>
            </w:rPr>
            <w:t>2</w:t>
          </w:r>
          <w:r>
            <w:rPr>
              <w:rFonts w:hint="eastAsia"/>
              <w:sz w:val="24"/>
            </w:rPr>
            <w:fldChar w:fldCharType="end"/>
          </w:r>
        </w:p>
        <w:p w14:paraId="7BF2630E">
          <w:pPr>
            <w:pStyle w:val="20"/>
            <w:keepNext w:val="0"/>
            <w:keepLines w:val="0"/>
            <w:pageBreakBefore w:val="0"/>
            <w:widowControl w:val="0"/>
            <w:kinsoku/>
            <w:wordWrap/>
            <w:overflowPunct/>
            <w:topLinePunct w:val="0"/>
            <w:autoSpaceDE/>
            <w:autoSpaceDN/>
            <w:bidi w:val="0"/>
            <w:adjustRightInd/>
            <w:snapToGrid/>
            <w:spacing w:line="240" w:lineRule="auto"/>
            <w:textAlignment w:val="auto"/>
            <w:rPr>
              <w:b/>
              <w:bCs/>
              <w:sz w:val="24"/>
            </w:rPr>
          </w:pPr>
          <w:r>
            <w:fldChar w:fldCharType="begin"/>
          </w:r>
          <w:r>
            <w:instrText xml:space="preserve"> HYPERLINK \l "_Toc214377335" </w:instrText>
          </w:r>
          <w:r>
            <w:fldChar w:fldCharType="separate"/>
          </w:r>
          <w:r>
            <w:rPr>
              <w:b/>
              <w:bCs/>
              <w:sz w:val="24"/>
            </w:rPr>
            <w:t>Explanation of wording in this standard</w:t>
          </w:r>
          <w:r>
            <w:rPr>
              <w:sz w:val="24"/>
            </w:rPr>
            <w:tab/>
          </w:r>
          <w:r>
            <w:rPr>
              <w:rFonts w:hint="eastAsia"/>
              <w:sz w:val="24"/>
            </w:rPr>
            <w:t>27</w:t>
          </w:r>
          <w:r>
            <w:rPr>
              <w:rFonts w:hint="eastAsia"/>
              <w:sz w:val="24"/>
            </w:rPr>
            <w:fldChar w:fldCharType="end"/>
          </w:r>
        </w:p>
        <w:p w14:paraId="1CCEF82A">
          <w:pPr>
            <w:pStyle w:val="20"/>
            <w:keepNext w:val="0"/>
            <w:keepLines w:val="0"/>
            <w:pageBreakBefore w:val="0"/>
            <w:widowControl w:val="0"/>
            <w:kinsoku/>
            <w:wordWrap/>
            <w:overflowPunct/>
            <w:topLinePunct w:val="0"/>
            <w:autoSpaceDE/>
            <w:autoSpaceDN/>
            <w:bidi w:val="0"/>
            <w:adjustRightInd/>
            <w:snapToGrid/>
            <w:spacing w:line="240" w:lineRule="auto"/>
            <w:textAlignment w:val="auto"/>
            <w:rPr>
              <w:b/>
              <w:bCs/>
              <w:sz w:val="24"/>
            </w:rPr>
          </w:pPr>
          <w:r>
            <w:fldChar w:fldCharType="begin"/>
          </w:r>
          <w:r>
            <w:instrText xml:space="preserve"> HYPERLINK \l "_Toc214377336" </w:instrText>
          </w:r>
          <w:r>
            <w:fldChar w:fldCharType="separate"/>
          </w:r>
          <w:r>
            <w:rPr>
              <w:b/>
              <w:bCs/>
              <w:sz w:val="24"/>
            </w:rPr>
            <w:t>List of quoted standards</w:t>
          </w:r>
          <w:r>
            <w:rPr>
              <w:sz w:val="24"/>
            </w:rPr>
            <w:tab/>
          </w:r>
          <w:r>
            <w:rPr>
              <w:rFonts w:hint="eastAsia"/>
              <w:sz w:val="24"/>
            </w:rPr>
            <w:t>28</w:t>
          </w:r>
          <w:r>
            <w:rPr>
              <w:rFonts w:hint="eastAsia"/>
              <w:sz w:val="24"/>
            </w:rPr>
            <w:fldChar w:fldCharType="end"/>
          </w:r>
        </w:p>
        <w:p w14:paraId="4B132246">
          <w:pPr>
            <w:pStyle w:val="20"/>
            <w:keepNext w:val="0"/>
            <w:keepLines w:val="0"/>
            <w:pageBreakBefore w:val="0"/>
            <w:widowControl w:val="0"/>
            <w:kinsoku/>
            <w:wordWrap/>
            <w:overflowPunct/>
            <w:topLinePunct w:val="0"/>
            <w:autoSpaceDE/>
            <w:autoSpaceDN/>
            <w:bidi w:val="0"/>
            <w:adjustRightInd/>
            <w:snapToGrid/>
            <w:spacing w:line="240" w:lineRule="auto"/>
            <w:textAlignment w:val="auto"/>
            <w:rPr>
              <w:b/>
              <w:bCs/>
              <w:sz w:val="24"/>
              <w:lang w:val="zh-CN"/>
            </w:rPr>
          </w:pPr>
          <w:r>
            <w:fldChar w:fldCharType="begin"/>
          </w:r>
          <w:r>
            <w:instrText xml:space="preserve"> HYPERLINK \l "_Toc214377337" </w:instrText>
          </w:r>
          <w:r>
            <w:fldChar w:fldCharType="separate"/>
          </w:r>
          <w:r>
            <w:rPr>
              <w:b/>
              <w:bCs/>
              <w:sz w:val="24"/>
            </w:rPr>
            <w:t>Addition：</w:t>
          </w:r>
          <w:r>
            <w:rPr>
              <w:rFonts w:hint="eastAsia"/>
              <w:b/>
              <w:bCs/>
              <w:sz w:val="24"/>
            </w:rPr>
            <w:t>E</w:t>
          </w:r>
          <w:r>
            <w:rPr>
              <w:b/>
              <w:bCs/>
              <w:sz w:val="24"/>
            </w:rPr>
            <w:t>xplanation of provisions</w:t>
          </w:r>
          <w:r>
            <w:rPr>
              <w:sz w:val="24"/>
            </w:rPr>
            <w:tab/>
          </w:r>
          <w:r>
            <w:rPr>
              <w:rFonts w:hint="eastAsia"/>
              <w:sz w:val="24"/>
            </w:rPr>
            <w:t>30</w:t>
          </w:r>
          <w:r>
            <w:rPr>
              <w:rFonts w:hint="eastAsia"/>
              <w:sz w:val="24"/>
            </w:rPr>
            <w:fldChar w:fldCharType="end"/>
          </w:r>
          <w:r>
            <w:rPr>
              <w:sz w:val="24"/>
            </w:rPr>
            <w:fldChar w:fldCharType="end"/>
          </w:r>
        </w:p>
      </w:sdtContent>
    </w:sdt>
    <w:p w14:paraId="3816A80E">
      <w:pPr>
        <w:widowControl/>
        <w:jc w:val="left"/>
        <w:sectPr>
          <w:footerReference r:id="rId10" w:type="first"/>
          <w:footerReference r:id="rId9" w:type="default"/>
          <w:pgSz w:w="11906" w:h="16838"/>
          <w:pgMar w:top="1440" w:right="1418" w:bottom="1276" w:left="1701" w:header="737" w:footer="680" w:gutter="0"/>
          <w:pgNumType w:fmt="upperRoman" w:start="1"/>
          <w:cols w:space="720" w:num="1"/>
          <w:titlePg/>
          <w:docGrid w:type="lines" w:linePitch="312" w:charSpace="0"/>
        </w:sectPr>
      </w:pPr>
      <w:r>
        <w:br w:type="page"/>
      </w:r>
    </w:p>
    <w:p w14:paraId="5839E5A5">
      <w:pPr>
        <w:pStyle w:val="79"/>
        <w:rPr>
          <w:rFonts w:hint="eastAsia"/>
        </w:rPr>
      </w:pPr>
      <w:bookmarkStart w:id="0" w:name="_Toc227574838"/>
      <w:r>
        <w:rPr>
          <w:rFonts w:hint="eastAsia"/>
        </w:rPr>
        <w:t>总则</w:t>
      </w:r>
      <w:bookmarkEnd w:id="0"/>
    </w:p>
    <w:p w14:paraId="402BCC80">
      <w:pPr>
        <w:pStyle w:val="91"/>
      </w:pPr>
      <w:r>
        <w:t>为</w:t>
      </w:r>
      <w:r>
        <w:rPr>
          <w:rFonts w:hint="eastAsia"/>
        </w:rPr>
        <w:t>规范</w:t>
      </w:r>
      <w:r>
        <w:t>北京市</w:t>
      </w:r>
      <w:r>
        <w:rPr>
          <w:rFonts w:hint="eastAsia"/>
        </w:rPr>
        <w:t>装配式混凝土结构厂房施工</w:t>
      </w:r>
      <w:r>
        <w:t>，</w:t>
      </w:r>
      <w:r>
        <w:rPr>
          <w:rFonts w:hint="eastAsia"/>
        </w:rPr>
        <w:t>做到技术先进、经济合理、安全适用、保证质量</w:t>
      </w:r>
      <w:r>
        <w:t>，制定本规程</w:t>
      </w:r>
      <w:r>
        <w:rPr>
          <w:rFonts w:hint="eastAsia"/>
        </w:rPr>
        <w:t>。</w:t>
      </w:r>
    </w:p>
    <w:p w14:paraId="6B511101">
      <w:pPr>
        <w:pStyle w:val="91"/>
      </w:pPr>
      <w:r>
        <w:rPr>
          <w:rFonts w:hint="eastAsia"/>
        </w:rPr>
        <w:t>本规程适用于北京市行政区域内新建、扩建及改建的装配式混凝土结构厂房工程的深化设计、生产与运输、施工及质量验收。</w:t>
      </w:r>
    </w:p>
    <w:p w14:paraId="200650A5">
      <w:pPr>
        <w:pStyle w:val="91"/>
      </w:pPr>
      <w:r>
        <w:rPr>
          <w:rFonts w:hint="eastAsia"/>
        </w:rPr>
        <w:t>装配式混凝土结构厂房的深化设计、生产与运输、施工及质量验收除应符合本规程外，尚应符合国家及北京市现行有关标准的规定</w:t>
      </w:r>
      <w:r>
        <w:t>。</w:t>
      </w:r>
    </w:p>
    <w:p w14:paraId="2D509865">
      <w:pPr>
        <w:widowControl/>
        <w:jc w:val="left"/>
        <w:rPr>
          <w:kern w:val="0"/>
          <w:sz w:val="24"/>
        </w:rPr>
      </w:pPr>
      <w:r>
        <w:br w:type="page"/>
      </w:r>
    </w:p>
    <w:p w14:paraId="07F314FD">
      <w:pPr>
        <w:pStyle w:val="79"/>
        <w:rPr>
          <w:rFonts w:hint="eastAsia"/>
        </w:rPr>
      </w:pPr>
      <w:bookmarkStart w:id="1" w:name="_Toc227574839"/>
      <w:r>
        <w:rPr>
          <w:rFonts w:hint="eastAsia"/>
        </w:rPr>
        <w:t>术语</w:t>
      </w:r>
      <w:bookmarkEnd w:id="1"/>
    </w:p>
    <w:p w14:paraId="1378ED87">
      <w:pPr>
        <w:pStyle w:val="93"/>
        <w:numPr>
          <w:ilvl w:val="0"/>
          <w:numId w:val="0"/>
        </w:numPr>
        <w:spacing w:before="0" w:beforeLines="0"/>
      </w:pPr>
      <w:r>
        <w:rPr>
          <w:rFonts w:hint="eastAsia"/>
          <w:b/>
          <w:bCs/>
        </w:rPr>
        <w:t>2.0.1</w:t>
      </w:r>
      <w:r>
        <w:rPr>
          <w:rFonts w:hint="eastAsia"/>
        </w:rPr>
        <w:t xml:space="preserve"> 装配式混凝土结构厂房 p</w:t>
      </w:r>
      <w:r>
        <w:t>refabricated concrete structure factory building</w:t>
      </w:r>
    </w:p>
    <w:p w14:paraId="213D0FB0">
      <w:pPr>
        <w:pStyle w:val="97"/>
        <w:spacing w:before="0" w:beforeLines="0"/>
        <w:rPr>
          <w:color w:val="auto"/>
        </w:rPr>
      </w:pPr>
      <w:r>
        <w:rPr>
          <w:rFonts w:hint="eastAsia"/>
          <w:color w:val="auto"/>
        </w:rPr>
        <w:t>主要结构系统由预制混凝土构件，通过可靠的连接方式在现场装配而成，用于工业生产活动的建筑物。</w:t>
      </w:r>
    </w:p>
    <w:p w14:paraId="3E8F9CE4">
      <w:pPr>
        <w:pStyle w:val="93"/>
        <w:numPr>
          <w:ilvl w:val="0"/>
          <w:numId w:val="0"/>
        </w:numPr>
        <w:spacing w:before="0" w:beforeLines="0"/>
      </w:pPr>
      <w:r>
        <w:rPr>
          <w:rFonts w:hint="eastAsia"/>
          <w:b/>
          <w:bCs/>
        </w:rPr>
        <w:t>2.0.2</w:t>
      </w:r>
      <w:r>
        <w:rPr>
          <w:rFonts w:hint="eastAsia"/>
        </w:rPr>
        <w:t xml:space="preserve"> 微振动控制 microvibration control </w:t>
      </w:r>
    </w:p>
    <w:p w14:paraId="2682BB62">
      <w:pPr>
        <w:pStyle w:val="97"/>
        <w:spacing w:before="0" w:beforeLines="0"/>
        <w:rPr>
          <w:color w:val="auto"/>
        </w:rPr>
      </w:pPr>
      <w:r>
        <w:rPr>
          <w:rFonts w:hint="eastAsia"/>
          <w:color w:val="auto"/>
        </w:rPr>
        <w:t>为保证精密设备或仪器正常工作所采取的降低环境振动影响的方法和措施。</w:t>
      </w:r>
    </w:p>
    <w:p w14:paraId="005B6F4E">
      <w:pPr>
        <w:widowControl/>
        <w:jc w:val="left"/>
      </w:pPr>
      <w:r>
        <w:br w:type="page"/>
      </w:r>
    </w:p>
    <w:p w14:paraId="4EC9A880">
      <w:pPr>
        <w:pStyle w:val="79"/>
        <w:rPr>
          <w:rFonts w:hint="eastAsia"/>
        </w:rPr>
      </w:pPr>
      <w:bookmarkStart w:id="2" w:name="_Toc227574840"/>
      <w:r>
        <w:rPr>
          <w:rFonts w:hint="eastAsia"/>
        </w:rPr>
        <w:t>基本规定</w:t>
      </w:r>
      <w:bookmarkEnd w:id="2"/>
    </w:p>
    <w:p w14:paraId="295213F0">
      <w:pPr>
        <w:pStyle w:val="86"/>
      </w:pPr>
      <w:r>
        <w:t>装配式混凝土结构厂房工程应根据设计图纸、图纸会审及洽商变更洽等设计文件开展深化设计</w:t>
      </w:r>
      <w:r>
        <w:rPr>
          <w:rFonts w:hint="eastAsia"/>
        </w:rPr>
        <w:t>。</w:t>
      </w:r>
      <w:r>
        <w:t>深化设计</w:t>
      </w:r>
      <w:r>
        <w:rPr>
          <w:rFonts w:hint="eastAsia"/>
        </w:rPr>
        <w:t>文件完成后</w:t>
      </w:r>
      <w:r>
        <w:t>应经</w:t>
      </w:r>
      <w:r>
        <w:rPr>
          <w:rFonts w:hint="eastAsia"/>
        </w:rPr>
        <w:t>原</w:t>
      </w:r>
      <w:r>
        <w:t>设计单位</w:t>
      </w:r>
      <w:r>
        <w:rPr>
          <w:rFonts w:hint="eastAsia"/>
        </w:rPr>
        <w:t>确认方可实施</w:t>
      </w:r>
      <w:r>
        <w:t>。</w:t>
      </w:r>
    </w:p>
    <w:p w14:paraId="4CD3B375">
      <w:pPr>
        <w:pStyle w:val="86"/>
      </w:pPr>
      <w:r>
        <w:rPr>
          <w:rFonts w:hint="eastAsia"/>
        </w:rPr>
        <w:t>装配式混凝土结构厂房工程施工前，应完成下列准备工作：</w:t>
      </w:r>
    </w:p>
    <w:p w14:paraId="70985E1A">
      <w:pPr>
        <w:pStyle w:val="86"/>
        <w:numPr>
          <w:ilvl w:val="255"/>
          <w:numId w:val="0"/>
        </w:numPr>
        <w:ind w:firstLine="480" w:firstLineChars="200"/>
      </w:pPr>
      <w:r>
        <w:rPr>
          <w:rFonts w:hint="eastAsia"/>
        </w:rPr>
        <w:t>1  应编制施工组织设计、专项施工方案；装配式施工组织设计应组织专家评审，超过一定规模的危险性较大分部分项工程专项施工方案应组织专家论证；专项施工方案实施前应进行交底</w:t>
      </w:r>
      <w:r>
        <w:rPr>
          <w:rFonts w:hint="eastAsia" w:ascii="宋体" w:hAnsi="宋体" w:cs="仿宋"/>
        </w:rPr>
        <w:t>。</w:t>
      </w:r>
    </w:p>
    <w:p w14:paraId="205EFA0B">
      <w:pPr>
        <w:pStyle w:val="86"/>
        <w:numPr>
          <w:ilvl w:val="255"/>
          <w:numId w:val="0"/>
        </w:numPr>
        <w:ind w:firstLine="480" w:firstLineChars="200"/>
      </w:pPr>
      <w:r>
        <w:rPr>
          <w:rFonts w:hint="eastAsia"/>
        </w:rPr>
        <w:t>2  应进行装配式施工技术质量培训和技术交底。</w:t>
      </w:r>
    </w:p>
    <w:p w14:paraId="76AB2F5D">
      <w:pPr>
        <w:pStyle w:val="86"/>
        <w:numPr>
          <w:ilvl w:val="255"/>
          <w:numId w:val="0"/>
        </w:numPr>
        <w:ind w:firstLine="480" w:firstLineChars="200"/>
        <w:rPr>
          <w:rFonts w:hint="eastAsia" w:ascii="宋体" w:hAnsi="宋体" w:cs="仿宋"/>
        </w:rPr>
      </w:pPr>
      <w:r>
        <w:rPr>
          <w:rFonts w:hint="eastAsia"/>
        </w:rPr>
        <w:t>3  宜采用建筑信息模型技术对施工全过程及预制柱吊装等关键工艺进行模型，选择预制柱等典型超重预制构件进行试安装，并根据试安装结果及时调整施工方案和措施。</w:t>
      </w:r>
    </w:p>
    <w:p w14:paraId="20450BE8">
      <w:pPr>
        <w:pStyle w:val="86"/>
        <w:spacing w:before="156"/>
      </w:pPr>
      <w:r>
        <w:rPr>
          <w:rFonts w:hint="eastAsia"/>
        </w:rPr>
        <w:t>装配式混凝土结构厂房工程应做好下列关键工序的质量控制：</w:t>
      </w:r>
    </w:p>
    <w:p w14:paraId="13E68658">
      <w:pPr>
        <w:pStyle w:val="86"/>
        <w:numPr>
          <w:ilvl w:val="255"/>
          <w:numId w:val="0"/>
        </w:numPr>
        <w:spacing w:before="156"/>
        <w:ind w:firstLine="480" w:firstLineChars="200"/>
      </w:pPr>
      <w:r>
        <w:rPr>
          <w:rFonts w:hint="eastAsia"/>
        </w:rPr>
        <w:t>1  预制混凝土构件安装；</w:t>
      </w:r>
    </w:p>
    <w:p w14:paraId="0DBCA741">
      <w:pPr>
        <w:pStyle w:val="86"/>
        <w:numPr>
          <w:ilvl w:val="255"/>
          <w:numId w:val="0"/>
        </w:numPr>
        <w:spacing w:before="156"/>
        <w:ind w:firstLine="480" w:firstLineChars="200"/>
      </w:pPr>
      <w:r>
        <w:rPr>
          <w:rFonts w:hint="eastAsia"/>
        </w:rPr>
        <w:t>2  预制构件与现浇结构连接节点；</w:t>
      </w:r>
    </w:p>
    <w:p w14:paraId="19690E74">
      <w:pPr>
        <w:pStyle w:val="86"/>
        <w:numPr>
          <w:ilvl w:val="255"/>
          <w:numId w:val="0"/>
        </w:numPr>
        <w:spacing w:before="156"/>
        <w:ind w:firstLine="480" w:firstLineChars="200"/>
      </w:pPr>
      <w:r>
        <w:rPr>
          <w:rFonts w:hint="eastAsia"/>
        </w:rPr>
        <w:t>3  预制混凝土构件之间连接节点；</w:t>
      </w:r>
    </w:p>
    <w:p w14:paraId="6E5C4790">
      <w:pPr>
        <w:pStyle w:val="86"/>
        <w:numPr>
          <w:ilvl w:val="255"/>
          <w:numId w:val="0"/>
        </w:numPr>
        <w:spacing w:before="156"/>
        <w:ind w:firstLine="480" w:firstLineChars="200"/>
      </w:pPr>
      <w:r>
        <w:rPr>
          <w:rFonts w:hint="eastAsia"/>
        </w:rPr>
        <w:t>4  洁净区结构平整度及密封性能；</w:t>
      </w:r>
    </w:p>
    <w:p w14:paraId="65324DD4">
      <w:pPr>
        <w:pStyle w:val="86"/>
        <w:numPr>
          <w:ilvl w:val="255"/>
          <w:numId w:val="0"/>
        </w:numPr>
        <w:spacing w:before="156"/>
        <w:ind w:firstLine="480" w:firstLineChars="200"/>
      </w:pPr>
      <w:r>
        <w:rPr>
          <w:rFonts w:hint="eastAsia"/>
        </w:rPr>
        <w:t>5  套筒灌浆连接等。</w:t>
      </w:r>
    </w:p>
    <w:p w14:paraId="55E0BB38">
      <w:pPr>
        <w:pStyle w:val="86"/>
        <w:rPr>
          <w:rFonts w:hint="eastAsia" w:ascii="宋体" w:hAnsi="宋体" w:cs="仿宋"/>
        </w:rPr>
      </w:pPr>
      <w:r>
        <w:rPr>
          <w:rFonts w:hint="eastAsia" w:ascii="宋体" w:hAnsi="宋体" w:cs="仿宋"/>
        </w:rPr>
        <w:t>在施工全过程中，未经设计允许不得对预制构件进行切割、开洞。</w:t>
      </w:r>
    </w:p>
    <w:p w14:paraId="297B4131">
      <w:pPr>
        <w:pStyle w:val="86"/>
        <w:jc w:val="left"/>
      </w:pPr>
      <w:r>
        <w:rPr>
          <w:rFonts w:hint="eastAsia"/>
        </w:rPr>
        <w:t>装配式混凝土结构厂房深化设计、生产与运输、施工及质量验收宜采用信息化技术。</w:t>
      </w:r>
      <w:r>
        <w:br w:type="page"/>
      </w:r>
    </w:p>
    <w:p w14:paraId="7880B337">
      <w:pPr>
        <w:pStyle w:val="79"/>
        <w:rPr>
          <w:rFonts w:hint="eastAsia"/>
        </w:rPr>
      </w:pPr>
      <w:bookmarkStart w:id="3" w:name="_Toc227574841"/>
      <w:r>
        <w:rPr>
          <w:rFonts w:hint="eastAsia"/>
        </w:rPr>
        <w:t>深化设计</w:t>
      </w:r>
      <w:bookmarkEnd w:id="3"/>
    </w:p>
    <w:p w14:paraId="7C682A94">
      <w:pPr>
        <w:pStyle w:val="85"/>
        <w:rPr>
          <w:rFonts w:hint="eastAsia"/>
          <w:color w:val="auto"/>
        </w:rPr>
      </w:pPr>
      <w:bookmarkStart w:id="4" w:name="_Toc227574842"/>
      <w:r>
        <w:rPr>
          <w:rFonts w:hint="eastAsia"/>
          <w:color w:val="auto"/>
        </w:rPr>
        <w:t>一般规定</w:t>
      </w:r>
      <w:bookmarkEnd w:id="4"/>
    </w:p>
    <w:p w14:paraId="43367BA8">
      <w:pPr>
        <w:pStyle w:val="90"/>
        <w:spacing w:before="156"/>
      </w:pPr>
      <w:r>
        <w:rPr>
          <w:rFonts w:hint="eastAsia"/>
        </w:rPr>
        <w:t>装配式混凝土结构厂房深化设计，应包含预制构件、外围护系统、内隔墙及、机电管线深化设计。</w:t>
      </w:r>
    </w:p>
    <w:p w14:paraId="1C32BAAB">
      <w:pPr>
        <w:pStyle w:val="90"/>
        <w:spacing w:before="156"/>
      </w:pPr>
      <w:r>
        <w:rPr>
          <w:rStyle w:val="36"/>
          <w:rFonts w:hint="eastAsia"/>
          <w:sz w:val="24"/>
          <w:szCs w:val="24"/>
        </w:rPr>
        <w:t>预制构件</w:t>
      </w:r>
      <w:r>
        <w:rPr>
          <w:szCs w:val="21"/>
        </w:rPr>
        <w:t>深化设计应满足生产、运输、存放</w:t>
      </w:r>
      <w:r>
        <w:rPr>
          <w:rFonts w:hint="eastAsia"/>
          <w:szCs w:val="21"/>
        </w:rPr>
        <w:t>及施工</w:t>
      </w:r>
      <w:r>
        <w:rPr>
          <w:szCs w:val="21"/>
        </w:rPr>
        <w:t>的需要，并</w:t>
      </w:r>
      <w:r>
        <w:rPr>
          <w:rFonts w:hint="eastAsia"/>
          <w:szCs w:val="21"/>
        </w:rPr>
        <w:t>应</w:t>
      </w:r>
      <w:r>
        <w:rPr>
          <w:szCs w:val="21"/>
        </w:rPr>
        <w:t>符合</w:t>
      </w:r>
      <w:r>
        <w:rPr>
          <w:rFonts w:hint="eastAsia"/>
          <w:szCs w:val="21"/>
        </w:rPr>
        <w:t>设计</w:t>
      </w:r>
      <w:r>
        <w:rPr>
          <w:szCs w:val="21"/>
        </w:rPr>
        <w:t>图纸的技术指标、结构安全和建筑性能等要求</w:t>
      </w:r>
      <w:r>
        <w:rPr>
          <w:rFonts w:hint="eastAsia"/>
          <w:szCs w:val="21"/>
        </w:rPr>
        <w:t>。</w:t>
      </w:r>
    </w:p>
    <w:p w14:paraId="612FF568">
      <w:pPr>
        <w:pStyle w:val="90"/>
        <w:spacing w:before="156"/>
      </w:pPr>
      <w:r>
        <w:rPr>
          <w:rFonts w:hint="eastAsia"/>
        </w:rPr>
        <w:t>对于下部采用混凝土结构、上部采用钢结构的厂房，应分别进行深化设计，并完成混凝土结构与钢结构连接构造设计。</w:t>
      </w:r>
    </w:p>
    <w:p w14:paraId="07E674F8">
      <w:pPr>
        <w:pStyle w:val="90"/>
        <w:spacing w:before="156"/>
      </w:pPr>
      <w:r>
        <w:rPr>
          <w:rFonts w:hint="eastAsia"/>
        </w:rPr>
        <w:t>当楼盖采用免支撑施工方案时，楼盖及支承结构深化设计应满足构件在施工阶段承载力、变形、稳定性及连接安全等要求，并应符合下列规定：</w:t>
      </w:r>
    </w:p>
    <w:p w14:paraId="2F220DEF">
      <w:pPr>
        <w:pStyle w:val="95"/>
      </w:pPr>
      <w:r>
        <w:rPr>
          <w:rFonts w:hint="eastAsia"/>
        </w:rPr>
        <w:t>预制梁施工阶段单侧受力时应进行防倾覆设计；</w:t>
      </w:r>
    </w:p>
    <w:p w14:paraId="487D5A5F">
      <w:pPr>
        <w:pStyle w:val="95"/>
      </w:pPr>
      <w:r>
        <w:rPr>
          <w:rFonts w:hint="eastAsia"/>
        </w:rPr>
        <w:t>对预制梁、预制板等有搁置长度要求的构件，应采取可靠支承措施；</w:t>
      </w:r>
    </w:p>
    <w:p w14:paraId="0C00D278">
      <w:pPr>
        <w:pStyle w:val="95"/>
      </w:pPr>
      <w:r>
        <w:rPr>
          <w:rFonts w:hint="eastAsia"/>
        </w:rPr>
        <w:t>预制构件的支承条件、施工荷载和临时工况应在深化设计文件中明确。</w:t>
      </w:r>
    </w:p>
    <w:p w14:paraId="169704E9">
      <w:pPr>
        <w:pStyle w:val="90"/>
        <w:spacing w:before="156"/>
      </w:pPr>
      <w:r>
        <w:rPr>
          <w:rFonts w:hint="eastAsia"/>
        </w:rPr>
        <w:t>外围护深化设计应符合下列规定：</w:t>
      </w:r>
    </w:p>
    <w:p w14:paraId="3AA424C7">
      <w:pPr>
        <w:pStyle w:val="95"/>
      </w:pPr>
      <w:r>
        <w:rPr>
          <w:rFonts w:hint="eastAsia"/>
        </w:rPr>
        <w:t>外墙板应根据建筑立面、模数协调及构件尺寸要求进行排板；</w:t>
      </w:r>
    </w:p>
    <w:p w14:paraId="4623C0BB">
      <w:pPr>
        <w:pStyle w:val="95"/>
      </w:pPr>
      <w:r>
        <w:rPr>
          <w:rFonts w:hint="eastAsia"/>
        </w:rPr>
        <w:t>预留、预埋件应明确规格、型号、定位、间距；</w:t>
      </w:r>
    </w:p>
    <w:p w14:paraId="64A5A8FD">
      <w:pPr>
        <w:pStyle w:val="95"/>
      </w:pPr>
      <w:r>
        <w:rPr>
          <w:rFonts w:hint="eastAsia"/>
        </w:rPr>
        <w:t>深化设计不应改变原设计对外围护系统相关设计要求。</w:t>
      </w:r>
    </w:p>
    <w:p w14:paraId="4250D0B2">
      <w:pPr>
        <w:pStyle w:val="90"/>
        <w:spacing w:before="156"/>
      </w:pPr>
      <w:r>
        <w:rPr>
          <w:rFonts w:hint="eastAsia"/>
        </w:rPr>
        <w:t>内隔墙深化设计应符合下列规定：</w:t>
      </w:r>
    </w:p>
    <w:p w14:paraId="31630DE3">
      <w:pPr>
        <w:pStyle w:val="95"/>
      </w:pPr>
      <w:r>
        <w:rPr>
          <w:rFonts w:hint="eastAsia"/>
        </w:rPr>
        <w:t>宜结合室内管线的敷设进行深化设计；</w:t>
      </w:r>
    </w:p>
    <w:p w14:paraId="40189368">
      <w:pPr>
        <w:pStyle w:val="95"/>
      </w:pPr>
      <w:r>
        <w:rPr>
          <w:rFonts w:hint="eastAsia"/>
        </w:rPr>
        <w:t>壁挂设备位置应设置加强板或其他可靠加固措施；</w:t>
      </w:r>
    </w:p>
    <w:p w14:paraId="09DBE3BD">
      <w:pPr>
        <w:pStyle w:val="95"/>
      </w:pPr>
      <w:r>
        <w:rPr>
          <w:rFonts w:hint="eastAsia"/>
        </w:rPr>
        <w:t>门、窗洞口位置应采用可靠加固措施；</w:t>
      </w:r>
    </w:p>
    <w:p w14:paraId="53BC6CCD">
      <w:pPr>
        <w:pStyle w:val="95"/>
      </w:pPr>
      <w:r>
        <w:rPr>
          <w:rFonts w:hint="eastAsia"/>
        </w:rPr>
        <w:t>深化图纸宜包含深化设计说明、节点设计、龙骨布置图、平面布置图、排版图等。</w:t>
      </w:r>
    </w:p>
    <w:p w14:paraId="7EA6D594">
      <w:pPr>
        <w:pStyle w:val="90"/>
        <w:spacing w:before="156"/>
      </w:pPr>
      <w:r>
        <w:rPr>
          <w:rFonts w:hint="eastAsia"/>
        </w:rPr>
        <w:t>轻质条板内隔墙应根据设计图纸进行深化，并应符合下列规定：</w:t>
      </w:r>
    </w:p>
    <w:p w14:paraId="615C7830">
      <w:pPr>
        <w:pStyle w:val="95"/>
        <w:ind w:firstLine="480" w:firstLineChars="200"/>
      </w:pPr>
      <w:r>
        <w:rPr>
          <w:rFonts w:hint="eastAsia"/>
        </w:rPr>
        <w:t>深化设计不应改变原设计对隔墙材质、性能、规格等要求；</w:t>
      </w:r>
    </w:p>
    <w:p w14:paraId="337BB928">
      <w:pPr>
        <w:pStyle w:val="95"/>
        <w:ind w:firstLine="480" w:firstLineChars="200"/>
      </w:pPr>
      <w:r>
        <w:rPr>
          <w:rFonts w:hint="eastAsia"/>
        </w:rPr>
        <w:t>当墙体高度或跨度超过板材适用规格时，应设置相应构造措施，构造措施应与主体结构有效连接；</w:t>
      </w:r>
    </w:p>
    <w:p w14:paraId="2C7B06B4">
      <w:pPr>
        <w:pStyle w:val="95"/>
        <w:ind w:firstLine="480" w:firstLineChars="200"/>
      </w:pPr>
      <w:r>
        <w:rPr>
          <w:rFonts w:hint="eastAsia"/>
        </w:rPr>
        <w:t>顶端为自由端的条板隔墙，应做压顶；</w:t>
      </w:r>
    </w:p>
    <w:p w14:paraId="06BCF2B3">
      <w:pPr>
        <w:pStyle w:val="95"/>
        <w:ind w:firstLine="480" w:firstLineChars="200"/>
      </w:pPr>
      <w:r>
        <w:rPr>
          <w:rFonts w:hint="eastAsia"/>
        </w:rPr>
        <w:t>深化图纸主要包含深化设计说明、节点设计、平面布置图、排版图等。</w:t>
      </w:r>
    </w:p>
    <w:p w14:paraId="19B75F33">
      <w:pPr>
        <w:pStyle w:val="90"/>
        <w:spacing w:before="156"/>
      </w:pPr>
      <w:r>
        <w:rPr>
          <w:rFonts w:hint="eastAsia"/>
        </w:rPr>
        <w:t>机电管线深化设计应与预制构件深化设计协同开展，且应在预制构件深化设计前完成预留孔洞、预埋件、支吊架点位及设备基础等内容的综合校核。</w:t>
      </w:r>
    </w:p>
    <w:p w14:paraId="2ACBD469">
      <w:pPr>
        <w:pStyle w:val="90"/>
        <w:spacing w:before="156"/>
      </w:pPr>
      <w:r>
        <w:rPr>
          <w:rFonts w:hint="eastAsia"/>
        </w:rPr>
        <w:t>机电管线深化设计综合图应包含以下内容：</w:t>
      </w:r>
    </w:p>
    <w:p w14:paraId="68A0926A">
      <w:pPr>
        <w:pStyle w:val="95"/>
        <w:ind w:firstLine="480" w:firstLineChars="200"/>
      </w:pPr>
      <w:r>
        <w:rPr>
          <w:rFonts w:hint="eastAsia"/>
        </w:rPr>
        <w:t>预留预埋深化图、机电管线深化图、支吊架点位深化图；</w:t>
      </w:r>
    </w:p>
    <w:p w14:paraId="731DD747">
      <w:pPr>
        <w:pStyle w:val="95"/>
        <w:ind w:firstLine="480" w:firstLineChars="200"/>
      </w:pPr>
      <w:r>
        <w:rPr>
          <w:rFonts w:hint="eastAsia"/>
        </w:rPr>
        <w:t>设备机房分组模块深化设计；</w:t>
      </w:r>
    </w:p>
    <w:p w14:paraId="5AD8B8C6">
      <w:pPr>
        <w:pStyle w:val="95"/>
        <w:ind w:firstLine="480" w:firstLineChars="200"/>
      </w:pPr>
      <w:r>
        <w:rPr>
          <w:rFonts w:hint="eastAsia"/>
        </w:rPr>
        <w:t>各专业系统模块化管道深化图。</w:t>
      </w:r>
    </w:p>
    <w:p w14:paraId="4735790B">
      <w:pPr>
        <w:pStyle w:val="90"/>
        <w:spacing w:before="156"/>
      </w:pPr>
      <w:r>
        <w:rPr>
          <w:rFonts w:hint="eastAsia"/>
        </w:rPr>
        <w:t>宜采用BIM技术进行预制部品、部件三维建模、碰撞检查及施工模拟。</w:t>
      </w:r>
    </w:p>
    <w:p w14:paraId="69717129">
      <w:pPr>
        <w:pStyle w:val="85"/>
        <w:rPr>
          <w:rFonts w:hint="eastAsia"/>
          <w:color w:val="auto"/>
        </w:rPr>
      </w:pPr>
      <w:bookmarkStart w:id="5" w:name="_Toc227574843"/>
      <w:r>
        <w:rPr>
          <w:rFonts w:hint="eastAsia"/>
          <w:color w:val="auto"/>
        </w:rPr>
        <w:t>构件设计</w:t>
      </w:r>
      <w:bookmarkEnd w:id="5"/>
    </w:p>
    <w:p w14:paraId="400F2DC0">
      <w:pPr>
        <w:pStyle w:val="90"/>
        <w:spacing w:before="156"/>
      </w:pPr>
      <w:r>
        <w:rPr>
          <w:rFonts w:hint="eastAsia"/>
        </w:rPr>
        <w:t>装配式混凝土结构厂房预制构件</w:t>
      </w:r>
      <w:r>
        <w:rPr>
          <w:rFonts w:hint="eastAsia" w:ascii="宋体" w:hAnsi="宋体"/>
          <w:szCs w:val="21"/>
        </w:rPr>
        <w:t>深化设计应</w:t>
      </w:r>
      <w:r>
        <w:rPr>
          <w:rFonts w:hint="eastAsia"/>
          <w:szCs w:val="21"/>
        </w:rPr>
        <w:t>明确构件各阶段混凝土强度、几何尺寸、钢筋规格及布置、吊钩与预埋件规格及位置、预留洞口尺寸及定位、粗糙面信息等。</w:t>
      </w:r>
    </w:p>
    <w:p w14:paraId="215B0242">
      <w:pPr>
        <w:pStyle w:val="90"/>
        <w:spacing w:before="156"/>
      </w:pPr>
      <w:r>
        <w:rPr>
          <w:rFonts w:hint="eastAsia"/>
        </w:rPr>
        <w:t>预制构件深化设计文件应包括深化设计说明、节点详图、预制构件布置图和预制构件加工图及有关计算书等。</w:t>
      </w:r>
    </w:p>
    <w:p w14:paraId="3B7259D8">
      <w:pPr>
        <w:pStyle w:val="90"/>
        <w:spacing w:before="156"/>
      </w:pPr>
      <w:r>
        <w:rPr>
          <w:rFonts w:hint="eastAsia"/>
        </w:rPr>
        <w:t>预制构件深化设计验算应符合国家现行标准《混凝土结构设计标准》GB/T 50010、《混凝土结构工程施工规范》GB 50666、《装配式混凝土结构技术规程》JGJ 1等的规定。</w:t>
      </w:r>
    </w:p>
    <w:p w14:paraId="2CED9254">
      <w:pPr>
        <w:pStyle w:val="90"/>
        <w:spacing w:before="156"/>
      </w:pPr>
      <w:r>
        <w:rPr>
          <w:rFonts w:hint="eastAsia"/>
        </w:rPr>
        <w:t>预制构件深化图应明确以下内容：</w:t>
      </w:r>
    </w:p>
    <w:p w14:paraId="311378B5">
      <w:pPr>
        <w:pStyle w:val="95"/>
        <w:ind w:firstLine="480" w:firstLineChars="200"/>
      </w:pPr>
      <w:r>
        <w:rPr>
          <w:rFonts w:hint="eastAsia"/>
        </w:rPr>
        <w:t>混凝土强度等级、各阶段混凝土强度、几何外形尺寸及粗糙面的位置和要求；</w:t>
      </w:r>
    </w:p>
    <w:p w14:paraId="530A8993">
      <w:pPr>
        <w:pStyle w:val="95"/>
        <w:ind w:firstLine="480" w:firstLineChars="200"/>
      </w:pPr>
      <w:r>
        <w:rPr>
          <w:rFonts w:hint="eastAsia"/>
        </w:rPr>
        <w:t>孔洞、凹槽、键槽、企口及倒角等细部构造的尺寸及定位；</w:t>
      </w:r>
    </w:p>
    <w:p w14:paraId="564CB3BA">
      <w:pPr>
        <w:pStyle w:val="95"/>
        <w:ind w:firstLine="480" w:firstLineChars="200"/>
      </w:pPr>
      <w:r>
        <w:rPr>
          <w:rFonts w:hint="eastAsia"/>
        </w:rPr>
        <w:t>钢筋的规格、数量、定位、长度；</w:t>
      </w:r>
    </w:p>
    <w:p w14:paraId="5797D2EA">
      <w:pPr>
        <w:pStyle w:val="95"/>
        <w:ind w:firstLine="480" w:firstLineChars="200"/>
      </w:pPr>
      <w:r>
        <w:rPr>
          <w:rFonts w:hint="eastAsia"/>
        </w:rPr>
        <w:t>钢筋避让方式、连接构造及细部构造尺寸；</w:t>
      </w:r>
    </w:p>
    <w:p w14:paraId="76834DDF">
      <w:pPr>
        <w:pStyle w:val="95"/>
        <w:ind w:firstLine="480" w:firstLineChars="200"/>
      </w:pPr>
      <w:r>
        <w:rPr>
          <w:rFonts w:hint="eastAsia"/>
        </w:rPr>
        <w:t>套筒、螺栓、锚固板及预应力垫板等的规格及位置；</w:t>
      </w:r>
    </w:p>
    <w:p w14:paraId="264F4F50">
      <w:pPr>
        <w:pStyle w:val="95"/>
        <w:ind w:firstLine="480" w:firstLineChars="200"/>
      </w:pPr>
      <w:r>
        <w:rPr>
          <w:rFonts w:hint="eastAsia"/>
        </w:rPr>
        <w:t>安装方向、吊点形式及定位、预埋件规格及位置；</w:t>
      </w:r>
    </w:p>
    <w:p w14:paraId="4BA267BC">
      <w:pPr>
        <w:pStyle w:val="95"/>
        <w:ind w:firstLine="480" w:firstLineChars="200"/>
      </w:pPr>
      <w:r>
        <w:rPr>
          <w:rFonts w:hint="eastAsia"/>
        </w:rPr>
        <w:t>钢筋材料表、预埋件信息表。</w:t>
      </w:r>
    </w:p>
    <w:p w14:paraId="30726F90">
      <w:pPr>
        <w:pStyle w:val="90"/>
        <w:spacing w:before="156"/>
      </w:pPr>
      <w:r>
        <w:rPr>
          <w:rFonts w:hint="eastAsia"/>
        </w:rPr>
        <w:t>应根据构件施工工艺和支承关系，设计梁、板等构件的支承方式及相应节点构造。柱顶设置混凝土牛腿、钢牛腿或安装工装时，设计应符合现行国家标准《混凝土结构设计标准》GB/T 50010、《钢结构设计标准》GB 50017的规定。</w:t>
      </w:r>
    </w:p>
    <w:p w14:paraId="312EC01B">
      <w:pPr>
        <w:pStyle w:val="90"/>
        <w:spacing w:before="156"/>
      </w:pPr>
      <w:r>
        <w:rPr>
          <w:rFonts w:hint="eastAsia"/>
          <w:szCs w:val="21"/>
        </w:rPr>
        <w:t>多层预制柱应对柱顶、柱间梁柱节点进行设计。当预制柱的重量或尺寸超过生产、运输或吊装条件限制时，宜分段设计，分段位置宜设置在柱中。当预制梁的重量超过生产、运输或吊装条件限制时，可拆分成两个或三个并联独立构件，并通过后浇混凝土形成并联叠合梁。</w:t>
      </w:r>
    </w:p>
    <w:p w14:paraId="698C88A6">
      <w:pPr>
        <w:pStyle w:val="90"/>
        <w:spacing w:before="156" w:line="360" w:lineRule="auto"/>
        <w:contextualSpacing/>
        <w:jc w:val="left"/>
        <w:outlineLvl w:val="9"/>
        <w:rPr>
          <w:rFonts w:hint="eastAsia" w:ascii="宋体" w:hAnsi="宋体" w:cs="仿宋"/>
        </w:rPr>
      </w:pPr>
      <w:r>
        <w:rPr>
          <w:rFonts w:hint="eastAsia"/>
        </w:rPr>
        <w:t>预制梁、预制柱脱模与水平吊装时，应对称设置并注明各阶段起吊时吊点的位置及适用工况，吊点合力作用线宜与构件重心线重合。</w:t>
      </w:r>
    </w:p>
    <w:p w14:paraId="4F633506">
      <w:pPr>
        <w:pStyle w:val="90"/>
        <w:spacing w:before="156"/>
      </w:pPr>
      <w:r>
        <w:rPr>
          <w:rFonts w:hint="eastAsia"/>
        </w:rPr>
        <w:t>混凝土叠合楼盖宜采用底板密拼布置方式。对于跨度、荷载较大的结构，可采用预制预应力技术控制构件全过程抗裂与挠度。</w:t>
      </w:r>
    </w:p>
    <w:p w14:paraId="2BF61686">
      <w:pPr>
        <w:pStyle w:val="90"/>
        <w:spacing w:before="156"/>
      </w:pPr>
      <w:r>
        <w:rPr>
          <w:rFonts w:hint="eastAsia"/>
        </w:rPr>
        <w:t>免支撑的预制梁、预制板的设计应符合下列规定：</w:t>
      </w:r>
    </w:p>
    <w:p w14:paraId="1ACAE960">
      <w:pPr>
        <w:pStyle w:val="95"/>
        <w:ind w:firstLine="480" w:firstLineChars="200"/>
      </w:pPr>
      <w:r>
        <w:t>预制构件</w:t>
      </w:r>
      <w:r>
        <w:rPr>
          <w:rFonts w:hint="eastAsia"/>
        </w:rPr>
        <w:t>应</w:t>
      </w:r>
      <w:r>
        <w:t xml:space="preserve">核算生产、运输、安装全过程的承载力、挠度与裂缝控制等指标； </w:t>
      </w:r>
    </w:p>
    <w:p w14:paraId="7567C16B">
      <w:pPr>
        <w:pStyle w:val="95"/>
        <w:numPr>
          <w:ilvl w:val="0"/>
          <w:numId w:val="0"/>
        </w:numPr>
        <w:ind w:left="851"/>
      </w:pPr>
      <w:r>
        <w:rPr>
          <w:rFonts w:hint="eastAsia"/>
        </w:rPr>
        <w:t>1）脱模、吊装、运输阶段预制构件正截面边缘的混凝土法向应力不宜大于该阶段混凝土立方体抗压强度相应的抗拉强度标准值；</w:t>
      </w:r>
    </w:p>
    <w:p w14:paraId="287412E5">
      <w:pPr>
        <w:pStyle w:val="95"/>
        <w:numPr>
          <w:ilvl w:val="0"/>
          <w:numId w:val="0"/>
        </w:numPr>
        <w:ind w:left="851"/>
      </w:pPr>
      <w:r>
        <w:rPr>
          <w:rFonts w:hint="eastAsia"/>
        </w:rPr>
        <w:t>2）施工阶段预应力混凝土叠合底板考虑施工活荷载作用下按不开裂设计；钢筋混凝土叠合底板考虑施工活荷载作用下跨度方向板底钢筋应力不应大于200N/mm</w:t>
      </w:r>
      <w:r>
        <w:rPr>
          <w:rFonts w:hint="eastAsia"/>
          <w:vertAlign w:val="superscript"/>
        </w:rPr>
        <w:t>2</w:t>
      </w:r>
      <w:r>
        <w:rPr>
          <w:rFonts w:hint="eastAsia"/>
        </w:rPr>
        <w:t>；</w:t>
      </w:r>
    </w:p>
    <w:p w14:paraId="080599C3">
      <w:pPr>
        <w:pStyle w:val="95"/>
        <w:numPr>
          <w:ilvl w:val="0"/>
          <w:numId w:val="0"/>
        </w:numPr>
        <w:ind w:left="851"/>
      </w:pPr>
      <w:r>
        <w:rPr>
          <w:rFonts w:hint="eastAsia"/>
        </w:rPr>
        <w:t>3）施工阶段叠合底板不考虑施工活荷载作用下短期挠度不应大于计算跨度的1/400；</w:t>
      </w:r>
    </w:p>
    <w:p w14:paraId="59E874A7">
      <w:pPr>
        <w:pStyle w:val="95"/>
        <w:numPr>
          <w:ilvl w:val="0"/>
          <w:numId w:val="0"/>
        </w:numPr>
        <w:ind w:left="851"/>
      </w:pPr>
      <w:r>
        <w:rPr>
          <w:rFonts w:hint="eastAsia"/>
        </w:rPr>
        <w:t>4）脱模、吊装、运输、施工各阶段设计时混凝土强度、弹模应按实际混凝土强度考虑。</w:t>
      </w:r>
    </w:p>
    <w:p w14:paraId="45D007F4">
      <w:pPr>
        <w:pStyle w:val="95"/>
        <w:ind w:firstLine="480" w:firstLineChars="200"/>
      </w:pPr>
      <w:r>
        <w:rPr>
          <w:rFonts w:hint="eastAsia"/>
        </w:rPr>
        <w:t>叠合构件的使用阶段设计应考虑二阶段受力及实际支座条件；</w:t>
      </w:r>
    </w:p>
    <w:p w14:paraId="58CDFAF3">
      <w:pPr>
        <w:pStyle w:val="95"/>
        <w:ind w:firstLine="480" w:firstLineChars="200"/>
      </w:pPr>
      <w:r>
        <w:rPr>
          <w:rFonts w:hint="eastAsia"/>
        </w:rPr>
        <w:t>预制</w:t>
      </w:r>
      <w:r>
        <w:t>梁端连接节点应</w:t>
      </w:r>
      <w:r>
        <w:rPr>
          <w:rFonts w:hint="eastAsia"/>
        </w:rPr>
        <w:t>设置</w:t>
      </w:r>
      <w:r>
        <w:t>可靠</w:t>
      </w:r>
      <w:r>
        <w:rPr>
          <w:rFonts w:hint="eastAsia"/>
        </w:rPr>
        <w:t>构造</w:t>
      </w:r>
      <w:r>
        <w:t>措施，并能保证施工阶段可靠受力；</w:t>
      </w:r>
    </w:p>
    <w:p w14:paraId="712117E9">
      <w:pPr>
        <w:pStyle w:val="95"/>
        <w:ind w:firstLine="480" w:firstLineChars="200"/>
      </w:pPr>
      <w:r>
        <w:t>设计应考虑施工便捷性，考虑施工安装的方便、安全，并提高装配效率。</w:t>
      </w:r>
    </w:p>
    <w:p w14:paraId="1D9F4B78">
      <w:pPr>
        <w:pStyle w:val="85"/>
        <w:rPr>
          <w:rFonts w:hint="eastAsia"/>
          <w:color w:val="auto"/>
        </w:rPr>
      </w:pPr>
      <w:bookmarkStart w:id="6" w:name="_Toc225342123"/>
      <w:bookmarkEnd w:id="6"/>
      <w:bookmarkStart w:id="7" w:name="_Toc225342121"/>
      <w:bookmarkEnd w:id="7"/>
      <w:bookmarkStart w:id="8" w:name="_Toc225342124"/>
      <w:bookmarkEnd w:id="8"/>
      <w:bookmarkStart w:id="9" w:name="_Toc225342118"/>
      <w:bookmarkEnd w:id="9"/>
      <w:bookmarkStart w:id="10" w:name="_Toc225342114"/>
      <w:bookmarkEnd w:id="10"/>
      <w:bookmarkStart w:id="11" w:name="_Toc225342119"/>
      <w:bookmarkEnd w:id="11"/>
      <w:bookmarkStart w:id="12" w:name="_Toc225342112"/>
      <w:bookmarkEnd w:id="12"/>
      <w:bookmarkStart w:id="13" w:name="_Toc225342120"/>
      <w:bookmarkEnd w:id="13"/>
      <w:bookmarkStart w:id="14" w:name="_Toc225342125"/>
      <w:bookmarkEnd w:id="14"/>
      <w:bookmarkStart w:id="15" w:name="_Toc225342113"/>
      <w:bookmarkEnd w:id="15"/>
      <w:bookmarkStart w:id="16" w:name="_Toc225342111"/>
      <w:bookmarkEnd w:id="16"/>
      <w:bookmarkStart w:id="17" w:name="_Toc225342116"/>
      <w:bookmarkEnd w:id="17"/>
      <w:bookmarkStart w:id="18" w:name="_Toc225342122"/>
      <w:bookmarkEnd w:id="18"/>
      <w:bookmarkStart w:id="19" w:name="_Toc225342117"/>
      <w:bookmarkEnd w:id="19"/>
      <w:bookmarkStart w:id="20" w:name="_Toc225342110"/>
      <w:bookmarkEnd w:id="20"/>
      <w:bookmarkStart w:id="21" w:name="_Toc225342115"/>
      <w:bookmarkEnd w:id="21"/>
      <w:bookmarkStart w:id="22" w:name="_Toc227574844"/>
      <w:r>
        <w:rPr>
          <w:rFonts w:hint="eastAsia"/>
          <w:color w:val="auto"/>
        </w:rPr>
        <w:t>连接设计</w:t>
      </w:r>
      <w:bookmarkEnd w:id="22"/>
    </w:p>
    <w:p w14:paraId="031EFDF5">
      <w:pPr>
        <w:pStyle w:val="90"/>
        <w:spacing w:before="156"/>
      </w:pPr>
      <w:r>
        <w:rPr>
          <w:rFonts w:hint="eastAsia"/>
        </w:rPr>
        <w:t>装配式混凝土结构的连接设计应符合国家现行标准《装配式混凝土建筑技术标准》GB/T 51231、《装配式混凝土结构技术规程》JGJ 1等的规定。</w:t>
      </w:r>
    </w:p>
    <w:p w14:paraId="57015ECB">
      <w:pPr>
        <w:pStyle w:val="90"/>
        <w:spacing w:before="156"/>
      </w:pPr>
      <w:r>
        <w:rPr>
          <w:rFonts w:hint="eastAsia"/>
        </w:rPr>
        <w:t>预制构件深化设计时，应考虑钢筋避让；钢筋避让应满足设计要求，且应考虑钢筋横肋高度及生产安装误差。钢筋横肋高度应符合现行国家标准《</w:t>
      </w:r>
      <w:r>
        <w:t>钢筋混凝土用钢 第2部分：热轧带肋钢筋</w:t>
      </w:r>
      <w:r>
        <w:rPr>
          <w:rFonts w:hint="eastAsia"/>
        </w:rPr>
        <w:t>》</w:t>
      </w:r>
      <w:r>
        <w:t>GB</w:t>
      </w:r>
      <w:r>
        <w:rPr>
          <w:rFonts w:hint="eastAsia"/>
        </w:rPr>
        <w:t xml:space="preserve"> </w:t>
      </w:r>
      <w:r>
        <w:t>1499.2</w:t>
      </w:r>
      <w:r>
        <w:rPr>
          <w:rFonts w:hint="eastAsia"/>
        </w:rPr>
        <w:t>等的规定。预制构件深化设计应综合考虑制作和施工安装偏差，构件长度宜按正偏差考虑。</w:t>
      </w:r>
    </w:p>
    <w:p w14:paraId="6A9E73D4">
      <w:pPr>
        <w:pStyle w:val="90"/>
        <w:spacing w:before="156"/>
      </w:pPr>
      <w:r>
        <w:rPr>
          <w:rFonts w:hint="eastAsia"/>
        </w:rPr>
        <w:t>预制柱间钢筋连接应选用灌浆套筒钢筋连接、机械连接或螺栓连接。</w:t>
      </w:r>
    </w:p>
    <w:p w14:paraId="5BCE73F1">
      <w:pPr>
        <w:pStyle w:val="90"/>
        <w:spacing w:before="156"/>
      </w:pPr>
      <w:r>
        <w:rPr>
          <w:rFonts w:hint="eastAsia"/>
        </w:rPr>
        <w:t>预制柱宜采用预埋集中灌浆管的高位集中注浆</w:t>
      </w:r>
      <w:r>
        <w:rPr>
          <w:rStyle w:val="36"/>
          <w:rFonts w:hint="eastAsia"/>
          <w:sz w:val="24"/>
          <w:szCs w:val="24"/>
        </w:rPr>
        <w:t>方式，集中灌浆孔高度宜高于套筒出浆孔300mm，孔径不宜小于30mm</w:t>
      </w:r>
      <w:r>
        <w:rPr>
          <w:rFonts w:hint="eastAsia"/>
        </w:rPr>
        <w:t>。</w:t>
      </w:r>
    </w:p>
    <w:p w14:paraId="1A42BBEB">
      <w:pPr>
        <w:pStyle w:val="90"/>
        <w:spacing w:before="156"/>
      </w:pPr>
      <w:r>
        <w:rPr>
          <w:rFonts w:hint="eastAsia"/>
        </w:rPr>
        <w:t>预制次梁与预制主梁采用铰接连接时，可采用钢质企口连接形式；采用刚接连接方式时，应采用专门构造确保次梁梁端可靠传力。</w:t>
      </w:r>
    </w:p>
    <w:p w14:paraId="0D2FF845">
      <w:pPr>
        <w:pStyle w:val="90"/>
        <w:spacing w:before="156"/>
      </w:pPr>
      <w:r>
        <w:rPr>
          <w:rFonts w:hint="eastAsia"/>
        </w:rPr>
        <w:t>免支撑预制梁、预制板的施工阶段搭置长度应满足施工过程安全可靠要求；预应力空心楼板在梁上的搁置长度不宜小于60mm，叠合楼板在梁上的搁置长度不宜小于40mm。</w:t>
      </w:r>
    </w:p>
    <w:p w14:paraId="04543700">
      <w:pPr>
        <w:pStyle w:val="90"/>
        <w:spacing w:before="156"/>
      </w:pPr>
      <w:r>
        <w:rPr>
          <w:rFonts w:ascii="宋体" w:hAnsi="宋体" w:cs="宋体"/>
        </w:rPr>
        <w:t>外</w:t>
      </w:r>
      <w:r>
        <w:rPr>
          <w:rFonts w:hint="eastAsia" w:ascii="宋体" w:hAnsi="宋体" w:cs="宋体"/>
        </w:rPr>
        <w:t>墙</w:t>
      </w:r>
      <w:r>
        <w:rPr>
          <w:rFonts w:ascii="宋体" w:hAnsi="宋体" w:cs="宋体"/>
        </w:rPr>
        <w:t>围护系统与主体结构之间应</w:t>
      </w:r>
      <w:r>
        <w:rPr>
          <w:rFonts w:hint="eastAsia" w:ascii="宋体" w:hAnsi="宋体" w:cs="宋体"/>
        </w:rPr>
        <w:t>设计</w:t>
      </w:r>
      <w:r>
        <w:rPr>
          <w:rFonts w:ascii="宋体" w:hAnsi="宋体" w:cs="宋体"/>
        </w:rPr>
        <w:t>可靠连接，应满足结构层间位移、变形协调、防水、耐久及维护要求。外</w:t>
      </w:r>
      <w:r>
        <w:rPr>
          <w:rFonts w:hint="eastAsia" w:ascii="宋体" w:hAnsi="宋体" w:cs="宋体"/>
        </w:rPr>
        <w:t>墙</w:t>
      </w:r>
      <w:r>
        <w:rPr>
          <w:rFonts w:ascii="宋体" w:hAnsi="宋体" w:cs="宋体"/>
        </w:rPr>
        <w:t>围护系统的材料类型、构造做法、连接方式和安装要求应根据设计文件确定</w:t>
      </w:r>
      <w:r>
        <w:rPr>
          <w:rFonts w:hint="eastAsia"/>
        </w:rPr>
        <w:t>。</w:t>
      </w:r>
    </w:p>
    <w:p w14:paraId="2DCEBCDD">
      <w:pPr>
        <w:pStyle w:val="90"/>
        <w:spacing w:before="156"/>
      </w:pPr>
      <w:r>
        <w:rPr>
          <w:rFonts w:hint="eastAsia"/>
        </w:rPr>
        <w:t>轻质隔墙系统的墙板接缝处应进行密封处理；隔墙端部与结构系统应有可靠连接。</w:t>
      </w:r>
    </w:p>
    <w:p w14:paraId="6F303729">
      <w:pPr>
        <w:widowControl/>
        <w:jc w:val="left"/>
        <w:rPr>
          <w:rFonts w:hint="eastAsia" w:ascii="黑体" w:hAnsi="黑体" w:eastAsia="黑体"/>
          <w:kern w:val="44"/>
          <w:sz w:val="30"/>
          <w:szCs w:val="30"/>
        </w:rPr>
      </w:pPr>
      <w:bookmarkStart w:id="23" w:name="_Toc220148346"/>
      <w:r>
        <w:rPr>
          <w:rFonts w:hint="eastAsia"/>
        </w:rPr>
        <w:br w:type="page"/>
      </w:r>
    </w:p>
    <w:p w14:paraId="27C107AC">
      <w:pPr>
        <w:pStyle w:val="79"/>
        <w:rPr>
          <w:rFonts w:hint="eastAsia"/>
        </w:rPr>
      </w:pPr>
      <w:bookmarkStart w:id="24" w:name="_Toc227574845"/>
      <w:r>
        <w:rPr>
          <w:rFonts w:hint="eastAsia"/>
        </w:rPr>
        <w:t>生产与运输</w:t>
      </w:r>
      <w:bookmarkEnd w:id="23"/>
      <w:bookmarkEnd w:id="24"/>
    </w:p>
    <w:p w14:paraId="33501AFD">
      <w:pPr>
        <w:pStyle w:val="85"/>
        <w:rPr>
          <w:rFonts w:hint="eastAsia"/>
          <w:color w:val="auto"/>
        </w:rPr>
      </w:pPr>
      <w:bookmarkStart w:id="25" w:name="_Toc227574846"/>
      <w:bookmarkStart w:id="26" w:name="_Toc220148347"/>
      <w:r>
        <w:rPr>
          <w:rFonts w:hint="eastAsia"/>
          <w:color w:val="auto"/>
        </w:rPr>
        <w:t>一般规定</w:t>
      </w:r>
      <w:bookmarkEnd w:id="25"/>
      <w:bookmarkEnd w:id="26"/>
    </w:p>
    <w:p w14:paraId="23283D05">
      <w:pPr>
        <w:pStyle w:val="90"/>
        <w:spacing w:before="156"/>
      </w:pPr>
      <w:r>
        <w:rPr>
          <w:rFonts w:hint="eastAsia"/>
        </w:rPr>
        <w:t>预制构件生产前应完成生产方案编制及审批，方案内容应包括生产工艺、技术质量控制措施、成品存放、运输和保护措施等。</w:t>
      </w:r>
    </w:p>
    <w:p w14:paraId="59B9ABE0">
      <w:pPr>
        <w:pStyle w:val="90"/>
        <w:spacing w:before="156"/>
      </w:pPr>
      <w:r>
        <w:rPr>
          <w:rFonts w:hint="eastAsia"/>
        </w:rPr>
        <w:t>预制构件生产前，应按深化设计图纸组织交底。</w:t>
      </w:r>
    </w:p>
    <w:p w14:paraId="4303A005">
      <w:pPr>
        <w:pStyle w:val="90"/>
        <w:spacing w:before="156"/>
      </w:pPr>
      <w:r>
        <w:rPr>
          <w:rFonts w:hint="eastAsia"/>
        </w:rPr>
        <w:t>预制构件模具应具有足够的承载力、刚度和稳定性，并应符合北京市现行地方标准《预制混凝土构件质量检验标准》</w:t>
      </w:r>
      <w:r>
        <w:t>DB11/T 968</w:t>
      </w:r>
      <w:r>
        <w:rPr>
          <w:rFonts w:hint="eastAsia"/>
        </w:rPr>
        <w:t>的规定。</w:t>
      </w:r>
    </w:p>
    <w:p w14:paraId="7D1EAC04">
      <w:pPr>
        <w:pStyle w:val="90"/>
        <w:spacing w:before="156"/>
      </w:pPr>
      <w:r>
        <w:rPr>
          <w:rFonts w:hint="eastAsia"/>
        </w:rPr>
        <w:t>预制构件的外观质量、尺寸偏差、预留预埋偏差等应满足设计要求并符合国家现行标准《装配式混凝土建筑技术标准》</w:t>
      </w:r>
      <w:r>
        <w:t>GB/T 51231</w:t>
      </w:r>
      <w:r>
        <w:rPr>
          <w:rFonts w:hint="eastAsia"/>
        </w:rPr>
        <w:t>、《装配式混凝土结构技术规程》</w:t>
      </w:r>
      <w:r>
        <w:t>JGJ 1</w:t>
      </w:r>
      <w:r>
        <w:rPr>
          <w:rFonts w:hint="eastAsia"/>
        </w:rPr>
        <w:t>、《预制混凝土构件质量检验标准》</w:t>
      </w:r>
      <w:r>
        <w:t>DB11/T 968</w:t>
      </w:r>
      <w:r>
        <w:rPr>
          <w:rFonts w:hint="eastAsia"/>
        </w:rPr>
        <w:t>的规定。</w:t>
      </w:r>
    </w:p>
    <w:p w14:paraId="1CBA0B3E">
      <w:pPr>
        <w:pStyle w:val="85"/>
        <w:rPr>
          <w:rFonts w:hint="eastAsia"/>
          <w:color w:val="auto"/>
        </w:rPr>
      </w:pPr>
      <w:bookmarkStart w:id="27" w:name="_Toc225342129"/>
      <w:bookmarkEnd w:id="27"/>
      <w:bookmarkStart w:id="28" w:name="_Toc220148348"/>
      <w:bookmarkStart w:id="29" w:name="_Toc227574847"/>
      <w:r>
        <w:rPr>
          <w:rFonts w:hint="eastAsia"/>
          <w:color w:val="auto"/>
        </w:rPr>
        <w:t>构件生产</w:t>
      </w:r>
      <w:bookmarkEnd w:id="28"/>
      <w:bookmarkEnd w:id="29"/>
    </w:p>
    <w:p w14:paraId="284E11AE">
      <w:pPr>
        <w:pStyle w:val="90"/>
        <w:spacing w:before="156"/>
      </w:pPr>
      <w:r>
        <w:rPr>
          <w:rFonts w:hint="eastAsia"/>
        </w:rPr>
        <w:t>钢筋骨架应采取定位和加固措施。</w:t>
      </w:r>
    </w:p>
    <w:p w14:paraId="560916FA">
      <w:pPr>
        <w:pStyle w:val="90"/>
        <w:spacing w:before="156"/>
      </w:pPr>
      <w:r>
        <w:rPr>
          <w:rFonts w:hint="eastAsia"/>
        </w:rPr>
        <w:t>安装螺纹钢筋锚固板时，锚固板的拧紧力矩值应满足现行行业标准《钢筋锚固板应用技术规程》JGJ 256的规定。</w:t>
      </w:r>
    </w:p>
    <w:p w14:paraId="35C35BB3">
      <w:pPr>
        <w:pStyle w:val="90"/>
        <w:spacing w:before="156"/>
      </w:pPr>
      <w:r>
        <w:rPr>
          <w:rFonts w:hint="eastAsia"/>
        </w:rPr>
        <w:t>预制构件表面的螺母、套筒等孔洞内应做好防污染措施。</w:t>
      </w:r>
    </w:p>
    <w:p w14:paraId="22A1A491">
      <w:pPr>
        <w:pStyle w:val="90"/>
        <w:spacing w:before="156"/>
      </w:pPr>
      <w:r>
        <w:rPr>
          <w:rFonts w:hint="eastAsia"/>
        </w:rPr>
        <w:t>预制构件混凝土应分层浇筑，每层厚度不应超过500mm。</w:t>
      </w:r>
    </w:p>
    <w:p w14:paraId="2E330D8B">
      <w:pPr>
        <w:pStyle w:val="90"/>
        <w:spacing w:before="156"/>
      </w:pPr>
      <w:r>
        <w:rPr>
          <w:rFonts w:hint="eastAsia"/>
        </w:rPr>
        <w:t>在混凝土终凝前，进行蒸汽养护时，宜在预制构件表面覆盖塑料薄膜。</w:t>
      </w:r>
    </w:p>
    <w:p w14:paraId="779B502E">
      <w:pPr>
        <w:pStyle w:val="90"/>
        <w:spacing w:before="156"/>
      </w:pPr>
      <w:r>
        <w:rPr>
          <w:rFonts w:hint="eastAsia"/>
        </w:rPr>
        <w:t>预制构件具备大体积混凝土特征时，预制构件混凝土的浇筑及养护应符合现行国家标准《大体积混凝土施工标准》</w:t>
      </w:r>
      <w:r>
        <w:t>GB 50496</w:t>
      </w:r>
      <w:r>
        <w:rPr>
          <w:rFonts w:hint="eastAsia"/>
        </w:rPr>
        <w:t>、《混凝土结构工程施工规范》</w:t>
      </w:r>
      <w:r>
        <w:t>GB 50666</w:t>
      </w:r>
      <w:r>
        <w:rPr>
          <w:rFonts w:hint="eastAsia"/>
        </w:rPr>
        <w:t>的规定。</w:t>
      </w:r>
    </w:p>
    <w:p w14:paraId="1C5FE7E1">
      <w:pPr>
        <w:pStyle w:val="90"/>
        <w:spacing w:before="156"/>
      </w:pPr>
      <w:r>
        <w:rPr>
          <w:rFonts w:hint="eastAsia"/>
        </w:rPr>
        <w:t>预制构件脱模起吊时预制构件的混凝土立方体抗压强度应满足设计要求，且不应小于15N/mm</w:t>
      </w:r>
      <w:r>
        <w:rPr>
          <w:rFonts w:hint="eastAsia"/>
          <w:vertAlign w:val="superscript"/>
        </w:rPr>
        <w:t>2</w:t>
      </w:r>
      <w:r>
        <w:rPr>
          <w:rFonts w:hint="eastAsia"/>
        </w:rPr>
        <w:t>。</w:t>
      </w:r>
    </w:p>
    <w:p w14:paraId="264F5D42">
      <w:pPr>
        <w:pStyle w:val="90"/>
        <w:spacing w:before="156"/>
      </w:pPr>
      <w:r>
        <w:rPr>
          <w:rFonts w:hint="eastAsia"/>
        </w:rPr>
        <w:t>预制构件的成型、养护及脱模应符合现行国家标准《混凝土结构工程施工规范》</w:t>
      </w:r>
      <w:r>
        <w:t>GB 50666</w:t>
      </w:r>
      <w:r>
        <w:rPr>
          <w:rFonts w:hint="eastAsia"/>
        </w:rPr>
        <w:t>、《装配式混凝土建筑技术标准》</w:t>
      </w:r>
      <w:r>
        <w:t>GB/T 51231</w:t>
      </w:r>
      <w:r>
        <w:rPr>
          <w:rFonts w:hint="eastAsia"/>
        </w:rPr>
        <w:t>的规定。</w:t>
      </w:r>
    </w:p>
    <w:p w14:paraId="4DB9817F">
      <w:pPr>
        <w:pStyle w:val="85"/>
        <w:rPr>
          <w:rFonts w:hint="eastAsia"/>
          <w:color w:val="auto"/>
        </w:rPr>
      </w:pPr>
      <w:bookmarkStart w:id="30" w:name="_Toc225342133"/>
      <w:bookmarkEnd w:id="30"/>
      <w:bookmarkStart w:id="31" w:name="_Toc225342136"/>
      <w:bookmarkEnd w:id="31"/>
      <w:bookmarkStart w:id="32" w:name="_Toc225342160"/>
      <w:bookmarkEnd w:id="32"/>
      <w:bookmarkStart w:id="33" w:name="_Toc225342154"/>
      <w:bookmarkEnd w:id="33"/>
      <w:bookmarkStart w:id="34" w:name="_Toc225342131"/>
      <w:bookmarkEnd w:id="34"/>
      <w:bookmarkStart w:id="35" w:name="_Toc225342156"/>
      <w:bookmarkEnd w:id="35"/>
      <w:bookmarkStart w:id="36" w:name="_Toc225342141"/>
      <w:bookmarkEnd w:id="36"/>
      <w:bookmarkStart w:id="37" w:name="_Toc225342151"/>
      <w:bookmarkEnd w:id="37"/>
      <w:bookmarkStart w:id="38" w:name="_Toc225342148"/>
      <w:bookmarkEnd w:id="38"/>
      <w:bookmarkStart w:id="39" w:name="_Toc225342147"/>
      <w:bookmarkEnd w:id="39"/>
      <w:bookmarkStart w:id="40" w:name="_Toc225342135"/>
      <w:bookmarkEnd w:id="40"/>
      <w:bookmarkStart w:id="41" w:name="_Toc225342143"/>
      <w:bookmarkEnd w:id="41"/>
      <w:bookmarkStart w:id="42" w:name="_Toc225342162"/>
      <w:bookmarkEnd w:id="42"/>
      <w:bookmarkStart w:id="43" w:name="_Toc225342137"/>
      <w:bookmarkEnd w:id="43"/>
      <w:bookmarkStart w:id="44" w:name="_Toc225342142"/>
      <w:bookmarkEnd w:id="44"/>
      <w:bookmarkStart w:id="45" w:name="_Toc225342145"/>
      <w:bookmarkEnd w:id="45"/>
      <w:bookmarkStart w:id="46" w:name="_Toc225342163"/>
      <w:bookmarkEnd w:id="46"/>
      <w:bookmarkStart w:id="47" w:name="_Toc225342146"/>
      <w:bookmarkEnd w:id="47"/>
      <w:bookmarkStart w:id="48" w:name="_Toc225342152"/>
      <w:bookmarkEnd w:id="48"/>
      <w:bookmarkStart w:id="49" w:name="_Toc225342158"/>
      <w:bookmarkEnd w:id="49"/>
      <w:bookmarkStart w:id="50" w:name="_Toc225342157"/>
      <w:bookmarkEnd w:id="50"/>
      <w:bookmarkStart w:id="51" w:name="_Toc225342159"/>
      <w:bookmarkEnd w:id="51"/>
      <w:bookmarkStart w:id="52" w:name="_Toc225342134"/>
      <w:bookmarkEnd w:id="52"/>
      <w:bookmarkStart w:id="53" w:name="_Toc225342139"/>
      <w:bookmarkEnd w:id="53"/>
      <w:bookmarkStart w:id="54" w:name="_Toc225342150"/>
      <w:bookmarkEnd w:id="54"/>
      <w:bookmarkStart w:id="55" w:name="_Toc225342132"/>
      <w:bookmarkEnd w:id="55"/>
      <w:bookmarkStart w:id="56" w:name="_Toc225342149"/>
      <w:bookmarkEnd w:id="56"/>
      <w:bookmarkStart w:id="57" w:name="_Toc225342155"/>
      <w:bookmarkEnd w:id="57"/>
      <w:bookmarkStart w:id="58" w:name="_Toc225342140"/>
      <w:bookmarkEnd w:id="58"/>
      <w:bookmarkStart w:id="59" w:name="_Toc225342138"/>
      <w:bookmarkEnd w:id="59"/>
      <w:bookmarkStart w:id="60" w:name="_Toc225342144"/>
      <w:bookmarkEnd w:id="60"/>
      <w:bookmarkStart w:id="61" w:name="_Toc225342161"/>
      <w:bookmarkEnd w:id="61"/>
      <w:bookmarkStart w:id="62" w:name="_Toc225342153"/>
      <w:bookmarkEnd w:id="62"/>
      <w:bookmarkStart w:id="63" w:name="_Toc220148350"/>
      <w:bookmarkStart w:id="64" w:name="_Toc227574848"/>
      <w:r>
        <w:rPr>
          <w:rFonts w:hint="eastAsia"/>
          <w:color w:val="auto"/>
        </w:rPr>
        <w:t>存放与运输</w:t>
      </w:r>
      <w:bookmarkEnd w:id="63"/>
      <w:bookmarkEnd w:id="64"/>
    </w:p>
    <w:p w14:paraId="60A9BAC7">
      <w:pPr>
        <w:pStyle w:val="90"/>
        <w:spacing w:before="156"/>
        <w:jc w:val="left"/>
        <w:rPr>
          <w:rFonts w:hint="eastAsia" w:ascii="宋体" w:hAnsi="宋体"/>
          <w:szCs w:val="21"/>
          <w:lang w:bidi="en-US"/>
        </w:rPr>
      </w:pPr>
      <w:r>
        <w:rPr>
          <w:rFonts w:hint="eastAsia" w:ascii="宋体" w:hAnsi="宋体"/>
          <w:szCs w:val="21"/>
          <w:lang w:bidi="en-US"/>
        </w:rPr>
        <w:t>预制构件存放应</w:t>
      </w:r>
      <w:r>
        <w:rPr>
          <w:rFonts w:hint="eastAsia"/>
          <w:lang w:bidi="en-US"/>
        </w:rPr>
        <w:t>符合</w:t>
      </w:r>
      <w:r>
        <w:rPr>
          <w:rFonts w:hint="eastAsia" w:ascii="宋体" w:hAnsi="宋体"/>
          <w:szCs w:val="21"/>
          <w:lang w:bidi="en-US"/>
        </w:rPr>
        <w:t>下列规定：</w:t>
      </w:r>
    </w:p>
    <w:p w14:paraId="6A6F55BB">
      <w:pPr>
        <w:pStyle w:val="95"/>
        <w:ind w:firstLine="480" w:firstLineChars="200"/>
        <w:jc w:val="left"/>
      </w:pPr>
      <w:r>
        <w:rPr>
          <w:rFonts w:hint="eastAsia"/>
        </w:rPr>
        <w:t>按出厂顺序分区存放；按产品种类、规格型号、检验状态分类存放；</w:t>
      </w:r>
    </w:p>
    <w:p w14:paraId="4C38E749">
      <w:pPr>
        <w:pStyle w:val="95"/>
        <w:ind w:firstLine="480" w:firstLineChars="200"/>
        <w:jc w:val="left"/>
        <w:rPr>
          <w:lang w:bidi="en-US"/>
        </w:rPr>
      </w:pPr>
      <w:r>
        <w:rPr>
          <w:rFonts w:hint="eastAsia"/>
          <w:lang w:bidi="en-US"/>
        </w:rPr>
        <w:t>存放库区宜实行分区和信息化台账管理；</w:t>
      </w:r>
    </w:p>
    <w:p w14:paraId="3E0DBB21">
      <w:pPr>
        <w:pStyle w:val="95"/>
        <w:ind w:firstLine="480" w:firstLineChars="200"/>
        <w:jc w:val="left"/>
        <w:rPr>
          <w:lang w:bidi="en-US"/>
        </w:rPr>
      </w:pPr>
      <w:r>
        <w:rPr>
          <w:rFonts w:hint="eastAsia"/>
          <w:lang w:bidi="en-US"/>
        </w:rPr>
        <w:t>构件存放时，预埋吊件应朝上，标识宜朝向堆垛间的通道；</w:t>
      </w:r>
    </w:p>
    <w:p w14:paraId="2FD0B223">
      <w:pPr>
        <w:pStyle w:val="95"/>
        <w:ind w:firstLine="480" w:firstLineChars="200"/>
        <w:jc w:val="left"/>
        <w:rPr>
          <w:lang w:bidi="en-US"/>
        </w:rPr>
      </w:pPr>
      <w:r>
        <w:rPr>
          <w:rFonts w:hint="eastAsia"/>
          <w:lang w:bidi="en-US"/>
        </w:rPr>
        <w:t>应合理设置支垫位置，支垫件在构件下的位置宜与构件脱模、吊装时的起吊位置一致；</w:t>
      </w:r>
    </w:p>
    <w:p w14:paraId="744EB7B0">
      <w:pPr>
        <w:pStyle w:val="95"/>
        <w:ind w:firstLine="480" w:firstLineChars="200"/>
        <w:jc w:val="left"/>
        <w:rPr>
          <w:lang w:bidi="en-US"/>
        </w:rPr>
      </w:pPr>
      <w:r>
        <w:rPr>
          <w:rFonts w:hint="eastAsia"/>
          <w:lang w:bidi="en-US"/>
        </w:rPr>
        <w:t>构件叠放时，层与层之间应垫平、垫实，各层支垫应上下对齐，最下面一层支垫应通长设置；叠合板叠放层数不应大于6层且不宜超过1.5m；楼梯叠放层数不应超过4层；</w:t>
      </w:r>
    </w:p>
    <w:p w14:paraId="0AE9C603">
      <w:pPr>
        <w:pStyle w:val="95"/>
        <w:ind w:firstLine="480" w:firstLineChars="200"/>
        <w:jc w:val="left"/>
        <w:rPr>
          <w:lang w:bidi="en-US"/>
        </w:rPr>
      </w:pPr>
      <w:r>
        <w:rPr>
          <w:rFonts w:hint="eastAsia"/>
          <w:lang w:bidi="en-US"/>
        </w:rPr>
        <w:t>预制柱、梁等宜采用平放且用不少于两道垫木支撑；</w:t>
      </w:r>
    </w:p>
    <w:p w14:paraId="455E2A4B">
      <w:pPr>
        <w:pStyle w:val="95"/>
        <w:ind w:firstLine="480" w:firstLineChars="200"/>
        <w:jc w:val="left"/>
      </w:pPr>
      <w:r>
        <w:rPr>
          <w:rFonts w:hint="eastAsia"/>
        </w:rPr>
        <w:t>预应力构件存放时，应根据构件起拱值大小和存放时间采取相应措施。</w:t>
      </w:r>
    </w:p>
    <w:p w14:paraId="48896AD8">
      <w:pPr>
        <w:pStyle w:val="90"/>
        <w:spacing w:before="156"/>
        <w:rPr>
          <w:rFonts w:hint="eastAsia" w:ascii="宋体" w:hAnsi="宋体"/>
          <w:szCs w:val="21"/>
          <w:lang w:bidi="en-US"/>
        </w:rPr>
      </w:pPr>
      <w:r>
        <w:rPr>
          <w:rFonts w:hint="eastAsia" w:ascii="宋体" w:hAnsi="宋体" w:cs="Arial"/>
          <w:szCs w:val="21"/>
          <w:lang w:bidi="en-US"/>
        </w:rPr>
        <w:t>预制构件装卸</w:t>
      </w:r>
      <w:r>
        <w:rPr>
          <w:rFonts w:hint="eastAsia"/>
          <w:lang w:bidi="en-US"/>
        </w:rPr>
        <w:t>及运输</w:t>
      </w:r>
      <w:r>
        <w:rPr>
          <w:rFonts w:hint="eastAsia" w:ascii="宋体" w:hAnsi="宋体" w:cs="Arial"/>
          <w:szCs w:val="21"/>
          <w:lang w:bidi="en-US"/>
        </w:rPr>
        <w:t>应符合下列规定</w:t>
      </w:r>
      <w:r>
        <w:rPr>
          <w:rFonts w:hint="eastAsia" w:ascii="宋体" w:hAnsi="宋体"/>
          <w:szCs w:val="21"/>
          <w:lang w:bidi="en-US"/>
        </w:rPr>
        <w:t>：</w:t>
      </w:r>
    </w:p>
    <w:p w14:paraId="5AD4B403">
      <w:pPr>
        <w:pStyle w:val="95"/>
        <w:ind w:firstLine="480" w:firstLineChars="200"/>
        <w:jc w:val="left"/>
        <w:rPr>
          <w:rFonts w:hint="eastAsia" w:ascii="宋体" w:hAnsi="宋体" w:cs="Arial"/>
          <w:b/>
          <w:kern w:val="0"/>
          <w:lang w:bidi="en-US"/>
        </w:rPr>
      </w:pPr>
      <w:r>
        <w:rPr>
          <w:rFonts w:hint="eastAsia" w:ascii="宋体" w:hAnsi="宋体"/>
          <w:kern w:val="0"/>
          <w:lang w:bidi="en-US"/>
        </w:rPr>
        <w:t>装卸吊运应采用慢起、稳升、缓放的操作方式，吊运过程应保持稳定，不得偏斜、摇摆和扭转，吊装构件不得长时间悬停在空中；</w:t>
      </w:r>
    </w:p>
    <w:p w14:paraId="2D0AC53C">
      <w:pPr>
        <w:pStyle w:val="95"/>
        <w:ind w:firstLine="480" w:firstLineChars="200"/>
        <w:jc w:val="left"/>
        <w:rPr>
          <w:rFonts w:hint="eastAsia" w:ascii="宋体" w:hAnsi="宋体"/>
          <w:kern w:val="0"/>
          <w:lang w:bidi="en-US"/>
        </w:rPr>
      </w:pPr>
      <w:r>
        <w:rPr>
          <w:rFonts w:hint="eastAsia" w:ascii="宋体" w:hAnsi="宋体"/>
          <w:kern w:val="0"/>
          <w:lang w:bidi="en-US"/>
        </w:rPr>
        <w:t>预制构件装卸时，应设专人指挥，操作人员应位于安全位置，保持通讯畅通；</w:t>
      </w:r>
    </w:p>
    <w:p w14:paraId="113D6917">
      <w:pPr>
        <w:pStyle w:val="95"/>
        <w:ind w:firstLine="480" w:firstLineChars="200"/>
        <w:jc w:val="left"/>
      </w:pPr>
      <w:r>
        <w:rPr>
          <w:rFonts w:hint="eastAsia" w:ascii="宋体" w:hAnsi="宋体" w:cs="宋体"/>
        </w:rPr>
        <w:t>构件卸车摘挂吊钩时，均应设置专用登高工具，不得沿构件攀爬</w:t>
      </w:r>
      <w:r>
        <w:rPr>
          <w:rFonts w:hint="eastAsia"/>
        </w:rPr>
        <w:t>；</w:t>
      </w:r>
    </w:p>
    <w:p w14:paraId="7BF5461B">
      <w:pPr>
        <w:pStyle w:val="95"/>
        <w:spacing w:before="156"/>
        <w:ind w:firstLine="480"/>
        <w:jc w:val="left"/>
      </w:pPr>
      <w:r>
        <w:rPr>
          <w:rFonts w:hint="eastAsia"/>
          <w:lang w:bidi="en-US"/>
        </w:rPr>
        <w:t>预制构件运输时应固定牢靠，运输过程中应采取防碰撞、防变形、防倾覆措施；绑扎点应设置软质垫衬。</w:t>
      </w:r>
    </w:p>
    <w:p w14:paraId="0B8F8734">
      <w:pPr>
        <w:pStyle w:val="90"/>
        <w:spacing w:before="156"/>
        <w:jc w:val="left"/>
      </w:pPr>
      <w:r>
        <w:br w:type="page"/>
      </w:r>
    </w:p>
    <w:p w14:paraId="1C428014">
      <w:pPr>
        <w:pStyle w:val="79"/>
        <w:rPr>
          <w:rFonts w:hint="eastAsia"/>
        </w:rPr>
      </w:pPr>
      <w:bookmarkStart w:id="65" w:name="_Toc220148351"/>
      <w:bookmarkStart w:id="66" w:name="_Toc227574849"/>
      <w:r>
        <w:rPr>
          <w:rFonts w:hint="eastAsia"/>
        </w:rPr>
        <w:t>施工</w:t>
      </w:r>
      <w:bookmarkEnd w:id="65"/>
      <w:bookmarkEnd w:id="66"/>
    </w:p>
    <w:p w14:paraId="3E383CDB">
      <w:pPr>
        <w:pStyle w:val="85"/>
        <w:spacing w:line="312" w:lineRule="auto"/>
        <w:rPr>
          <w:rFonts w:hint="eastAsia"/>
          <w:color w:val="auto"/>
        </w:rPr>
      </w:pPr>
      <w:bookmarkStart w:id="67" w:name="_Toc220148352"/>
      <w:bookmarkStart w:id="68" w:name="_Toc227574850"/>
      <w:r>
        <w:rPr>
          <w:rFonts w:hint="eastAsia"/>
          <w:color w:val="auto"/>
        </w:rPr>
        <w:t>一般规定</w:t>
      </w:r>
      <w:bookmarkEnd w:id="67"/>
      <w:bookmarkEnd w:id="68"/>
    </w:p>
    <w:p w14:paraId="0E83833D">
      <w:pPr>
        <w:pStyle w:val="90"/>
        <w:spacing w:before="156"/>
        <w:rPr>
          <w:szCs w:val="21"/>
        </w:rPr>
      </w:pPr>
      <w:r>
        <w:rPr>
          <w:rFonts w:ascii="宋体" w:hAnsi="宋体" w:cs="宋体"/>
        </w:rPr>
        <w:t>施工过程中使用的临时支撑</w:t>
      </w:r>
      <w:r>
        <w:rPr>
          <w:rFonts w:hint="eastAsia" w:ascii="宋体" w:hAnsi="宋体" w:cs="宋体"/>
        </w:rPr>
        <w:t>、吊具、起重设备</w:t>
      </w:r>
      <w:r>
        <w:rPr>
          <w:rFonts w:ascii="宋体" w:hAnsi="宋体" w:cs="宋体"/>
        </w:rPr>
        <w:t>宜选用标准化产品，其选用及操作均应符合现行相关标准及产品说明书的规定</w:t>
      </w:r>
      <w:r>
        <w:rPr>
          <w:rFonts w:hint="eastAsia"/>
        </w:rPr>
        <w:t>，且进场验收合格后方可使用。</w:t>
      </w:r>
    </w:p>
    <w:p w14:paraId="664E814B">
      <w:pPr>
        <w:pStyle w:val="90"/>
        <w:spacing w:before="156"/>
      </w:pPr>
      <w:r>
        <w:t>施工现场应根据施工平面规划设置运输通道和存放场地，并应符合下列规定：</w:t>
      </w:r>
    </w:p>
    <w:p w14:paraId="6CC2F4AF">
      <w:pPr>
        <w:pStyle w:val="95"/>
      </w:pPr>
      <w:r>
        <w:t>现场运输道路和存放场地应坚实平整，并应有排水措施；</w:t>
      </w:r>
    </w:p>
    <w:p w14:paraId="0E31C0A2">
      <w:pPr>
        <w:pStyle w:val="95"/>
      </w:pPr>
      <w:r>
        <w:t>施工现场内道路应按照构件运输车辆的要求合理设置转弯半径及道路坡度；</w:t>
      </w:r>
    </w:p>
    <w:p w14:paraId="25B7BF6D">
      <w:pPr>
        <w:pStyle w:val="95"/>
      </w:pPr>
      <w:r>
        <w:t>预制构件运送到施工现场后，应按规格、品种、使用部位、吊装顺序分别设置存放场地。存放场地应设置在吊装设备的有效起重范围内，且应在堆垛之间设置通道；</w:t>
      </w:r>
    </w:p>
    <w:p w14:paraId="15377165">
      <w:pPr>
        <w:pStyle w:val="95"/>
      </w:pPr>
      <w:r>
        <w:t>构件的存放架应具有足够的抗倾覆性能；</w:t>
      </w:r>
    </w:p>
    <w:p w14:paraId="0B05FD65">
      <w:pPr>
        <w:pStyle w:val="95"/>
      </w:pPr>
      <w:r>
        <w:t>构件运输和存放对已完成结构、基坑有影响时，应经计算复核。</w:t>
      </w:r>
    </w:p>
    <w:p w14:paraId="7FD6CD06">
      <w:pPr>
        <w:pStyle w:val="90"/>
        <w:spacing w:before="156"/>
      </w:pPr>
      <w:r>
        <w:rPr>
          <w:rFonts w:ascii="宋体" w:hAnsi="宋体" w:cs="宋体"/>
        </w:rPr>
        <w:t>结构拼缝、梁柱连接部位及柱板连接部位应按设计要求进行密封处理，密封材料的品种、规格应符合设计要求和现行有关标准的规定。</w:t>
      </w:r>
    </w:p>
    <w:p w14:paraId="6E846E5D">
      <w:pPr>
        <w:pStyle w:val="90"/>
        <w:spacing w:before="156"/>
      </w:pPr>
      <w:r>
        <w:rPr>
          <w:rFonts w:hint="eastAsia"/>
        </w:rPr>
        <w:t>预制梁、板安装时，其接缝位置应采取防止混凝土漏浆的措施。</w:t>
      </w:r>
    </w:p>
    <w:p w14:paraId="698AEA7B">
      <w:pPr>
        <w:pStyle w:val="85"/>
        <w:rPr>
          <w:rFonts w:hint="eastAsia"/>
          <w:color w:val="auto"/>
        </w:rPr>
      </w:pPr>
      <w:bookmarkStart w:id="69" w:name="_Toc225342174"/>
      <w:bookmarkEnd w:id="69"/>
      <w:bookmarkStart w:id="70" w:name="_Toc225342172"/>
      <w:bookmarkEnd w:id="70"/>
      <w:bookmarkStart w:id="71" w:name="_Toc225342173"/>
      <w:bookmarkEnd w:id="71"/>
      <w:bookmarkStart w:id="72" w:name="_Toc225342168"/>
      <w:bookmarkEnd w:id="72"/>
      <w:bookmarkStart w:id="73" w:name="_Toc225342170"/>
      <w:bookmarkEnd w:id="73"/>
      <w:bookmarkStart w:id="74" w:name="_Toc225342171"/>
      <w:bookmarkEnd w:id="74"/>
      <w:bookmarkStart w:id="75" w:name="_Toc225342167"/>
      <w:bookmarkEnd w:id="75"/>
      <w:bookmarkStart w:id="76" w:name="_Toc225342169"/>
      <w:bookmarkEnd w:id="76"/>
      <w:bookmarkStart w:id="77" w:name="_Toc220148354"/>
      <w:bookmarkStart w:id="78" w:name="_Toc227574851"/>
      <w:r>
        <w:rPr>
          <w:rFonts w:hint="eastAsia"/>
          <w:color w:val="auto"/>
        </w:rPr>
        <w:t>构件安装</w:t>
      </w:r>
      <w:bookmarkEnd w:id="77"/>
      <w:bookmarkEnd w:id="78"/>
    </w:p>
    <w:p w14:paraId="115264E7">
      <w:pPr>
        <w:pStyle w:val="90"/>
        <w:spacing w:before="156"/>
      </w:pPr>
      <w:r>
        <w:rPr>
          <w:rFonts w:hint="eastAsia"/>
        </w:rPr>
        <w:t>安装施工前，应进行测量放线、设置构件安装定位标识。</w:t>
      </w:r>
    </w:p>
    <w:p w14:paraId="20F59AD5">
      <w:pPr>
        <w:pStyle w:val="90"/>
        <w:spacing w:before="156"/>
      </w:pPr>
      <w:r>
        <w:t>超重</w:t>
      </w:r>
      <w:r>
        <w:rPr>
          <w:rStyle w:val="36"/>
          <w:rFonts w:hint="eastAsia"/>
          <w:sz w:val="24"/>
          <w:szCs w:val="24"/>
        </w:rPr>
        <w:t>预制</w:t>
      </w:r>
      <w:r>
        <w:t>构件</w:t>
      </w:r>
      <w:r>
        <w:rPr>
          <w:rFonts w:hint="eastAsia"/>
        </w:rPr>
        <w:t>应使用分配梁或分配桁架类吊具，并应采取避免构件变形和损伤的临时加固措施。</w:t>
      </w:r>
    </w:p>
    <w:p w14:paraId="0941979A">
      <w:pPr>
        <w:pStyle w:val="90"/>
        <w:spacing w:before="156"/>
      </w:pPr>
      <w:r>
        <w:rPr>
          <w:rFonts w:hint="eastAsia"/>
        </w:rPr>
        <w:t>预制构件吊装应符合下列规定：</w:t>
      </w:r>
    </w:p>
    <w:p w14:paraId="3461A798">
      <w:pPr>
        <w:pStyle w:val="95"/>
      </w:pPr>
      <w:r>
        <w:rPr>
          <w:rFonts w:hint="eastAsia"/>
        </w:rPr>
        <w:t>应根据当天的作业内容进行班前技术安全交底；</w:t>
      </w:r>
    </w:p>
    <w:p w14:paraId="216731FC">
      <w:pPr>
        <w:pStyle w:val="95"/>
      </w:pPr>
      <w:r>
        <w:rPr>
          <w:rFonts w:hint="eastAsia"/>
        </w:rPr>
        <w:t>预制构件应按照吊装顺序预先编号，吊装时严格按编号顺序起吊；</w:t>
      </w:r>
    </w:p>
    <w:p w14:paraId="0EF55A21">
      <w:pPr>
        <w:pStyle w:val="95"/>
      </w:pPr>
      <w:r>
        <w:rPr>
          <w:rFonts w:hint="eastAsia"/>
        </w:rPr>
        <w:t>预制构件的吊装应符合现行北京市地方标准</w:t>
      </w:r>
      <w:r>
        <w:rPr>
          <w:bCs/>
        </w:rPr>
        <w:t>《装配式混凝土结构工程施工与质量验收规程》</w:t>
      </w:r>
      <w:r>
        <w:rPr>
          <w:rFonts w:hint="eastAsia"/>
        </w:rPr>
        <w:t>DB11/T 1030的规定。</w:t>
      </w:r>
    </w:p>
    <w:p w14:paraId="758F65B3">
      <w:pPr>
        <w:pStyle w:val="90"/>
        <w:spacing w:before="156"/>
      </w:pPr>
      <w:r>
        <w:rPr>
          <w:rFonts w:hint="eastAsia"/>
        </w:rPr>
        <w:t>预制构件吊装就位后，应及时校准并采取临时固定措施。预制构件就位校核与调整应符合下列规定：</w:t>
      </w:r>
    </w:p>
    <w:p w14:paraId="193D6955">
      <w:pPr>
        <w:pStyle w:val="95"/>
        <w:ind w:firstLine="480" w:firstLineChars="200"/>
      </w:pPr>
      <w:r>
        <w:rPr>
          <w:rFonts w:hint="eastAsia"/>
        </w:rPr>
        <w:t>预制柱等竖向构件安装后，应对安装位置、安装标高、垂直度进行校核与调整；</w:t>
      </w:r>
    </w:p>
    <w:p w14:paraId="63FEAB88">
      <w:pPr>
        <w:pStyle w:val="95"/>
        <w:ind w:firstLine="480" w:firstLineChars="200"/>
      </w:pPr>
      <w:r>
        <w:rPr>
          <w:rFonts w:hint="eastAsia"/>
        </w:rPr>
        <w:t>水平预制构件安装后应对安装位置、安装标高、相邻预制构件平整度、高低差、拼缝尺寸进行校核与调整；</w:t>
      </w:r>
    </w:p>
    <w:p w14:paraId="3C076F73">
      <w:pPr>
        <w:pStyle w:val="95"/>
        <w:ind w:firstLine="480" w:firstLineChars="200"/>
      </w:pPr>
      <w:r>
        <w:rPr>
          <w:rFonts w:hint="eastAsia"/>
        </w:rPr>
        <w:t>外围护构件安装后，应对装饰面的完整性进行校核与调整；</w:t>
      </w:r>
    </w:p>
    <w:p w14:paraId="044B6FF7">
      <w:pPr>
        <w:pStyle w:val="95"/>
        <w:ind w:firstLine="480" w:firstLineChars="200"/>
      </w:pPr>
      <w:r>
        <w:rPr>
          <w:rFonts w:hint="eastAsia"/>
        </w:rPr>
        <w:t>临时固定措施、临时支撑系统应具有足够的强度、刚度和整体稳固性，应按现行国家标准《混凝土结构工程施工规范》GB 50666的规定进行验算。</w:t>
      </w:r>
    </w:p>
    <w:p w14:paraId="5D12FA65">
      <w:pPr>
        <w:pStyle w:val="90"/>
        <w:spacing w:before="156"/>
      </w:pPr>
      <w:r>
        <w:rPr>
          <w:rFonts w:hint="eastAsia"/>
        </w:rPr>
        <w:t>预制构件与吊具的分离应在校准定位及临时支撑安装完成后进行。</w:t>
      </w:r>
    </w:p>
    <w:p w14:paraId="3C1CE037">
      <w:pPr>
        <w:pStyle w:val="90"/>
        <w:spacing w:before="156"/>
      </w:pPr>
      <w:r>
        <w:rPr>
          <w:rFonts w:hint="eastAsia"/>
        </w:rPr>
        <w:t xml:space="preserve">竖向预制构件安装采用临时支撑时，应符合下列规定： </w:t>
      </w:r>
    </w:p>
    <w:p w14:paraId="3AD26A8F">
      <w:pPr>
        <w:pStyle w:val="95"/>
      </w:pPr>
      <w:r>
        <w:rPr>
          <w:rFonts w:hint="eastAsia"/>
        </w:rPr>
        <w:t>预制构件的临时支撑不宜少于2道，超高的临时支撑需进行专项设计；</w:t>
      </w:r>
    </w:p>
    <w:p w14:paraId="354EBBDA">
      <w:pPr>
        <w:pStyle w:val="95"/>
        <w:ind w:firstLine="480" w:firstLineChars="200"/>
      </w:pPr>
      <w:r>
        <w:rPr>
          <w:rFonts w:hint="eastAsia"/>
        </w:rPr>
        <w:t>对预制柱、墙板构件的上部斜支撑，其支撑点距离板底的距离不宜小于构件高度的2/3，且不应小于构件高度的1/2；斜支撑应与构件可靠连接；</w:t>
      </w:r>
    </w:p>
    <w:p w14:paraId="2889741C">
      <w:pPr>
        <w:pStyle w:val="95"/>
        <w:ind w:firstLine="480" w:firstLineChars="200"/>
      </w:pPr>
      <w:r>
        <w:rPr>
          <w:rFonts w:hint="eastAsia"/>
        </w:rPr>
        <w:t>构件安装就位后，可通过临时支撑对构件的位置和垂直度进行微调；</w:t>
      </w:r>
    </w:p>
    <w:p w14:paraId="3C382ED0">
      <w:pPr>
        <w:pStyle w:val="95"/>
        <w:ind w:firstLine="480" w:firstLineChars="200"/>
      </w:pPr>
      <w:r>
        <w:rPr>
          <w:rFonts w:hint="eastAsia"/>
        </w:rPr>
        <w:t>当使用两根吊绳起吊时，构件的重心应在两根吊绳之间，采用三点起吊过程中，当在底部吊点之间使用滑轮时，两组底部吊点应位于构件重心下方；</w:t>
      </w:r>
    </w:p>
    <w:p w14:paraId="5268B6D5">
      <w:pPr>
        <w:pStyle w:val="95"/>
      </w:pPr>
      <w:r>
        <w:rPr>
          <w:rFonts w:hint="eastAsia"/>
        </w:rPr>
        <w:t>临时支撑应在现浇连接处混凝土或灌浆连接处灌浆料达到设计要求时方可拆除。</w:t>
      </w:r>
    </w:p>
    <w:p w14:paraId="163AD7FB">
      <w:pPr>
        <w:pStyle w:val="90"/>
        <w:spacing w:before="156"/>
      </w:pPr>
      <w:r>
        <w:t>水平预制构件安装采用临时支撑时，应符合下列规定：</w:t>
      </w:r>
      <w:r>
        <w:rPr>
          <w:rFonts w:hint="eastAsia"/>
        </w:rPr>
        <w:t xml:space="preserve"> </w:t>
      </w:r>
    </w:p>
    <w:p w14:paraId="6A7C806A">
      <w:pPr>
        <w:pStyle w:val="95"/>
        <w:ind w:firstLine="480" w:firstLineChars="200"/>
      </w:pPr>
      <w:r>
        <w:rPr>
          <w:rFonts w:hint="eastAsia"/>
        </w:rPr>
        <w:t>首层支撑架体的地基应平整坚实，宜采取硬化措施；</w:t>
      </w:r>
    </w:p>
    <w:p w14:paraId="4557403E">
      <w:pPr>
        <w:pStyle w:val="95"/>
        <w:ind w:firstLine="480" w:firstLineChars="200"/>
      </w:pPr>
      <w:r>
        <w:rPr>
          <w:rFonts w:hint="eastAsia"/>
        </w:rPr>
        <w:t>临时支撑的间距及其与墙、柱、梁边的净距应经设计计算确定，竖向连续支撑层数不宜少于2层且上下层支撑宜对准；</w:t>
      </w:r>
    </w:p>
    <w:p w14:paraId="3F486D47">
      <w:pPr>
        <w:pStyle w:val="95"/>
        <w:ind w:firstLine="480" w:firstLineChars="200"/>
      </w:pPr>
      <w:r>
        <w:rPr>
          <w:rFonts w:hint="eastAsia"/>
        </w:rPr>
        <w:t>临时支撑应在后浇混凝土强度达到设计要求后方可拆除。</w:t>
      </w:r>
    </w:p>
    <w:p w14:paraId="58952611">
      <w:pPr>
        <w:pStyle w:val="90"/>
        <w:spacing w:before="156"/>
      </w:pPr>
      <w:r>
        <w:rPr>
          <w:rFonts w:hint="eastAsia"/>
        </w:rPr>
        <w:t>预制柱安装应符合下列规定：</w:t>
      </w:r>
    </w:p>
    <w:p w14:paraId="6CE23BE1">
      <w:pPr>
        <w:pStyle w:val="95"/>
        <w:ind w:firstLine="480" w:firstLineChars="200"/>
      </w:pPr>
      <w:r>
        <w:rPr>
          <w:rFonts w:hint="eastAsia"/>
        </w:rPr>
        <w:t>宜按照角柱、边柱、中柱顺序进行安装，与现浇部分连接的柱宜先行吊装；</w:t>
      </w:r>
    </w:p>
    <w:p w14:paraId="3E20218C">
      <w:pPr>
        <w:pStyle w:val="95"/>
        <w:ind w:firstLine="480" w:firstLineChars="200"/>
      </w:pPr>
      <w:r>
        <w:rPr>
          <w:rFonts w:hint="eastAsia"/>
        </w:rPr>
        <w:t>预制柱的就位以轴线和外轮廓线为控制线，对于边柱和角柱，应以外轮廓线控制为准；</w:t>
      </w:r>
    </w:p>
    <w:p w14:paraId="71B3C69B">
      <w:pPr>
        <w:pStyle w:val="95"/>
        <w:ind w:firstLine="480" w:firstLineChars="200"/>
      </w:pPr>
      <w:r>
        <w:rPr>
          <w:rFonts w:hint="eastAsia"/>
        </w:rPr>
        <w:t>就位前应设置柱底调平装置，控制柱安装标高；</w:t>
      </w:r>
    </w:p>
    <w:p w14:paraId="18D724D8">
      <w:pPr>
        <w:pStyle w:val="95"/>
        <w:ind w:firstLine="480" w:firstLineChars="200"/>
      </w:pPr>
      <w:r>
        <w:rPr>
          <w:rFonts w:hint="eastAsia"/>
        </w:rPr>
        <w:t>预制柱安装就位后应在两个方向设置可调节临时固定措施，并应进行垂直度、扭转调整；</w:t>
      </w:r>
    </w:p>
    <w:p w14:paraId="10AD21C0">
      <w:pPr>
        <w:pStyle w:val="95"/>
        <w:ind w:firstLine="480" w:firstLineChars="200"/>
      </w:pPr>
      <w:r>
        <w:rPr>
          <w:rFonts w:hint="eastAsia"/>
        </w:rPr>
        <w:t>采用灌浆套筒连接的预制柱调整就位后，柱脚连接部位宜采用模板封堵。</w:t>
      </w:r>
    </w:p>
    <w:p w14:paraId="5CF48DD4">
      <w:pPr>
        <w:pStyle w:val="90"/>
        <w:spacing w:before="156"/>
      </w:pPr>
      <w:r>
        <w:rPr>
          <w:rFonts w:hint="eastAsia"/>
        </w:rPr>
        <w:t>免支撑梁、板施工应符合下列规定：</w:t>
      </w:r>
    </w:p>
    <w:p w14:paraId="2CF1D802">
      <w:pPr>
        <w:pStyle w:val="95"/>
      </w:pPr>
      <w:r>
        <w:rPr>
          <w:rFonts w:hint="eastAsia"/>
        </w:rPr>
        <w:t>预制构件混凝土强度应符合设计要求；</w:t>
      </w:r>
    </w:p>
    <w:p w14:paraId="54F87DF9">
      <w:pPr>
        <w:pStyle w:val="95"/>
      </w:pPr>
      <w:r>
        <w:rPr>
          <w:rFonts w:hint="eastAsia"/>
        </w:rPr>
        <w:t>当采用钢牛腿时，承载力应满足施工需求；</w:t>
      </w:r>
    </w:p>
    <w:p w14:paraId="5C058A9A">
      <w:pPr>
        <w:pStyle w:val="95"/>
      </w:pPr>
      <w:r>
        <w:rPr>
          <w:rFonts w:hint="eastAsia"/>
        </w:rPr>
        <w:t>预制构件搁置长度应符合设计要求；</w:t>
      </w:r>
    </w:p>
    <w:p w14:paraId="5BA32B48">
      <w:pPr>
        <w:pStyle w:val="95"/>
      </w:pPr>
      <w:r>
        <w:rPr>
          <w:rFonts w:hint="eastAsia"/>
        </w:rPr>
        <w:t>预制构件安装过程中施工荷载不应大于设计要求。</w:t>
      </w:r>
    </w:p>
    <w:p w14:paraId="1DC0543B">
      <w:pPr>
        <w:pStyle w:val="90"/>
        <w:spacing w:before="156"/>
      </w:pPr>
      <w:r>
        <w:rPr>
          <w:rFonts w:hint="eastAsia"/>
        </w:rPr>
        <w:t>外围护的施工应符合下列规定：</w:t>
      </w:r>
    </w:p>
    <w:p w14:paraId="766C2490">
      <w:pPr>
        <w:pStyle w:val="95"/>
        <w:rPr>
          <w:bCs/>
          <w:snapToGrid w:val="0"/>
          <w:kern w:val="0"/>
          <w:szCs w:val="24"/>
        </w:rPr>
      </w:pPr>
      <w:r>
        <w:rPr>
          <w:rFonts w:hint="eastAsia" w:ascii="宋体" w:hAnsi="宋体"/>
        </w:rPr>
        <w:t>外围板材的安装应按深化设计的排板进行施工；</w:t>
      </w:r>
    </w:p>
    <w:p w14:paraId="2DC38CF1">
      <w:pPr>
        <w:pStyle w:val="95"/>
        <w:rPr>
          <w:rFonts w:hint="eastAsia" w:ascii="宋体" w:hAnsi="宋体"/>
        </w:rPr>
      </w:pPr>
      <w:r>
        <w:rPr>
          <w:rFonts w:hint="eastAsia" w:ascii="宋体" w:hAnsi="宋体"/>
        </w:rPr>
        <w:t>外围护板材之间应安装平整，接口平顺严密；</w:t>
      </w:r>
    </w:p>
    <w:p w14:paraId="4202D14B">
      <w:pPr>
        <w:pStyle w:val="95"/>
        <w:rPr>
          <w:rFonts w:hint="eastAsia" w:ascii="宋体" w:hAnsi="宋体"/>
        </w:rPr>
      </w:pPr>
      <w:r>
        <w:rPr>
          <w:rFonts w:hint="eastAsia" w:ascii="宋体" w:hAnsi="宋体"/>
        </w:rPr>
        <w:t>外围护门窗洞口、阴阳角、檐口、泛水及穿墙管线等应进行防水密封处理。</w:t>
      </w:r>
    </w:p>
    <w:p w14:paraId="0123F8A0">
      <w:pPr>
        <w:pStyle w:val="90"/>
        <w:spacing w:before="156"/>
      </w:pPr>
      <w:r>
        <w:rPr>
          <w:rFonts w:hint="eastAsia"/>
        </w:rPr>
        <w:t>轻质隔墙的安装应符合下列规定：</w:t>
      </w:r>
    </w:p>
    <w:p w14:paraId="5C05C573">
      <w:pPr>
        <w:pStyle w:val="95"/>
      </w:pPr>
      <w:r>
        <w:rPr>
          <w:rFonts w:hint="eastAsia"/>
        </w:rPr>
        <w:t>条板隔墙与结构之间应设置可靠拉结；顶端为自由端的条板隔墙，应设置型钢或混凝土压顶。轻质条板隔墙的安装应符合现行行业标准《建筑轻质条板隔墙技术规程》</w:t>
      </w:r>
      <w:r>
        <w:t>JGJ/T 157</w:t>
      </w:r>
      <w:r>
        <w:rPr>
          <w:rFonts w:hint="eastAsia"/>
        </w:rPr>
        <w:t>的规定；</w:t>
      </w:r>
    </w:p>
    <w:p w14:paraId="6474B6E0">
      <w:pPr>
        <w:pStyle w:val="95"/>
      </w:pPr>
      <w:r>
        <w:rPr>
          <w:rFonts w:hint="eastAsia"/>
        </w:rPr>
        <w:t>隔墙龙骨骨架应与主体结构连接牢固，并应垂直、平整、位置准确，龙骨间距应满足设计要求，面板拼缝应错缝设置，当采用双层面板安装时，上下层板的接缝应错开。骨架隔墙的安装应符合北京市现行地方标准《建筑轻质板隔墙施工技术规程》</w:t>
      </w:r>
      <w:r>
        <w:t xml:space="preserve">DB11/T </w:t>
      </w:r>
      <w:r>
        <w:rPr>
          <w:rFonts w:hint="eastAsia"/>
        </w:rPr>
        <w:t>4</w:t>
      </w:r>
      <w:r>
        <w:t>91</w:t>
      </w:r>
      <w:r>
        <w:rPr>
          <w:rFonts w:hint="eastAsia"/>
        </w:rPr>
        <w:t>的规定。</w:t>
      </w:r>
    </w:p>
    <w:p w14:paraId="6C989C78">
      <w:pPr>
        <w:pStyle w:val="85"/>
        <w:rPr>
          <w:rFonts w:hint="eastAsia"/>
          <w:color w:val="auto"/>
        </w:rPr>
      </w:pPr>
      <w:bookmarkStart w:id="79" w:name="_Toc227574852"/>
      <w:r>
        <w:rPr>
          <w:rFonts w:hint="eastAsia"/>
          <w:color w:val="auto"/>
        </w:rPr>
        <w:t>机电施工</w:t>
      </w:r>
      <w:bookmarkEnd w:id="79"/>
    </w:p>
    <w:p w14:paraId="35B7936B">
      <w:pPr>
        <w:pStyle w:val="90"/>
        <w:spacing w:before="156"/>
        <w:rPr>
          <w:szCs w:val="21"/>
        </w:rPr>
      </w:pPr>
      <w:r>
        <w:rPr>
          <w:rFonts w:hint="eastAsia"/>
          <w:szCs w:val="21"/>
        </w:rPr>
        <w:t>施工前宜采用BIM技术进行全过程模拟与深化设计，编制专项施工方案、吊装方案及应急预案；对构件进场验收、吊装、安装、连接、机电穿插等工序进行技术交底，明确质量控制点与安全风险点。</w:t>
      </w:r>
    </w:p>
    <w:p w14:paraId="5E9F3208">
      <w:pPr>
        <w:pStyle w:val="90"/>
        <w:spacing w:before="156"/>
      </w:pPr>
      <w:r>
        <w:rPr>
          <w:rFonts w:hint="eastAsia"/>
        </w:rPr>
        <w:t>机电管线、线盒、套管、支吊架预埋件在构件生产阶段精准预埋；预埋管端口密封、定位牢固，与结构钢筋避让；叠合板、墙板内管线与现浇层连接预留操作空间。</w:t>
      </w:r>
    </w:p>
    <w:p w14:paraId="1C4F45A9">
      <w:pPr>
        <w:pStyle w:val="90"/>
        <w:spacing w:before="156"/>
        <w:rPr>
          <w:szCs w:val="21"/>
        </w:rPr>
      </w:pPr>
      <w:r>
        <w:rPr>
          <w:rFonts w:hint="eastAsia"/>
        </w:rPr>
        <w:t>机电管线宜采用工厂预制管段、模块、装配式支吊架；支吊架与结构预埋件 应采用螺栓连接，不应焊接或损伤主筋；穿越楼板或墙体应设套管，缝隙做防火、防水、隔声封堵；抗震支吊架按规范设置并验收。</w:t>
      </w:r>
    </w:p>
    <w:p w14:paraId="28301553">
      <w:pPr>
        <w:pStyle w:val="90"/>
        <w:spacing w:before="156"/>
        <w:jc w:val="left"/>
      </w:pPr>
      <w:r>
        <w:rPr>
          <w:rFonts w:hint="eastAsia"/>
        </w:rPr>
        <w:t>机电水、电、风、工艺管道安装应与主体构件安装合理穿插、平行作业；已安装构件、管线、设备应采取成品保护；屋面、外墙、门窗等完成后应及时封闭。</w:t>
      </w:r>
    </w:p>
    <w:p w14:paraId="57AEDC14">
      <w:pPr>
        <w:pStyle w:val="90"/>
        <w:spacing w:before="156"/>
        <w:jc w:val="left"/>
      </w:pPr>
      <w:r>
        <w:rPr>
          <w:rFonts w:hint="eastAsia"/>
        </w:rPr>
        <w:t>洁净区域的</w:t>
      </w:r>
      <w:r>
        <w:t>预制构件、设备进场前，</w:t>
      </w:r>
      <w:r>
        <w:rPr>
          <w:rFonts w:hint="eastAsia"/>
        </w:rPr>
        <w:t>应</w:t>
      </w:r>
      <w:r>
        <w:t>核查洁净相关质量证明文件；</w:t>
      </w:r>
      <w:r>
        <w:rPr>
          <w:rFonts w:hint="eastAsia"/>
        </w:rPr>
        <w:t>预制构件、设备应做好清洁，</w:t>
      </w:r>
      <w:r>
        <w:t>表面</w:t>
      </w:r>
      <w:r>
        <w:rPr>
          <w:rFonts w:hint="eastAsia"/>
        </w:rPr>
        <w:t>应</w:t>
      </w:r>
      <w:r>
        <w:t>无积尘、无油污、无锈蚀，接口密封完好，不合格品</w:t>
      </w:r>
      <w:r>
        <w:rPr>
          <w:rFonts w:hint="eastAsia"/>
        </w:rPr>
        <w:t>不得</w:t>
      </w:r>
      <w:r>
        <w:t>进入洁净区装配。</w:t>
      </w:r>
    </w:p>
    <w:p w14:paraId="6A3DDDAE">
      <w:pPr>
        <w:pStyle w:val="90"/>
        <w:spacing w:before="156"/>
        <w:jc w:val="left"/>
      </w:pPr>
      <w:r>
        <w:rPr>
          <w:rFonts w:hint="eastAsia"/>
        </w:rPr>
        <w:t>洁净区域</w:t>
      </w:r>
      <w:r>
        <w:t>装配过程</w:t>
      </w:r>
      <w:r>
        <w:rPr>
          <w:rFonts w:hint="eastAsia"/>
        </w:rPr>
        <w:t>应</w:t>
      </w:r>
      <w:r>
        <w:t>遵循 “少尘、无尘作业”，机具、人员</w:t>
      </w:r>
      <w:r>
        <w:rPr>
          <w:rFonts w:hint="eastAsia"/>
        </w:rPr>
        <w:t>应</w:t>
      </w:r>
      <w:r>
        <w:t>符合洁净规范；装配完成后</w:t>
      </w:r>
      <w:r>
        <w:rPr>
          <w:rFonts w:hint="eastAsia"/>
        </w:rPr>
        <w:t>应</w:t>
      </w:r>
      <w:r>
        <w:t>立即进行清洁、密封。</w:t>
      </w:r>
    </w:p>
    <w:p w14:paraId="626E440F">
      <w:pPr>
        <w:pStyle w:val="90"/>
        <w:spacing w:before="156"/>
        <w:jc w:val="left"/>
      </w:pPr>
      <w:r>
        <w:t>机电系统安装后，</w:t>
      </w:r>
      <w:r>
        <w:rPr>
          <w:rFonts w:hint="eastAsia"/>
        </w:rPr>
        <w:t>应进行</w:t>
      </w:r>
      <w:r>
        <w:t>外观质量检查、洁净功能检验、压力/严密性试验、电气性能检验，符合洁净等级标准。</w:t>
      </w:r>
    </w:p>
    <w:p w14:paraId="3B35EA36">
      <w:pPr>
        <w:pStyle w:val="85"/>
        <w:rPr>
          <w:rFonts w:hint="eastAsia"/>
          <w:color w:val="auto"/>
        </w:rPr>
      </w:pPr>
      <w:bookmarkStart w:id="80" w:name="_Toc225342181"/>
      <w:bookmarkEnd w:id="80"/>
      <w:bookmarkStart w:id="81" w:name="_Toc225342182"/>
      <w:bookmarkEnd w:id="81"/>
      <w:bookmarkStart w:id="82" w:name="_Toc225342183"/>
      <w:bookmarkEnd w:id="82"/>
      <w:bookmarkStart w:id="83" w:name="_Toc225342176"/>
      <w:bookmarkEnd w:id="83"/>
      <w:bookmarkStart w:id="84" w:name="_Toc225342178"/>
      <w:bookmarkEnd w:id="84"/>
      <w:bookmarkStart w:id="85" w:name="_Toc225342177"/>
      <w:bookmarkEnd w:id="85"/>
      <w:bookmarkStart w:id="86" w:name="_Toc225342180"/>
      <w:bookmarkEnd w:id="86"/>
      <w:bookmarkStart w:id="87" w:name="_Toc225342179"/>
      <w:bookmarkEnd w:id="87"/>
      <w:bookmarkStart w:id="88" w:name="_Toc227574853"/>
      <w:bookmarkStart w:id="89" w:name="_Toc220148355"/>
      <w:r>
        <w:rPr>
          <w:rFonts w:hint="eastAsia"/>
          <w:color w:val="auto"/>
        </w:rPr>
        <w:t>连接施工</w:t>
      </w:r>
      <w:bookmarkEnd w:id="88"/>
      <w:bookmarkEnd w:id="89"/>
    </w:p>
    <w:p w14:paraId="1E66EFA3">
      <w:pPr>
        <w:pStyle w:val="90"/>
        <w:spacing w:before="156"/>
      </w:pPr>
      <w:r>
        <w:rPr>
          <w:rFonts w:hint="eastAsia"/>
        </w:rPr>
        <w:t>采用螺栓连接时，应按设计和相关规范的要求进行施工检查和质量控制，螺栓型号、规格、配件应符合设计要求，表面清洁，无锈蚀、裂纹、滑丝等缺陷，并应对外露铁件采取防腐措施；螺栓紧固方式和紧固力应符合设计要求。应符合现行国家标准《钢结构焊接规范》GB 50661、《钢结构工程施工规范》GB 50755的规定。</w:t>
      </w:r>
    </w:p>
    <w:p w14:paraId="6E0407C5">
      <w:pPr>
        <w:pStyle w:val="90"/>
        <w:spacing w:before="156"/>
      </w:pPr>
      <w:r>
        <w:rPr>
          <w:rFonts w:hint="eastAsia"/>
        </w:rPr>
        <w:t>钢筋机械连接施工应符合现行行业标准《钢筋机械连接技术规程》JGJ 107的规定。</w:t>
      </w:r>
    </w:p>
    <w:p w14:paraId="2BAAFC51">
      <w:pPr>
        <w:pStyle w:val="90"/>
        <w:spacing w:before="156"/>
      </w:pPr>
      <w:r>
        <w:rPr>
          <w:rFonts w:hint="eastAsia"/>
        </w:rPr>
        <w:t>采用钢筋套筒灌浆连接的施工，应符合下列规定：</w:t>
      </w:r>
    </w:p>
    <w:p w14:paraId="599E6AB1">
      <w:pPr>
        <w:pStyle w:val="95"/>
        <w:ind w:firstLine="480" w:firstLineChars="200"/>
      </w:pPr>
      <w:r>
        <w:rPr>
          <w:rFonts w:hint="eastAsia"/>
        </w:rPr>
        <w:t>现浇混凝土中伸出的钢筋应采用专用模具进行定位，并应采用可靠的固定措施控制连接钢筋的中心位置及外露长度满足设计要求；</w:t>
      </w:r>
    </w:p>
    <w:p w14:paraId="2D6FFC24">
      <w:pPr>
        <w:pStyle w:val="95"/>
        <w:ind w:firstLine="480" w:firstLineChars="200"/>
      </w:pPr>
      <w:r>
        <w:rPr>
          <w:rFonts w:hint="eastAsia"/>
        </w:rPr>
        <w:t>构件安装前应检查预制构件上套筒、预留孔的规格、位置、数量和深度；当套筒、预留孔内有杂物时，应清理干净；</w:t>
      </w:r>
    </w:p>
    <w:p w14:paraId="3C28C3E0">
      <w:pPr>
        <w:pStyle w:val="95"/>
        <w:spacing w:before="156"/>
      </w:pPr>
      <w:r>
        <w:rPr>
          <w:rFonts w:hint="eastAsia"/>
        </w:rPr>
        <w:t>应检查被连接钢筋的规格、数量、位置和长度。当连接钢筋倾斜时，应进行校直；连接钢筋中心位置存在严重偏差影响预制构件安装时，施工单位应会同设计单位制定专项处理方案，严禁随意切割、强行调整定位钢筋。</w:t>
      </w:r>
    </w:p>
    <w:p w14:paraId="02EF3734">
      <w:pPr>
        <w:pStyle w:val="90"/>
        <w:tabs>
          <w:tab w:val="right" w:pos="8504"/>
        </w:tabs>
        <w:spacing w:before="156"/>
      </w:pPr>
      <w:r>
        <w:rPr>
          <w:rFonts w:hint="eastAsia"/>
        </w:rPr>
        <w:t>预制柱底部灌浆</w:t>
      </w:r>
      <w:r>
        <w:t>封仓</w:t>
      </w:r>
      <w:r>
        <w:rPr>
          <w:rStyle w:val="131"/>
          <w:rFonts w:hint="default"/>
          <w:color w:val="auto"/>
          <w:szCs w:val="21"/>
        </w:rPr>
        <w:t>完成后</w:t>
      </w:r>
      <w:r>
        <w:rPr>
          <w:rStyle w:val="131"/>
          <w:rFonts w:hint="default" w:ascii="Times New Roman" w:hAnsi="Times New Roman"/>
          <w:color w:val="auto"/>
          <w:szCs w:val="21"/>
        </w:rPr>
        <w:t>应严禁碰撞、震动</w:t>
      </w:r>
      <w:r>
        <w:rPr>
          <w:rStyle w:val="131"/>
          <w:rFonts w:hint="default"/>
          <w:color w:val="auto"/>
          <w:szCs w:val="21"/>
        </w:rPr>
        <w:t>，</w:t>
      </w:r>
      <w:r>
        <w:rPr>
          <w:rStyle w:val="131"/>
          <w:rFonts w:hint="default" w:ascii="Times New Roman" w:hAnsi="Times New Roman"/>
          <w:color w:val="auto"/>
          <w:szCs w:val="21"/>
        </w:rPr>
        <w:t>若出现开裂应及时凿除缺陷部分，重新进行封仓施工</w:t>
      </w:r>
      <w:r>
        <w:rPr>
          <w:rStyle w:val="131"/>
          <w:rFonts w:hint="default"/>
          <w:color w:val="auto"/>
          <w:szCs w:val="21"/>
        </w:rPr>
        <w:t>。</w:t>
      </w:r>
    </w:p>
    <w:p w14:paraId="2E257CAA">
      <w:pPr>
        <w:pStyle w:val="90"/>
        <w:spacing w:before="156"/>
      </w:pPr>
      <w:r>
        <w:rPr>
          <w:rFonts w:hint="eastAsia"/>
        </w:rPr>
        <w:t>钢筋套筒灌浆连接接头的灌浆施工应符合下列规定：</w:t>
      </w:r>
    </w:p>
    <w:p w14:paraId="6F2C5721">
      <w:pPr>
        <w:pStyle w:val="95"/>
      </w:pPr>
      <w:r>
        <w:rPr>
          <w:rFonts w:hint="eastAsia"/>
        </w:rPr>
        <w:t>宜采用方便观察且有补浆功能的工具或其他方式进行灌浆饱满性监测；</w:t>
      </w:r>
    </w:p>
    <w:p w14:paraId="131787E0">
      <w:pPr>
        <w:pStyle w:val="95"/>
      </w:pPr>
      <w:r>
        <w:rPr>
          <w:rFonts w:hint="eastAsia"/>
        </w:rPr>
        <w:t>灌浆料应在加水拌合后0.5h内用完；灌浆施工宜采用集中灌浆孔；</w:t>
      </w:r>
    </w:p>
    <w:p w14:paraId="08C44BA9">
      <w:pPr>
        <w:pStyle w:val="95"/>
      </w:pPr>
      <w:r>
        <w:rPr>
          <w:rFonts w:hint="eastAsia"/>
        </w:rPr>
        <w:t>当环境温度高于 30℃时，应按高温施工要求采取相应措施。当连续 3 天的施工环境温度低于10℃时，宜采用低温型灌浆料；施工环境温度低于5℃时应采用低温灌浆料；施工及养护过程中24h内，灌浆部位所处的环境温度不应低于-5℃，且不应高于10℃；</w:t>
      </w:r>
    </w:p>
    <w:p w14:paraId="6D97371B">
      <w:pPr>
        <w:pStyle w:val="95"/>
      </w:pPr>
      <w:r>
        <w:rPr>
          <w:rFonts w:hint="eastAsia"/>
        </w:rPr>
        <w:t>应在灌浆料同条件养护试件抗压强度达到35N/mm</w:t>
      </w:r>
      <w:r>
        <w:rPr>
          <w:rFonts w:hint="eastAsia"/>
          <w:vertAlign w:val="superscript"/>
        </w:rPr>
        <w:t>2</w:t>
      </w:r>
      <w:r>
        <w:rPr>
          <w:rFonts w:hint="eastAsia"/>
        </w:rPr>
        <w:t>后，可进行后续施工；</w:t>
      </w:r>
    </w:p>
    <w:p w14:paraId="5D2A0729">
      <w:pPr>
        <w:pStyle w:val="95"/>
      </w:pPr>
      <w:r>
        <w:rPr>
          <w:rFonts w:hint="eastAsia"/>
        </w:rPr>
        <w:t>灌浆施工作业应符合现行行业标准《钢筋套筒灌浆连接应用技术规程》JGJ 355的规定。</w:t>
      </w:r>
    </w:p>
    <w:p w14:paraId="30618F94">
      <w:pPr>
        <w:pStyle w:val="90"/>
        <w:spacing w:before="156"/>
      </w:pPr>
      <w:r>
        <w:rPr>
          <w:rFonts w:hint="eastAsia"/>
        </w:rPr>
        <w:t>构件连接处后浇混凝土施工应符合下列规定：</w:t>
      </w:r>
    </w:p>
    <w:p w14:paraId="29CDF8E2">
      <w:pPr>
        <w:pStyle w:val="95"/>
      </w:pPr>
      <w:r>
        <w:rPr>
          <w:rFonts w:hint="eastAsia"/>
        </w:rPr>
        <w:t>后浇混凝土浇筑前应清除结合面上的杂物、浮浆及松散骨料，表面干燥时应润湿，并不得留有积水；</w:t>
      </w:r>
    </w:p>
    <w:p w14:paraId="5DD1C0F4">
      <w:pPr>
        <w:pStyle w:val="95"/>
      </w:pPr>
      <w:r>
        <w:rPr>
          <w:rFonts w:hint="eastAsia"/>
        </w:rPr>
        <w:t>装配式混凝土结构宜采用工具式支架和定型模板，模板与预制构件接缝处应采取粘贴密封条等防止漏浆的措施；</w:t>
      </w:r>
    </w:p>
    <w:p w14:paraId="52E43C16">
      <w:pPr>
        <w:pStyle w:val="95"/>
      </w:pPr>
      <w:r>
        <w:rPr>
          <w:rFonts w:hint="eastAsia"/>
        </w:rPr>
        <w:t>混凝土分层浇筑高度应符合国家现行有关标准的规定，应在底层混凝土初凝前将上一层混凝土浇筑完毕；</w:t>
      </w:r>
    </w:p>
    <w:p w14:paraId="18E203F7">
      <w:pPr>
        <w:pStyle w:val="95"/>
      </w:pPr>
      <w:r>
        <w:rPr>
          <w:rFonts w:hint="eastAsia"/>
        </w:rPr>
        <w:t>浇筑时应采取保证混凝土浇筑密实的措施，当采用自密实混凝土时，应符合现行行业标准《自密实混凝土应用技术规程》</w:t>
      </w:r>
      <w:r>
        <w:t>JGJ/T 283</w:t>
      </w:r>
      <w:r>
        <w:rPr>
          <w:rFonts w:hint="eastAsia"/>
        </w:rPr>
        <w:t>的规定；</w:t>
      </w:r>
    </w:p>
    <w:p w14:paraId="31BEEAC1">
      <w:pPr>
        <w:pStyle w:val="95"/>
      </w:pPr>
      <w:r>
        <w:rPr>
          <w:rFonts w:hint="eastAsia"/>
        </w:rPr>
        <w:t>预制梁、柱混凝土强度等级不同时，预制梁柱节点区混凝土强度等级应符合设计要求；</w:t>
      </w:r>
    </w:p>
    <w:p w14:paraId="0440C7A8">
      <w:pPr>
        <w:pStyle w:val="95"/>
      </w:pPr>
      <w:r>
        <w:rPr>
          <w:rFonts w:hint="eastAsia"/>
        </w:rPr>
        <w:t>构件接缝混凝土浇筑和振捣应采取措施防止模板、相连接构件、钢筋、预埋件及其定位件移位；</w:t>
      </w:r>
    </w:p>
    <w:p w14:paraId="44382DD4">
      <w:pPr>
        <w:pStyle w:val="95"/>
      </w:pPr>
      <w:r>
        <w:rPr>
          <w:rFonts w:hint="eastAsia"/>
        </w:rPr>
        <w:t>后浇混凝土浇筑完成后，应及时进行养护，并应根据现场条件、环境温湿度、构件特点和施工要求选择洒水、覆盖、喷涂养护剂等养护方式。养护时间和养护措施应符合现行国家标准《混凝土结构工程施工规范》GB 50666的规定。</w:t>
      </w:r>
    </w:p>
    <w:p w14:paraId="3A4307E4">
      <w:pPr>
        <w:pStyle w:val="85"/>
        <w:rPr>
          <w:rFonts w:hint="eastAsia"/>
          <w:color w:val="auto"/>
        </w:rPr>
      </w:pPr>
      <w:bookmarkStart w:id="90" w:name="_Toc225342207"/>
      <w:bookmarkEnd w:id="90"/>
      <w:bookmarkStart w:id="91" w:name="_Toc225342193"/>
      <w:bookmarkEnd w:id="91"/>
      <w:bookmarkStart w:id="92" w:name="_Toc225342203"/>
      <w:bookmarkEnd w:id="92"/>
      <w:bookmarkStart w:id="93" w:name="_Toc225342215"/>
      <w:bookmarkEnd w:id="93"/>
      <w:bookmarkStart w:id="94" w:name="_Toc225342194"/>
      <w:bookmarkEnd w:id="94"/>
      <w:bookmarkStart w:id="95" w:name="_Toc225342211"/>
      <w:bookmarkEnd w:id="95"/>
      <w:bookmarkStart w:id="96" w:name="_Toc225342238"/>
      <w:bookmarkEnd w:id="96"/>
      <w:bookmarkStart w:id="97" w:name="_Toc225342237"/>
      <w:bookmarkEnd w:id="97"/>
      <w:bookmarkStart w:id="98" w:name="_Toc225342227"/>
      <w:bookmarkEnd w:id="98"/>
      <w:bookmarkStart w:id="99" w:name="_Toc225342214"/>
      <w:bookmarkEnd w:id="99"/>
      <w:bookmarkStart w:id="100" w:name="_Toc225342205"/>
      <w:bookmarkEnd w:id="100"/>
      <w:bookmarkStart w:id="101" w:name="_Toc225342189"/>
      <w:bookmarkEnd w:id="101"/>
      <w:bookmarkStart w:id="102" w:name="_Toc225342188"/>
      <w:bookmarkEnd w:id="102"/>
      <w:bookmarkStart w:id="103" w:name="_Toc225342228"/>
      <w:bookmarkEnd w:id="103"/>
      <w:bookmarkStart w:id="104" w:name="_Toc225342239"/>
      <w:bookmarkEnd w:id="104"/>
      <w:bookmarkStart w:id="105" w:name="_Toc225342204"/>
      <w:bookmarkEnd w:id="105"/>
      <w:bookmarkStart w:id="106" w:name="_Toc225342235"/>
      <w:bookmarkEnd w:id="106"/>
      <w:bookmarkStart w:id="107" w:name="_Toc225342187"/>
      <w:bookmarkEnd w:id="107"/>
      <w:bookmarkStart w:id="108" w:name="_Toc225342200"/>
      <w:bookmarkEnd w:id="108"/>
      <w:bookmarkStart w:id="109" w:name="_Toc225342216"/>
      <w:bookmarkEnd w:id="109"/>
      <w:bookmarkStart w:id="110" w:name="_Toc225342191"/>
      <w:bookmarkEnd w:id="110"/>
      <w:bookmarkStart w:id="111" w:name="_Toc225342217"/>
      <w:bookmarkEnd w:id="111"/>
      <w:bookmarkStart w:id="112" w:name="_Toc225342199"/>
      <w:bookmarkEnd w:id="112"/>
      <w:bookmarkStart w:id="113" w:name="_Toc225342202"/>
      <w:bookmarkEnd w:id="113"/>
      <w:bookmarkStart w:id="114" w:name="_Toc225342201"/>
      <w:bookmarkEnd w:id="114"/>
      <w:bookmarkStart w:id="115" w:name="_Toc225342197"/>
      <w:bookmarkEnd w:id="115"/>
      <w:bookmarkStart w:id="116" w:name="_Toc225342196"/>
      <w:bookmarkEnd w:id="116"/>
      <w:bookmarkStart w:id="117" w:name="_Toc225342209"/>
      <w:bookmarkEnd w:id="117"/>
      <w:bookmarkStart w:id="118" w:name="_Toc225342212"/>
      <w:bookmarkEnd w:id="118"/>
      <w:bookmarkStart w:id="119" w:name="_Toc225342220"/>
      <w:bookmarkEnd w:id="119"/>
      <w:bookmarkStart w:id="120" w:name="_Toc225342233"/>
      <w:bookmarkEnd w:id="120"/>
      <w:bookmarkStart w:id="121" w:name="_Toc225342192"/>
      <w:bookmarkEnd w:id="121"/>
      <w:bookmarkStart w:id="122" w:name="_Toc225342208"/>
      <w:bookmarkEnd w:id="122"/>
      <w:bookmarkStart w:id="123" w:name="_Toc225342242"/>
      <w:bookmarkEnd w:id="123"/>
      <w:bookmarkStart w:id="124" w:name="_Toc225342231"/>
      <w:bookmarkEnd w:id="124"/>
      <w:bookmarkStart w:id="125" w:name="_Toc225342190"/>
      <w:bookmarkEnd w:id="125"/>
      <w:bookmarkStart w:id="126" w:name="_Toc225342225"/>
      <w:bookmarkEnd w:id="126"/>
      <w:bookmarkStart w:id="127" w:name="_Toc225342236"/>
      <w:bookmarkEnd w:id="127"/>
      <w:bookmarkStart w:id="128" w:name="_Toc225342241"/>
      <w:bookmarkEnd w:id="128"/>
      <w:bookmarkStart w:id="129" w:name="_Toc225342210"/>
      <w:bookmarkEnd w:id="129"/>
      <w:bookmarkStart w:id="130" w:name="_Toc225342221"/>
      <w:bookmarkEnd w:id="130"/>
      <w:bookmarkStart w:id="131" w:name="_Toc225342224"/>
      <w:bookmarkEnd w:id="131"/>
      <w:bookmarkStart w:id="132" w:name="_Toc225342195"/>
      <w:bookmarkEnd w:id="132"/>
      <w:bookmarkStart w:id="133" w:name="_Toc225342223"/>
      <w:bookmarkEnd w:id="133"/>
      <w:bookmarkStart w:id="134" w:name="_Toc225342186"/>
      <w:bookmarkEnd w:id="134"/>
      <w:bookmarkStart w:id="135" w:name="_Toc225342213"/>
      <w:bookmarkEnd w:id="135"/>
      <w:bookmarkStart w:id="136" w:name="_Toc225342219"/>
      <w:bookmarkEnd w:id="136"/>
      <w:bookmarkStart w:id="137" w:name="_Toc225342240"/>
      <w:bookmarkEnd w:id="137"/>
      <w:bookmarkStart w:id="138" w:name="_Toc225342226"/>
      <w:bookmarkEnd w:id="138"/>
      <w:bookmarkStart w:id="139" w:name="_Toc225342198"/>
      <w:bookmarkEnd w:id="139"/>
      <w:bookmarkStart w:id="140" w:name="_Toc225342230"/>
      <w:bookmarkEnd w:id="140"/>
      <w:bookmarkStart w:id="141" w:name="_Toc225342218"/>
      <w:bookmarkEnd w:id="141"/>
      <w:bookmarkStart w:id="142" w:name="_Toc225342222"/>
      <w:bookmarkEnd w:id="142"/>
      <w:bookmarkStart w:id="143" w:name="_Toc225342185"/>
      <w:bookmarkEnd w:id="143"/>
      <w:bookmarkStart w:id="144" w:name="_Toc225342229"/>
      <w:bookmarkEnd w:id="144"/>
      <w:bookmarkStart w:id="145" w:name="_Toc225342232"/>
      <w:bookmarkEnd w:id="145"/>
      <w:bookmarkStart w:id="146" w:name="_Toc225342206"/>
      <w:bookmarkEnd w:id="146"/>
      <w:bookmarkStart w:id="147" w:name="_Toc225342234"/>
      <w:bookmarkEnd w:id="147"/>
      <w:bookmarkStart w:id="148" w:name="_Toc220148356"/>
      <w:bookmarkStart w:id="149" w:name="_Toc227574854"/>
      <w:r>
        <w:rPr>
          <w:rFonts w:hint="eastAsia"/>
          <w:color w:val="auto"/>
        </w:rPr>
        <w:t>特殊工艺施工</w:t>
      </w:r>
      <w:bookmarkEnd w:id="148"/>
      <w:bookmarkEnd w:id="149"/>
    </w:p>
    <w:p w14:paraId="3892828E">
      <w:pPr>
        <w:pStyle w:val="92"/>
        <w:rPr>
          <w:rFonts w:eastAsia="黑体"/>
        </w:rPr>
      </w:pPr>
      <w:r>
        <w:rPr>
          <w:sz w:val="28"/>
          <w:szCs w:val="28"/>
        </w:rPr>
        <w:t>Ⅰ</w:t>
      </w:r>
      <w:r>
        <w:rPr>
          <w:rFonts w:hint="eastAsia"/>
          <w:sz w:val="28"/>
          <w:szCs w:val="28"/>
        </w:rPr>
        <w:t xml:space="preserve"> </w:t>
      </w:r>
      <w:r>
        <w:rPr>
          <w:rFonts w:hint="eastAsia" w:ascii="黑体" w:hAnsi="黑体" w:eastAsia="黑体"/>
          <w:sz w:val="28"/>
          <w:szCs w:val="28"/>
        </w:rPr>
        <w:t>微振动控制施工</w:t>
      </w:r>
    </w:p>
    <w:p w14:paraId="67A75B6C">
      <w:pPr>
        <w:pStyle w:val="90"/>
        <w:spacing w:before="156"/>
      </w:pPr>
      <w:r>
        <w:rPr>
          <w:rFonts w:hint="eastAsia"/>
        </w:rPr>
        <w:t>对有整体刚度控制要求的装配式结构，构件拆分应合理，宜减少分段数量和拼接缝数量。采用叠合板时，应严格控制现浇层厚度及叠合层施工质量。</w:t>
      </w:r>
    </w:p>
    <w:p w14:paraId="1A6B3646">
      <w:pPr>
        <w:pStyle w:val="90"/>
        <w:spacing w:before="156"/>
      </w:pPr>
      <w:r>
        <w:rPr>
          <w:rFonts w:hint="eastAsia"/>
        </w:rPr>
        <w:t>预制构件与现浇混凝土交接面应涂刷界面剂，增强新旧混凝土粘结力。</w:t>
      </w:r>
    </w:p>
    <w:p w14:paraId="1E0DCE75">
      <w:pPr>
        <w:pStyle w:val="90"/>
        <w:spacing w:before="156"/>
      </w:pPr>
      <w:r>
        <w:rPr>
          <w:rFonts w:hint="eastAsia"/>
        </w:rPr>
        <w:t>各预制构件接触面之间应根据设计要求采用灌浆料等材料填充密实。</w:t>
      </w:r>
    </w:p>
    <w:p w14:paraId="12B62CBB">
      <w:pPr>
        <w:pStyle w:val="90"/>
        <w:spacing w:before="156"/>
      </w:pPr>
      <w:r>
        <w:rPr>
          <w:rFonts w:hint="eastAsia"/>
        </w:rPr>
        <w:t>预制构件与现浇结构之间的拼接缝、安装孔洞周边应进行二次密封处理。密封材料应选用低挥发性、耐老化、与混凝土粘结良好的洁净级密封胶，并确保在洁净室正压或负压下无渗漏。</w:t>
      </w:r>
    </w:p>
    <w:p w14:paraId="71DECDAF">
      <w:pPr>
        <w:pStyle w:val="90"/>
        <w:spacing w:before="156"/>
      </w:pPr>
      <w:r>
        <w:rPr>
          <w:rFonts w:hint="eastAsia"/>
        </w:rPr>
        <w:t>对于设有精密设备或仪器的洁净区，预制构件安装后的整体平整度偏差应满足图纸及规范要求；现浇叠合层的上表面可进行二次压光或研磨处理，确保满足设备基础的微振动容许值要求。</w:t>
      </w:r>
    </w:p>
    <w:p w14:paraId="0B85A4EB">
      <w:pPr>
        <w:pStyle w:val="92"/>
        <w:rPr>
          <w:rFonts w:hint="eastAsia" w:ascii="黑体" w:hAnsi="黑体" w:eastAsia="黑体"/>
          <w:sz w:val="28"/>
          <w:szCs w:val="28"/>
        </w:rPr>
      </w:pPr>
      <w:r>
        <w:rPr>
          <w:rFonts w:hint="eastAsia"/>
          <w:sz w:val="28"/>
          <w:szCs w:val="28"/>
        </w:rPr>
        <w:t xml:space="preserve">Ⅱ </w:t>
      </w:r>
      <w:r>
        <w:rPr>
          <w:rFonts w:hint="eastAsia" w:ascii="黑体" w:hAnsi="黑体" w:eastAsia="黑体"/>
          <w:sz w:val="28"/>
          <w:szCs w:val="28"/>
        </w:rPr>
        <w:t>洁净区施工</w:t>
      </w:r>
    </w:p>
    <w:p w14:paraId="2114860B">
      <w:pPr>
        <w:pStyle w:val="90"/>
        <w:spacing w:before="156"/>
      </w:pPr>
      <w:r>
        <w:rPr>
          <w:rFonts w:hint="eastAsia"/>
        </w:rPr>
        <w:t>对拉螺栓孔内应清理干净并进行封堵。</w:t>
      </w:r>
    </w:p>
    <w:p w14:paraId="2B671017">
      <w:pPr>
        <w:pStyle w:val="90"/>
        <w:spacing w:before="156"/>
      </w:pPr>
      <w:r>
        <w:rPr>
          <w:rFonts w:hint="eastAsia"/>
        </w:rPr>
        <w:t>预制构件拼缝、结构施工缝处宜采用密封措施进行封闭。</w:t>
      </w:r>
    </w:p>
    <w:p w14:paraId="2BE10FC2">
      <w:pPr>
        <w:pStyle w:val="90"/>
        <w:spacing w:before="156"/>
      </w:pPr>
      <w:r>
        <w:rPr>
          <w:rStyle w:val="133"/>
          <w:rFonts w:hint="eastAsia"/>
          <w:b w:val="0"/>
          <w:bCs w:val="0"/>
          <w:color w:val="auto"/>
        </w:rPr>
        <w:t>用于分隔洁净室的内隔墙，其墙体顶部、板底及拼缝部位应填充密实，并进行密封处理。</w:t>
      </w:r>
    </w:p>
    <w:p w14:paraId="7426514D">
      <w:pPr>
        <w:pStyle w:val="90"/>
        <w:spacing w:before="156"/>
      </w:pPr>
      <w:r>
        <w:rPr>
          <w:rStyle w:val="133"/>
          <w:rFonts w:hint="eastAsia"/>
          <w:b w:val="0"/>
          <w:bCs/>
          <w:color w:val="auto"/>
        </w:rPr>
        <w:t>装配式混凝土结构的洁净区机电管线</w:t>
      </w:r>
      <w:r>
        <w:rPr>
          <w:rFonts w:hint="eastAsia"/>
        </w:rPr>
        <w:t>应</w:t>
      </w:r>
      <w:r>
        <w:t>在深化图</w:t>
      </w:r>
      <w:r>
        <w:rPr>
          <w:rFonts w:hint="eastAsia"/>
        </w:rPr>
        <w:t>纸</w:t>
      </w:r>
      <w:r>
        <w:t>中</w:t>
      </w:r>
      <w:r>
        <w:rPr>
          <w:rFonts w:hint="eastAsia"/>
        </w:rPr>
        <w:t>明确预留孔、洞定位，不应在施工完成后开孔、洞。</w:t>
      </w:r>
    </w:p>
    <w:p w14:paraId="7D09F047">
      <w:pPr>
        <w:pStyle w:val="90"/>
        <w:spacing w:before="156"/>
        <w:rPr>
          <w:rStyle w:val="133"/>
          <w:b w:val="0"/>
          <w:bCs/>
          <w:color w:val="auto"/>
        </w:rPr>
      </w:pPr>
      <w:r>
        <w:rPr>
          <w:rFonts w:hint="eastAsia"/>
        </w:rPr>
        <w:t>洁净区预制构件的环氧涂层施工，宜在构件生产阶段完成底漆及中间漆的涂装；构件运至现场安装后，仅进行面漆涂装以及接缝部位的环氧补涂处理。</w:t>
      </w:r>
    </w:p>
    <w:p w14:paraId="0153D6FF">
      <w:pPr>
        <w:pStyle w:val="92"/>
        <w:rPr>
          <w:rFonts w:eastAsia="黑体"/>
        </w:rPr>
      </w:pPr>
      <w:r>
        <w:rPr>
          <w:rFonts w:hint="eastAsia"/>
          <w:sz w:val="28"/>
          <w:szCs w:val="28"/>
        </w:rPr>
        <w:t xml:space="preserve">Ⅲ </w:t>
      </w:r>
      <w:r>
        <w:rPr>
          <w:rFonts w:hint="eastAsia" w:ascii="黑体" w:hAnsi="黑体" w:eastAsia="黑体"/>
          <w:sz w:val="28"/>
          <w:szCs w:val="28"/>
        </w:rPr>
        <w:t>预应力施工</w:t>
      </w:r>
    </w:p>
    <w:p w14:paraId="086BAA37">
      <w:pPr>
        <w:pStyle w:val="90"/>
        <w:spacing w:before="156"/>
      </w:pPr>
      <w:r>
        <w:rPr>
          <w:rFonts w:hint="eastAsia"/>
        </w:rPr>
        <w:t>预应力筋穿束、张拉及灌浆作业的平台宜采用固定在竖向构件上的工具式平台，也可采用高空作业车。</w:t>
      </w:r>
    </w:p>
    <w:p w14:paraId="256DAE97">
      <w:pPr>
        <w:pStyle w:val="90"/>
        <w:spacing w:before="156"/>
      </w:pPr>
      <w:r>
        <w:rPr>
          <w:rFonts w:hint="eastAsia"/>
        </w:rPr>
        <w:t>后张法预应力筋的张拉应符合下列规定：</w:t>
      </w:r>
    </w:p>
    <w:p w14:paraId="7BCF9515">
      <w:pPr>
        <w:pStyle w:val="95"/>
      </w:pPr>
      <w:r>
        <w:rPr>
          <w:rFonts w:hint="eastAsia"/>
        </w:rPr>
        <w:t>预应力筋张拉前，应检查并确保张拉跨构件间接缝无间隙，当接缝使用灌浆料灌实时，张拉前灌浆料强度不应低于设计要求的强度；</w:t>
      </w:r>
    </w:p>
    <w:p w14:paraId="65972DFE">
      <w:pPr>
        <w:pStyle w:val="95"/>
      </w:pPr>
      <w:r>
        <w:rPr>
          <w:rFonts w:hint="eastAsia"/>
        </w:rPr>
        <w:t>同一束有粘结预应力筋宜整束张拉，对直线形或平行编排的有粘结预应力钢绞线束，当能确保各根钢绞线不受叠压影响时，也可逐根张拉；</w:t>
      </w:r>
    </w:p>
    <w:p w14:paraId="73CC45F5">
      <w:pPr>
        <w:pStyle w:val="95"/>
      </w:pPr>
      <w:r>
        <w:rPr>
          <w:rFonts w:hint="eastAsia"/>
        </w:rPr>
        <w:t>当有粘结预应力筋长度不小于2</w:t>
      </w:r>
      <w:r>
        <w:t>0m</w:t>
      </w:r>
      <w:r>
        <w:rPr>
          <w:rFonts w:hint="eastAsia"/>
        </w:rPr>
        <w:t>、无粘结预应力筋长度不小于40m时，宜采用两端张拉；采用两端张拉时，宜两端同时张拉，也可一端先张拉锚固，另一端补张拉；</w:t>
      </w:r>
    </w:p>
    <w:p w14:paraId="7EA4BC4A">
      <w:pPr>
        <w:pStyle w:val="95"/>
      </w:pPr>
      <w:r>
        <w:rPr>
          <w:rFonts w:hint="eastAsia"/>
        </w:rPr>
        <w:t>预应力张拉应采用应力控制方法，且应校核最大张拉力下预应力筋伸长值；当实测伸长值与计算伸长值相对偏差超过</w:t>
      </w:r>
      <w:r>
        <w:t>±6%</w:t>
      </w:r>
      <w:r>
        <w:rPr>
          <w:rFonts w:hint="eastAsia"/>
        </w:rPr>
        <w:t>时，应暂停张拉，查明原因并采取措施后，方可继续张拉。</w:t>
      </w:r>
    </w:p>
    <w:p w14:paraId="10D85F7E">
      <w:pPr>
        <w:pStyle w:val="90"/>
        <w:spacing w:before="156"/>
      </w:pPr>
      <w:r>
        <w:rPr>
          <w:rFonts w:hint="eastAsia"/>
        </w:rPr>
        <w:t>后张法有粘结预应力筋张拉完成后，应进行孔道灌浆，并应符合下列规定：</w:t>
      </w:r>
    </w:p>
    <w:p w14:paraId="57D41AF2">
      <w:pPr>
        <w:pStyle w:val="95"/>
      </w:pPr>
      <w:r>
        <w:rPr>
          <w:rFonts w:hint="eastAsia"/>
        </w:rPr>
        <w:t>孔道内水泥浆应饱满密实；</w:t>
      </w:r>
    </w:p>
    <w:p w14:paraId="7F1A9C43">
      <w:pPr>
        <w:pStyle w:val="95"/>
      </w:pPr>
      <w:r>
        <w:rPr>
          <w:rFonts w:hint="eastAsia"/>
        </w:rPr>
        <w:t>预应力筋穿入孔道后至孔道压浆的时间不宜过长，当环境相对湿度大于</w:t>
      </w:r>
      <w:r>
        <w:t>60%</w:t>
      </w:r>
      <w:r>
        <w:rPr>
          <w:rFonts w:hint="eastAsia"/>
        </w:rPr>
        <w:t>时，不宜超过</w:t>
      </w:r>
      <w:r>
        <w:t>14d</w:t>
      </w:r>
      <w:r>
        <w:rPr>
          <w:rFonts w:hint="eastAsia"/>
        </w:rPr>
        <w:t>；当环境相对湿度不大于</w:t>
      </w:r>
      <w:r>
        <w:t>60%</w:t>
      </w:r>
      <w:r>
        <w:rPr>
          <w:rFonts w:hint="eastAsia"/>
        </w:rPr>
        <w:t>时，不宜超过</w:t>
      </w:r>
      <w:r>
        <w:t>28d</w:t>
      </w:r>
      <w:r>
        <w:rPr>
          <w:rFonts w:hint="eastAsia"/>
        </w:rPr>
        <w:t>；</w:t>
      </w:r>
    </w:p>
    <w:p w14:paraId="3AE9BB30">
      <w:pPr>
        <w:pStyle w:val="95"/>
      </w:pPr>
      <w:r>
        <w:rPr>
          <w:rFonts w:hint="eastAsia"/>
        </w:rPr>
        <w:t>灌浆施工前应采用水泥砂浆等材料封堵锚具夹片缝隙和其他可能漏浆处，也可采用封锚罩封闭端部锚具。</w:t>
      </w:r>
    </w:p>
    <w:p w14:paraId="33BEFC3A">
      <w:pPr>
        <w:pStyle w:val="90"/>
        <w:spacing w:before="156"/>
      </w:pPr>
      <w:r>
        <w:rPr>
          <w:rFonts w:hint="eastAsia"/>
        </w:rPr>
        <w:t>后张法预应力锚固系统在封闭之前应采取防腐防锈措施处理。</w:t>
      </w:r>
    </w:p>
    <w:p w14:paraId="40DF041A">
      <w:pPr>
        <w:pStyle w:val="85"/>
        <w:rPr>
          <w:rFonts w:hint="eastAsia"/>
          <w:color w:val="auto"/>
        </w:rPr>
      </w:pPr>
      <w:bookmarkStart w:id="150" w:name="_Toc220148357"/>
      <w:bookmarkStart w:id="151" w:name="_Toc227574855"/>
      <w:r>
        <w:rPr>
          <w:rFonts w:hint="eastAsia"/>
          <w:color w:val="auto"/>
        </w:rPr>
        <w:t>施工安全</w:t>
      </w:r>
      <w:bookmarkEnd w:id="150"/>
      <w:bookmarkEnd w:id="151"/>
    </w:p>
    <w:p w14:paraId="46AD3AC7">
      <w:pPr>
        <w:pStyle w:val="90"/>
        <w:spacing w:before="156"/>
      </w:pPr>
      <w:r>
        <w:rPr>
          <w:rFonts w:hint="eastAsia"/>
        </w:rPr>
        <w:t>施工单位应根据装配式混凝土结构厂房的特点，制定安全施工方案和安全生产应急预案，并对重大危险源进行分析和公示。装配式混凝土结构施工过程中应采取安全措施，并应符合现行国家标准《建筑施工安全技术统一规范》GB 50870、《建设工程施工现场消防安全技术标准》GB/T 50720、《建筑施工高处作业安全技术规范》JGJ 80、《建筑机械使用安全技术规程》JGJ 33、《建筑与市政工程施工现场临时用电安全技术标准》JGJ/T 46和现行北京市标准《装配式建筑施工安全技术规范》DB11/T 2004等的规定。</w:t>
      </w:r>
    </w:p>
    <w:p w14:paraId="7EB4BC41">
      <w:pPr>
        <w:pStyle w:val="90"/>
        <w:spacing w:before="156"/>
      </w:pPr>
      <w:r>
        <w:rPr>
          <w:rFonts w:hint="eastAsia"/>
        </w:rPr>
        <w:t>施工单位应对从事预制构件吊装作业及相关人员进行安全培训与交底，识别预制构件进场、卸车、存放、吊装、就位各环节的作业风险，并制定防控措施。</w:t>
      </w:r>
    </w:p>
    <w:p w14:paraId="76A71341">
      <w:pPr>
        <w:pStyle w:val="90"/>
        <w:spacing w:before="156"/>
      </w:pPr>
      <w:r>
        <w:rPr>
          <w:rFonts w:hint="eastAsia"/>
        </w:rPr>
        <w:t>施工作业使用的专用吊具、吊索、定型工具式支撑、支架等，应进行稳定性、承载力等验算，使用中进行定期、不定期检查。</w:t>
      </w:r>
    </w:p>
    <w:p w14:paraId="029A9862">
      <w:pPr>
        <w:pStyle w:val="90"/>
        <w:spacing w:before="156"/>
        <w:rPr>
          <w:rStyle w:val="36"/>
          <w:sz w:val="24"/>
          <w:szCs w:val="24"/>
        </w:rPr>
      </w:pPr>
      <w:r>
        <w:rPr>
          <w:rFonts w:hint="eastAsia"/>
        </w:rPr>
        <w:t>预制构件运输车辆应满足构件尺寸和载重要求；形状特殊的预制构件运输应制定专项安全措施。</w:t>
      </w:r>
    </w:p>
    <w:p w14:paraId="7FD48D23">
      <w:pPr>
        <w:pStyle w:val="90"/>
        <w:spacing w:before="156"/>
      </w:pPr>
      <w:r>
        <w:rPr>
          <w:rFonts w:hint="eastAsia"/>
        </w:rPr>
        <w:t>相邻堆垛之间应有足够的作业空间和安全操作距离，通道宽度不宜小于1</w:t>
      </w:r>
      <w:r>
        <w:t>.6m</w:t>
      </w:r>
      <w:r>
        <w:rPr>
          <w:rFonts w:hint="eastAsia"/>
        </w:rPr>
        <w:t>，宜有明确的安全通道线或围栏；构件存放时，不应超出存放区域范围。</w:t>
      </w:r>
    </w:p>
    <w:p w14:paraId="183777FF">
      <w:pPr>
        <w:pStyle w:val="90"/>
        <w:spacing w:before="156"/>
      </w:pPr>
      <w:r>
        <w:rPr>
          <w:rFonts w:hint="eastAsia"/>
        </w:rPr>
        <w:t>预制构件安装作业前，应完成下列安全准备工作：</w:t>
      </w:r>
    </w:p>
    <w:p w14:paraId="23033AFE">
      <w:pPr>
        <w:pStyle w:val="95"/>
      </w:pPr>
      <w:r>
        <w:rPr>
          <w:rFonts w:hint="eastAsia"/>
        </w:rPr>
        <w:t>特种作业人员应持证上岗；</w:t>
      </w:r>
    </w:p>
    <w:p w14:paraId="4DFAF571">
      <w:pPr>
        <w:pStyle w:val="95"/>
      </w:pPr>
      <w:r>
        <w:rPr>
          <w:rFonts w:hint="eastAsia"/>
        </w:rPr>
        <w:t>检查并复核起重机械及吊索具，应处于安全操作状态；</w:t>
      </w:r>
    </w:p>
    <w:p w14:paraId="2FA6E1B8">
      <w:pPr>
        <w:pStyle w:val="95"/>
      </w:pPr>
      <w:r>
        <w:rPr>
          <w:rFonts w:hint="eastAsia"/>
        </w:rPr>
        <w:t>复核气候条件及吊运线路，应满足预制构件吊装施工要求；</w:t>
      </w:r>
    </w:p>
    <w:p w14:paraId="302E1860">
      <w:pPr>
        <w:pStyle w:val="95"/>
      </w:pPr>
      <w:r>
        <w:rPr>
          <w:rFonts w:hint="eastAsia"/>
        </w:rPr>
        <w:t>清除吊装范围内的障碍物，设置作业安全警戒线和安全标志；</w:t>
      </w:r>
    </w:p>
    <w:p w14:paraId="7369EE1E">
      <w:pPr>
        <w:pStyle w:val="95"/>
      </w:pPr>
      <w:r>
        <w:rPr>
          <w:rFonts w:hint="eastAsia"/>
        </w:rPr>
        <w:t>安全防护系统应按照专项施工方案进行搭设、验收。</w:t>
      </w:r>
    </w:p>
    <w:p w14:paraId="41E0ED89">
      <w:pPr>
        <w:pStyle w:val="90"/>
        <w:spacing w:before="156"/>
      </w:pPr>
      <w:r>
        <w:rPr>
          <w:rFonts w:hint="eastAsia"/>
        </w:rPr>
        <w:t>预制构件的吊装作业安全应符合下列规定：</w:t>
      </w:r>
    </w:p>
    <w:p w14:paraId="6D056554">
      <w:pPr>
        <w:pStyle w:val="95"/>
      </w:pPr>
      <w:r>
        <w:rPr>
          <w:rFonts w:hint="eastAsia"/>
        </w:rPr>
        <w:t>应有安全生产管理人员进行现场旁站监督；</w:t>
      </w:r>
    </w:p>
    <w:p w14:paraId="030D2914">
      <w:pPr>
        <w:pStyle w:val="95"/>
      </w:pPr>
      <w:r>
        <w:rPr>
          <w:rFonts w:hint="eastAsia"/>
        </w:rPr>
        <w:t>高处作业人员应穿防滑鞋、戴安全帽、佩安全带，安全带应系挂可靠、高挂低用，并应配置登高和防坠落的设施；</w:t>
      </w:r>
    </w:p>
    <w:p w14:paraId="2AED8490">
      <w:pPr>
        <w:pStyle w:val="95"/>
      </w:pPr>
      <w:r>
        <w:rPr>
          <w:rFonts w:hint="eastAsia"/>
        </w:rPr>
        <w:t>预制构件起吊后，应先将预制构件提升300mm左右后，停稳构件，检查钢丝绳、吊具和预制构件状态，确认吊具安全且构件平稳后，方可缓慢提升构件；</w:t>
      </w:r>
    </w:p>
    <w:p w14:paraId="750346CD">
      <w:pPr>
        <w:pStyle w:val="95"/>
      </w:pPr>
      <w:r>
        <w:rPr>
          <w:rFonts w:hint="eastAsia"/>
        </w:rPr>
        <w:t>吊装警戒区域内，非作业人员不得进入；吊装构件时，构件下方不得站人，应待构件降落至距地面1m以内方准作业人员靠近，确认已安放稳固或固定完毕后方可脱钩；</w:t>
      </w:r>
    </w:p>
    <w:p w14:paraId="19C02A0D">
      <w:pPr>
        <w:pStyle w:val="95"/>
      </w:pPr>
      <w:r>
        <w:rPr>
          <w:rFonts w:hint="eastAsia"/>
        </w:rPr>
        <w:t>高空应通过揽风绳改变预制构件方向，不得高空直接用手扶预制构件；</w:t>
      </w:r>
    </w:p>
    <w:p w14:paraId="7C19E6B2">
      <w:pPr>
        <w:pStyle w:val="95"/>
      </w:pPr>
      <w:r>
        <w:rPr>
          <w:rFonts w:hint="eastAsia"/>
        </w:rPr>
        <w:t>在构件起吊、移动、就位的过程中，信号工、司索工、起重机械司机应保持通信畅通，信号不明不得吊运和安装。</w:t>
      </w:r>
    </w:p>
    <w:p w14:paraId="08B440CA">
      <w:pPr>
        <w:pStyle w:val="90"/>
        <w:spacing w:before="156"/>
      </w:pPr>
      <w:r>
        <w:rPr>
          <w:rFonts w:hint="eastAsia"/>
        </w:rPr>
        <w:t>装配式混凝土结构施工的安全防护应符合下列规定：</w:t>
      </w:r>
    </w:p>
    <w:p w14:paraId="06263E42">
      <w:pPr>
        <w:pStyle w:val="95"/>
      </w:pPr>
      <w:r>
        <w:rPr>
          <w:rFonts w:hint="eastAsia"/>
        </w:rPr>
        <w:t>外防护架宜选用工具化、标准化产品，进场验收合格后方可使用；防护架体形式不得随意更改，施工过程中的安全防护系统的实际荷载不得超过设计限值；</w:t>
      </w:r>
    </w:p>
    <w:p w14:paraId="042F1849">
      <w:pPr>
        <w:pStyle w:val="95"/>
      </w:pPr>
      <w:r>
        <w:rPr>
          <w:rFonts w:hint="eastAsia"/>
        </w:rPr>
        <w:t>坠落高度基准面2m及以上进行临边作业时，应在临空一侧设置防护栏杆，并应采用密目式安全立网或工具式栏板封闭；防护栏杆高度不应低于1.2m；</w:t>
      </w:r>
    </w:p>
    <w:p w14:paraId="1DC365BD">
      <w:pPr>
        <w:pStyle w:val="95"/>
      </w:pPr>
      <w:r>
        <w:rPr>
          <w:rFonts w:hint="eastAsia"/>
        </w:rPr>
        <w:t>当作业面无法设置可靠的安全防护设施时，应设置生命绳系统。</w:t>
      </w:r>
    </w:p>
    <w:p w14:paraId="6C22C67E">
      <w:pPr>
        <w:pStyle w:val="90"/>
        <w:spacing w:before="156"/>
      </w:pPr>
      <w:r>
        <w:rPr>
          <w:rFonts w:hint="eastAsia"/>
        </w:rPr>
        <w:t>装配式混凝土结构的支撑系统搭设时，已承受荷载的支架不得随意拆除或移动。拆除时应有专人指挥，并标出作业区，非作业人员不得进入，不得交叉作业。</w:t>
      </w:r>
    </w:p>
    <w:p w14:paraId="0D25D0E1">
      <w:pPr>
        <w:pStyle w:val="90"/>
        <w:spacing w:before="156"/>
      </w:pPr>
      <w:r>
        <w:rPr>
          <w:rFonts w:hint="eastAsia"/>
        </w:rPr>
        <w:t>装配式混凝土结构在特殊气候条件下的作业安全应符合下列规定：</w:t>
      </w:r>
    </w:p>
    <w:p w14:paraId="7ECAFA03">
      <w:pPr>
        <w:pStyle w:val="95"/>
      </w:pPr>
      <w:r>
        <w:rPr>
          <w:rFonts w:hint="eastAsia"/>
        </w:rPr>
        <w:t>遇到大雨、大雾、大雪、五级以上大风等恶劣天气时，不得进行吊装作业与高处作业；暂停作业时，对吊装作业中未形成稳定体系的部分，应采取临时固定措施；</w:t>
      </w:r>
    </w:p>
    <w:p w14:paraId="4BE640B9">
      <w:pPr>
        <w:pStyle w:val="95"/>
      </w:pPr>
      <w:r>
        <w:rPr>
          <w:rFonts w:hint="eastAsia"/>
        </w:rPr>
        <w:t>雨、雪后施工时，应及时清除作业面上的积水、冰雪，并应采取防滑和防漏电措施；重新作业前，应检查安全防护设施和作业条件，必要时先进行试吊，确认各种安全装置灵敏可靠后方可进行作业；</w:t>
      </w:r>
    </w:p>
    <w:p w14:paraId="5B4DC7F5">
      <w:pPr>
        <w:pStyle w:val="95"/>
      </w:pPr>
      <w:r>
        <w:rPr>
          <w:rFonts w:hint="eastAsia"/>
        </w:rPr>
        <w:t>对于冬季、高温、雨季及极端天气，应采取针对性的施工保障措施。</w:t>
      </w:r>
    </w:p>
    <w:p w14:paraId="51FCD82C">
      <w:pPr>
        <w:pStyle w:val="95"/>
      </w:pPr>
      <w:r>
        <w:br w:type="page"/>
      </w:r>
    </w:p>
    <w:p w14:paraId="6BFDE57A">
      <w:pPr>
        <w:pStyle w:val="79"/>
        <w:rPr>
          <w:rFonts w:hint="eastAsia"/>
        </w:rPr>
      </w:pPr>
      <w:bookmarkStart w:id="152" w:name="_Toc225342245"/>
      <w:bookmarkEnd w:id="152"/>
      <w:bookmarkStart w:id="153" w:name="_Toc220148358"/>
      <w:bookmarkStart w:id="154" w:name="_Toc227574856"/>
      <w:r>
        <w:rPr>
          <w:rFonts w:hint="eastAsia"/>
        </w:rPr>
        <w:t>质量验收</w:t>
      </w:r>
      <w:bookmarkEnd w:id="153"/>
      <w:bookmarkEnd w:id="154"/>
    </w:p>
    <w:p w14:paraId="06595CD4">
      <w:pPr>
        <w:pStyle w:val="85"/>
        <w:rPr>
          <w:rFonts w:hint="eastAsia"/>
          <w:color w:val="auto"/>
        </w:rPr>
      </w:pPr>
      <w:bookmarkStart w:id="155" w:name="_Toc220148359"/>
      <w:bookmarkStart w:id="156" w:name="_Toc227574857"/>
      <w:r>
        <w:rPr>
          <w:rFonts w:hint="eastAsia"/>
          <w:color w:val="auto"/>
        </w:rPr>
        <w:t>一般规定</w:t>
      </w:r>
      <w:bookmarkEnd w:id="155"/>
      <w:bookmarkEnd w:id="156"/>
    </w:p>
    <w:p w14:paraId="2D4AECE3">
      <w:pPr>
        <w:pStyle w:val="90"/>
        <w:spacing w:before="156"/>
      </w:pPr>
      <w:r>
        <w:rPr>
          <w:rFonts w:hint="eastAsia"/>
        </w:rPr>
        <w:t>装配式混凝土结构厂房</w:t>
      </w:r>
      <w:r>
        <w:t>的</w:t>
      </w:r>
      <w:r>
        <w:rPr>
          <w:rFonts w:hint="eastAsia"/>
        </w:rPr>
        <w:t>装配式混凝土结构工程应按混凝土结构子分部工程进行验收，装配式混凝土结构分项应按混凝土结构子分部工程的分项工程验收</w:t>
      </w:r>
      <w:r>
        <w:t>。</w:t>
      </w:r>
    </w:p>
    <w:p w14:paraId="2E6E78F6">
      <w:pPr>
        <w:pStyle w:val="90"/>
        <w:spacing w:before="156"/>
      </w:pPr>
      <w:r>
        <w:rPr>
          <w:rFonts w:hint="eastAsia"/>
        </w:rPr>
        <w:t>预制构件与预制构件、预制构件与现浇结构之间的连接应符合设计要求。</w:t>
      </w:r>
    </w:p>
    <w:p w14:paraId="5F234D8E">
      <w:pPr>
        <w:pStyle w:val="90"/>
        <w:spacing w:before="156"/>
      </w:pPr>
      <w:r>
        <w:rPr>
          <w:rFonts w:hint="eastAsia"/>
        </w:rPr>
        <w:t>装配式混凝土结构厂房施工用的原材料、部品部件、构配件均应按检验批进行进场验收。</w:t>
      </w:r>
      <w:r>
        <w:t>同一厂家生产的同批材料、部品</w:t>
      </w:r>
      <w:r>
        <w:rPr>
          <w:rFonts w:hint="eastAsia"/>
        </w:rPr>
        <w:t>部件、构配件</w:t>
      </w:r>
      <w:r>
        <w:t>，用于同期施工且属于同一工程项目的多个单位工程，可</w:t>
      </w:r>
      <w:r>
        <w:rPr>
          <w:rFonts w:hint="eastAsia"/>
        </w:rPr>
        <w:t>统一划分检验批进行材料</w:t>
      </w:r>
      <w:r>
        <w:t>进场验收。</w:t>
      </w:r>
    </w:p>
    <w:p w14:paraId="686338C5">
      <w:pPr>
        <w:pStyle w:val="90"/>
        <w:spacing w:before="156"/>
      </w:pPr>
      <w:r>
        <w:rPr>
          <w:rStyle w:val="119"/>
          <w:color w:val="auto"/>
        </w:rPr>
        <w:t>装配式混凝土结构厂房应在安装施工及浇筑混凝土前完成下列隐蔽项目的现场验收：</w:t>
      </w:r>
    </w:p>
    <w:p w14:paraId="4185C4E5">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预制构件粗糙面的质量，键槽的尺寸、数量、位置；</w:t>
      </w:r>
    </w:p>
    <w:p w14:paraId="43DF4B2D">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后浇混凝土中钢筋的牌号、规格、数量、位置、间距、锚固长度，箍筋弯钩的弯折角度及平直段长度；</w:t>
      </w:r>
    </w:p>
    <w:p w14:paraId="6853C9D9">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结构预埋件、螺栓、预留专业管线的规格、数量与位置；</w:t>
      </w:r>
    </w:p>
    <w:p w14:paraId="71737520">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预制构件之间及预制构件与后浇混凝土之间的节点、接缝；</w:t>
      </w:r>
    </w:p>
    <w:p w14:paraId="75615105">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预制构件接缝处防水、防火等构造做法；</w:t>
      </w:r>
    </w:p>
    <w:p w14:paraId="316E2B85">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其他隐蔽项目。</w:t>
      </w:r>
    </w:p>
    <w:p w14:paraId="6A886D26">
      <w:pPr>
        <w:pStyle w:val="90"/>
        <w:spacing w:before="156"/>
      </w:pPr>
      <w:r>
        <w:rPr>
          <w:rFonts w:hint="eastAsia"/>
        </w:rPr>
        <w:t>洁净工程验收应符合现行国家标准《洁净厂房施工及质量验收规范》GB 51110、《洁净室施工及验收规范》GB 50591等的规定。</w:t>
      </w:r>
    </w:p>
    <w:p w14:paraId="0ED030DC">
      <w:pPr>
        <w:pStyle w:val="90"/>
        <w:spacing w:before="156"/>
      </w:pPr>
      <w:r>
        <w:rPr>
          <w:rFonts w:hint="eastAsia"/>
        </w:rPr>
        <w:t>防微振工程验收应符合国家现行标准《电子工业防微振工程技术规范》GB 51076、《建筑工程容许振动标准》GB 50868等的规定。</w:t>
      </w:r>
    </w:p>
    <w:p w14:paraId="63EF2A88">
      <w:pPr>
        <w:pStyle w:val="90"/>
        <w:spacing w:before="156"/>
      </w:pPr>
      <w:r>
        <w:t>装配式混凝土结构厂房质量验收时应提交下列文件与记录：</w:t>
      </w:r>
    </w:p>
    <w:p w14:paraId="693F8F9A">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工程设计单位已确认的施工图、预制构件深化设计图、设计变更文件；</w:t>
      </w:r>
    </w:p>
    <w:p w14:paraId="4674EBE0">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装配式混凝土结构工程所用主要材料及预制构件的各种相关质量证明文件、进场验收记录、抽样检验或复验报告；</w:t>
      </w:r>
    </w:p>
    <w:p w14:paraId="0E89BD8E">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预制构件安装施工验收记录；</w:t>
      </w:r>
    </w:p>
    <w:p w14:paraId="5539A782">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套筒灌浆施工申请单；</w:t>
      </w:r>
    </w:p>
    <w:p w14:paraId="1FDC058A">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钢筋套筒灌浆连接施工检验记录及影像资料；</w:t>
      </w:r>
    </w:p>
    <w:p w14:paraId="56CD3468">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叠合体系的机械连接施工检验记录；</w:t>
      </w:r>
    </w:p>
    <w:p w14:paraId="1960593E">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钢筋连接接头的检验报告；</w:t>
      </w:r>
    </w:p>
    <w:p w14:paraId="204C62BD">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冬期灌浆施工环境测温记录；</w:t>
      </w:r>
    </w:p>
    <w:p w14:paraId="2D749D84">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连接构造节点的隐蔽工程检查验收文件；</w:t>
      </w:r>
    </w:p>
    <w:p w14:paraId="6DCB94E9">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后浇筑叠合构件和节点的混凝土、灌浆料、坐浆材料强度检测报告；</w:t>
      </w:r>
    </w:p>
    <w:p w14:paraId="361CA52F">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密封材料及接缝防水检测报告；</w:t>
      </w:r>
    </w:p>
    <w:p w14:paraId="03F9BD57">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分项工程验收记录；</w:t>
      </w:r>
    </w:p>
    <w:p w14:paraId="1EE16E1A">
      <w:pPr>
        <w:pStyle w:val="95"/>
        <w:rPr>
          <w:rStyle w:val="124"/>
          <w:rFonts w:ascii="Times New Roman" w:hAnsi="Times New Roman" w:eastAsia="黑体" w:cs="Times New Roman"/>
          <w:color w:val="auto"/>
          <w:szCs w:val="21"/>
        </w:rPr>
      </w:pPr>
      <w:r>
        <w:rPr>
          <w:rStyle w:val="124"/>
          <w:rFonts w:hint="eastAsia" w:ascii="Times New Roman" w:hAnsi="Times New Roman" w:cs="Times New Roman"/>
          <w:color w:val="auto"/>
          <w:szCs w:val="21"/>
        </w:rPr>
        <w:t>工程的重大质量问题的处理方案和验收记录；</w:t>
      </w:r>
    </w:p>
    <w:p w14:paraId="49499776">
      <w:pPr>
        <w:pStyle w:val="95"/>
        <w:rPr>
          <w:rStyle w:val="124"/>
          <w:rFonts w:hint="eastAsia" w:eastAsia="黑体"/>
          <w:color w:val="auto"/>
        </w:rPr>
      </w:pPr>
      <w:r>
        <w:rPr>
          <w:rStyle w:val="124"/>
          <w:rFonts w:hint="eastAsia" w:ascii="Times New Roman" w:hAnsi="Times New Roman" w:cs="Times New Roman"/>
          <w:color w:val="auto"/>
          <w:szCs w:val="21"/>
        </w:rPr>
        <w:t>其他必要的文件与记录</w:t>
      </w:r>
      <w:r>
        <w:rPr>
          <w:rStyle w:val="124"/>
          <w:rFonts w:hint="eastAsia"/>
          <w:color w:val="auto"/>
        </w:rPr>
        <w:t>。</w:t>
      </w:r>
    </w:p>
    <w:p w14:paraId="274476AA">
      <w:pPr>
        <w:pStyle w:val="90"/>
        <w:spacing w:before="156"/>
      </w:pPr>
      <w:r>
        <w:t>装配式混凝土结构厂房质量验收合格后，应将所有的验收文件归入</w:t>
      </w:r>
      <w:r>
        <w:rPr>
          <w:rFonts w:hint="eastAsia"/>
        </w:rPr>
        <w:t>相应</w:t>
      </w:r>
      <w:r>
        <w:t>分部工程存档备案。</w:t>
      </w:r>
    </w:p>
    <w:p w14:paraId="088927B6">
      <w:pPr>
        <w:pStyle w:val="85"/>
        <w:rPr>
          <w:rFonts w:hint="eastAsia"/>
          <w:color w:val="auto"/>
        </w:rPr>
      </w:pPr>
      <w:bookmarkStart w:id="157" w:name="_Toc225342277"/>
      <w:bookmarkEnd w:id="157"/>
      <w:bookmarkStart w:id="158" w:name="_Toc225342251"/>
      <w:bookmarkEnd w:id="158"/>
      <w:bookmarkStart w:id="159" w:name="_Toc225342258"/>
      <w:bookmarkEnd w:id="159"/>
      <w:bookmarkStart w:id="160" w:name="_Toc225342264"/>
      <w:bookmarkEnd w:id="160"/>
      <w:bookmarkStart w:id="161" w:name="_Toc225342261"/>
      <w:bookmarkEnd w:id="161"/>
      <w:bookmarkStart w:id="162" w:name="_Toc225342273"/>
      <w:bookmarkEnd w:id="162"/>
      <w:bookmarkStart w:id="163" w:name="_Toc225342257"/>
      <w:bookmarkEnd w:id="163"/>
      <w:bookmarkStart w:id="164" w:name="_Toc225342250"/>
      <w:bookmarkEnd w:id="164"/>
      <w:bookmarkStart w:id="165" w:name="_Toc225342252"/>
      <w:bookmarkEnd w:id="165"/>
      <w:bookmarkStart w:id="166" w:name="_Toc225342275"/>
      <w:bookmarkEnd w:id="166"/>
      <w:bookmarkStart w:id="167" w:name="_Toc225342266"/>
      <w:bookmarkEnd w:id="167"/>
      <w:bookmarkStart w:id="168" w:name="_Toc225342272"/>
      <w:bookmarkEnd w:id="168"/>
      <w:bookmarkStart w:id="169" w:name="_Toc225342253"/>
      <w:bookmarkEnd w:id="169"/>
      <w:bookmarkStart w:id="170" w:name="_Toc225342263"/>
      <w:bookmarkEnd w:id="170"/>
      <w:bookmarkStart w:id="171" w:name="_Toc225342260"/>
      <w:bookmarkEnd w:id="171"/>
      <w:bookmarkStart w:id="172" w:name="_Toc225342269"/>
      <w:bookmarkEnd w:id="172"/>
      <w:bookmarkStart w:id="173" w:name="_Toc225342270"/>
      <w:bookmarkEnd w:id="173"/>
      <w:bookmarkStart w:id="174" w:name="_Toc225342274"/>
      <w:bookmarkEnd w:id="174"/>
      <w:bookmarkStart w:id="175" w:name="_Toc225342255"/>
      <w:bookmarkEnd w:id="175"/>
      <w:bookmarkStart w:id="176" w:name="_Toc225342268"/>
      <w:bookmarkEnd w:id="176"/>
      <w:bookmarkStart w:id="177" w:name="_Toc225342256"/>
      <w:bookmarkEnd w:id="177"/>
      <w:bookmarkStart w:id="178" w:name="_Toc225342267"/>
      <w:bookmarkEnd w:id="178"/>
      <w:bookmarkStart w:id="179" w:name="_Toc225342248"/>
      <w:bookmarkEnd w:id="179"/>
      <w:bookmarkStart w:id="180" w:name="_Toc225342254"/>
      <w:bookmarkEnd w:id="180"/>
      <w:bookmarkStart w:id="181" w:name="_Toc225342271"/>
      <w:bookmarkEnd w:id="181"/>
      <w:bookmarkStart w:id="182" w:name="_Toc225342262"/>
      <w:bookmarkEnd w:id="182"/>
      <w:bookmarkStart w:id="183" w:name="_Toc225342276"/>
      <w:bookmarkEnd w:id="183"/>
      <w:bookmarkStart w:id="184" w:name="_Toc225342278"/>
      <w:bookmarkEnd w:id="184"/>
      <w:bookmarkStart w:id="185" w:name="_Toc225342265"/>
      <w:bookmarkEnd w:id="185"/>
      <w:bookmarkStart w:id="186" w:name="_Toc225342279"/>
      <w:bookmarkEnd w:id="186"/>
      <w:bookmarkStart w:id="187" w:name="_Toc225342249"/>
      <w:bookmarkEnd w:id="187"/>
      <w:bookmarkStart w:id="188" w:name="_Toc225342259"/>
      <w:bookmarkEnd w:id="188"/>
      <w:bookmarkStart w:id="189" w:name="_Toc227574858"/>
      <w:bookmarkStart w:id="190" w:name="_Toc220148360"/>
      <w:r>
        <w:rPr>
          <w:rFonts w:hint="eastAsia"/>
          <w:color w:val="auto"/>
        </w:rPr>
        <w:t>构件进场验收</w:t>
      </w:r>
      <w:bookmarkEnd w:id="189"/>
      <w:bookmarkEnd w:id="190"/>
    </w:p>
    <w:p w14:paraId="10C51D54">
      <w:pPr>
        <w:pStyle w:val="121"/>
        <w:ind w:firstLine="0" w:firstLineChars="0"/>
        <w:jc w:val="center"/>
        <w:rPr>
          <w:rFonts w:hint="eastAsia"/>
          <w:b/>
          <w:bCs/>
          <w:color w:val="auto"/>
        </w:rPr>
      </w:pPr>
      <w:r>
        <w:rPr>
          <w:rFonts w:hint="eastAsia"/>
          <w:b/>
          <w:bCs/>
          <w:color w:val="auto"/>
        </w:rPr>
        <w:t>主控项目</w:t>
      </w:r>
    </w:p>
    <w:p w14:paraId="7502D96F">
      <w:pPr>
        <w:pStyle w:val="90"/>
        <w:spacing w:before="156"/>
      </w:pPr>
      <w:r>
        <w:rPr>
          <w:rFonts w:hint="eastAsia"/>
        </w:rPr>
        <w:t>预制构件进场时应检查其质量证明文件。预制构件的质量应符合本规程及国家现行有关标准、设计的规定。</w:t>
      </w:r>
    </w:p>
    <w:p w14:paraId="095C60D4">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37FB4EE7">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检验方法：观察检查、检查出厂合格证及相关质量证明文件。</w:t>
      </w:r>
    </w:p>
    <w:p w14:paraId="3F0EBC00">
      <w:pPr>
        <w:pStyle w:val="90"/>
        <w:spacing w:before="156"/>
      </w:pPr>
      <w:r>
        <w:rPr>
          <w:rFonts w:hint="eastAsia"/>
        </w:rPr>
        <w:t>预制构件进场时，预制构件结构性能检验应符合《装配式混凝土建筑技术标准》GB/T 51231、《混凝土结构工程施工质量验收规范》GB 50204和《预制混凝土构件质量检验标准》DB11/T 968的规定。</w:t>
      </w:r>
    </w:p>
    <w:p w14:paraId="334F1BCD">
      <w:pPr>
        <w:pStyle w:val="90"/>
        <w:spacing w:before="156"/>
      </w:pPr>
      <w:r>
        <w:rPr>
          <w:rFonts w:hint="eastAsia"/>
        </w:rPr>
        <w:t>预制构件的外观质量不应有严重缺陷，且不应有影响结构性能和安装、使用功能的尺寸偏差。</w:t>
      </w:r>
    </w:p>
    <w:p w14:paraId="7CEA4C1B">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43769055">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检验方法：观察，尺量检查；检查处理记录。</w:t>
      </w:r>
    </w:p>
    <w:p w14:paraId="368BF5B4">
      <w:pPr>
        <w:pStyle w:val="121"/>
        <w:ind w:firstLine="0" w:firstLineChars="0"/>
        <w:jc w:val="center"/>
        <w:rPr>
          <w:rFonts w:hint="eastAsia"/>
          <w:b/>
          <w:bCs/>
          <w:color w:val="auto"/>
        </w:rPr>
      </w:pPr>
      <w:r>
        <w:rPr>
          <w:rFonts w:hint="eastAsia"/>
          <w:b/>
          <w:bCs/>
          <w:color w:val="auto"/>
        </w:rPr>
        <w:t>一般项目</w:t>
      </w:r>
    </w:p>
    <w:p w14:paraId="325DD8A7">
      <w:pPr>
        <w:pStyle w:val="90"/>
        <w:spacing w:before="156"/>
      </w:pPr>
      <w:r>
        <w:rPr>
          <w:rFonts w:hint="eastAsia"/>
        </w:rPr>
        <w:t>预制构件的外观质量不应有一般缺陷。</w:t>
      </w:r>
    </w:p>
    <w:p w14:paraId="554D4579">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106F25C0">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检验方法：观察，检查技术处理方案和处理记录。</w:t>
      </w:r>
    </w:p>
    <w:p w14:paraId="1307F4B8">
      <w:pPr>
        <w:pStyle w:val="90"/>
        <w:spacing w:before="156"/>
      </w:pPr>
      <w:r>
        <w:rPr>
          <w:rFonts w:hint="eastAsia"/>
        </w:rPr>
        <w:t>预制构件应在明显部位标明生产单位、构件型号和编号、生产日期和出厂质量验收标志等表面标识。</w:t>
      </w:r>
    </w:p>
    <w:p w14:paraId="3343F2A3">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50C02F1B">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w:t>
      </w:r>
    </w:p>
    <w:p w14:paraId="77DBFB1E">
      <w:pPr>
        <w:pStyle w:val="90"/>
        <w:spacing w:before="156"/>
      </w:pPr>
      <w:r>
        <w:t>预制构件的尺寸偏差应符合表</w:t>
      </w:r>
      <w:r>
        <w:rPr>
          <w:rFonts w:hint="eastAsia"/>
        </w:rPr>
        <w:t>7.2.6</w:t>
      </w:r>
      <w:r>
        <w:t>的规定。</w:t>
      </w:r>
    </w:p>
    <w:p w14:paraId="4D3DA5B5">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检查数量：按同一生产企业、同一品种的构件，不超过100个为一批，每批抽查构件数量的5%，且不少于3件。</w:t>
      </w:r>
    </w:p>
    <w:p w14:paraId="510AFBAD">
      <w:pPr>
        <w:pStyle w:val="127"/>
        <w:rPr>
          <w:color w:val="auto"/>
        </w:rPr>
      </w:pPr>
      <w:r>
        <w:rPr>
          <w:color w:val="auto"/>
        </w:rPr>
        <w:t>表</w:t>
      </w:r>
      <w:r>
        <w:rPr>
          <w:rFonts w:hint="eastAsia"/>
          <w:color w:val="auto"/>
        </w:rPr>
        <w:t xml:space="preserve">7.2.6  </w:t>
      </w:r>
      <w:r>
        <w:rPr>
          <w:bCs w:val="0"/>
          <w:color w:val="auto"/>
          <w:sz w:val="21"/>
        </w:rPr>
        <w:t>预制构件尺寸的允许偏差及检验方法</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63"/>
        <w:gridCol w:w="1073"/>
        <w:gridCol w:w="1980"/>
        <w:gridCol w:w="1603"/>
        <w:gridCol w:w="1941"/>
      </w:tblGrid>
      <w:tr w14:paraId="74E0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4" w:type="dxa"/>
            <w:gridSpan w:val="4"/>
            <w:vAlign w:val="center"/>
          </w:tcPr>
          <w:p w14:paraId="2D65FD68">
            <w:pPr>
              <w:snapToGrid w:val="0"/>
              <w:spacing w:after="0" w:line="300" w:lineRule="auto"/>
              <w:jc w:val="center"/>
              <w:rPr>
                <w:szCs w:val="21"/>
              </w:rPr>
            </w:pPr>
            <w:r>
              <w:rPr>
                <w:szCs w:val="21"/>
              </w:rPr>
              <w:t>项目</w:t>
            </w:r>
          </w:p>
        </w:tc>
        <w:tc>
          <w:tcPr>
            <w:tcW w:w="1603" w:type="dxa"/>
            <w:vAlign w:val="center"/>
          </w:tcPr>
          <w:p w14:paraId="3CB7454A">
            <w:pPr>
              <w:pStyle w:val="127"/>
              <w:spacing w:after="0"/>
              <w:rPr>
                <w:color w:val="auto"/>
                <w:sz w:val="21"/>
              </w:rPr>
            </w:pPr>
            <w:r>
              <w:rPr>
                <w:color w:val="auto"/>
                <w:sz w:val="21"/>
              </w:rPr>
              <w:t>允许偏差（mm）</w:t>
            </w:r>
          </w:p>
        </w:tc>
        <w:tc>
          <w:tcPr>
            <w:tcW w:w="1941" w:type="dxa"/>
            <w:vAlign w:val="center"/>
          </w:tcPr>
          <w:p w14:paraId="5DE9FECC">
            <w:pPr>
              <w:pStyle w:val="127"/>
              <w:spacing w:after="0"/>
              <w:rPr>
                <w:color w:val="auto"/>
                <w:sz w:val="21"/>
              </w:rPr>
            </w:pPr>
            <w:r>
              <w:rPr>
                <w:color w:val="auto"/>
                <w:sz w:val="21"/>
              </w:rPr>
              <w:t>检验方法</w:t>
            </w:r>
          </w:p>
        </w:tc>
      </w:tr>
      <w:tr w14:paraId="6355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restart"/>
            <w:vAlign w:val="center"/>
          </w:tcPr>
          <w:p w14:paraId="6F225A64">
            <w:pPr>
              <w:pStyle w:val="127"/>
              <w:spacing w:after="0"/>
              <w:rPr>
                <w:color w:val="auto"/>
                <w:sz w:val="21"/>
              </w:rPr>
            </w:pPr>
            <w:r>
              <w:rPr>
                <w:color w:val="auto"/>
                <w:sz w:val="21"/>
              </w:rPr>
              <w:t>长度</w:t>
            </w:r>
          </w:p>
        </w:tc>
        <w:tc>
          <w:tcPr>
            <w:tcW w:w="1136" w:type="dxa"/>
            <w:gridSpan w:val="2"/>
            <w:vMerge w:val="restart"/>
            <w:vAlign w:val="center"/>
          </w:tcPr>
          <w:p w14:paraId="13F29475">
            <w:pPr>
              <w:pStyle w:val="127"/>
              <w:spacing w:after="0"/>
              <w:rPr>
                <w:color w:val="auto"/>
                <w:sz w:val="21"/>
              </w:rPr>
            </w:pPr>
            <w:r>
              <w:rPr>
                <w:color w:val="auto"/>
                <w:sz w:val="21"/>
              </w:rPr>
              <w:t>板、梁、柱、桁架</w:t>
            </w:r>
          </w:p>
        </w:tc>
        <w:tc>
          <w:tcPr>
            <w:tcW w:w="1980" w:type="dxa"/>
            <w:vAlign w:val="center"/>
          </w:tcPr>
          <w:p w14:paraId="5C361628">
            <w:pPr>
              <w:pStyle w:val="127"/>
              <w:spacing w:after="0"/>
              <w:rPr>
                <w:color w:val="auto"/>
                <w:sz w:val="21"/>
              </w:rPr>
            </w:pPr>
            <w:r>
              <w:rPr>
                <w:color w:val="auto"/>
                <w:sz w:val="21"/>
              </w:rPr>
              <w:t>＜12m</w:t>
            </w:r>
          </w:p>
        </w:tc>
        <w:tc>
          <w:tcPr>
            <w:tcW w:w="1603" w:type="dxa"/>
            <w:vAlign w:val="center"/>
          </w:tcPr>
          <w:p w14:paraId="21FCEB94">
            <w:pPr>
              <w:pStyle w:val="127"/>
              <w:spacing w:after="0"/>
              <w:rPr>
                <w:color w:val="auto"/>
                <w:sz w:val="21"/>
              </w:rPr>
            </w:pPr>
            <w:r>
              <w:rPr>
                <w:color w:val="auto"/>
                <w:sz w:val="21"/>
              </w:rPr>
              <w:t>±5</w:t>
            </w:r>
          </w:p>
        </w:tc>
        <w:tc>
          <w:tcPr>
            <w:tcW w:w="1941" w:type="dxa"/>
            <w:vMerge w:val="restart"/>
            <w:vAlign w:val="center"/>
          </w:tcPr>
          <w:p w14:paraId="7EE64795">
            <w:pPr>
              <w:pStyle w:val="127"/>
              <w:spacing w:after="0"/>
              <w:rPr>
                <w:color w:val="auto"/>
                <w:sz w:val="21"/>
              </w:rPr>
            </w:pPr>
            <w:r>
              <w:rPr>
                <w:color w:val="auto"/>
                <w:sz w:val="21"/>
              </w:rPr>
              <w:t>尺量检查</w:t>
            </w:r>
          </w:p>
        </w:tc>
      </w:tr>
      <w:tr w14:paraId="19A6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continue"/>
            <w:vAlign w:val="center"/>
          </w:tcPr>
          <w:p w14:paraId="51414CD6">
            <w:pPr>
              <w:pStyle w:val="127"/>
              <w:spacing w:after="0"/>
              <w:rPr>
                <w:color w:val="auto"/>
                <w:sz w:val="21"/>
              </w:rPr>
            </w:pPr>
          </w:p>
        </w:tc>
        <w:tc>
          <w:tcPr>
            <w:tcW w:w="1136" w:type="dxa"/>
            <w:gridSpan w:val="2"/>
            <w:vMerge w:val="continue"/>
            <w:vAlign w:val="center"/>
          </w:tcPr>
          <w:p w14:paraId="512DA0AE">
            <w:pPr>
              <w:pStyle w:val="127"/>
              <w:spacing w:after="0"/>
              <w:rPr>
                <w:color w:val="auto"/>
                <w:sz w:val="21"/>
              </w:rPr>
            </w:pPr>
          </w:p>
        </w:tc>
        <w:tc>
          <w:tcPr>
            <w:tcW w:w="1980" w:type="dxa"/>
            <w:vAlign w:val="center"/>
          </w:tcPr>
          <w:p w14:paraId="5E7A257A">
            <w:pPr>
              <w:pStyle w:val="127"/>
              <w:spacing w:after="0"/>
              <w:rPr>
                <w:color w:val="auto"/>
                <w:sz w:val="21"/>
              </w:rPr>
            </w:pPr>
            <w:r>
              <w:rPr>
                <w:color w:val="auto"/>
                <w:sz w:val="21"/>
              </w:rPr>
              <w:t>≥12m且＜18m</w:t>
            </w:r>
          </w:p>
        </w:tc>
        <w:tc>
          <w:tcPr>
            <w:tcW w:w="1603" w:type="dxa"/>
            <w:vAlign w:val="center"/>
          </w:tcPr>
          <w:p w14:paraId="0EFC933D">
            <w:pPr>
              <w:pStyle w:val="127"/>
              <w:spacing w:after="0"/>
              <w:rPr>
                <w:color w:val="auto"/>
                <w:sz w:val="21"/>
              </w:rPr>
            </w:pPr>
            <w:r>
              <w:rPr>
                <w:color w:val="auto"/>
                <w:sz w:val="21"/>
              </w:rPr>
              <w:t>±10</w:t>
            </w:r>
          </w:p>
        </w:tc>
        <w:tc>
          <w:tcPr>
            <w:tcW w:w="1941" w:type="dxa"/>
            <w:vMerge w:val="continue"/>
            <w:vAlign w:val="center"/>
          </w:tcPr>
          <w:p w14:paraId="0AA93D71">
            <w:pPr>
              <w:pStyle w:val="127"/>
              <w:spacing w:after="0"/>
              <w:rPr>
                <w:color w:val="auto"/>
                <w:sz w:val="21"/>
              </w:rPr>
            </w:pPr>
          </w:p>
        </w:tc>
      </w:tr>
      <w:tr w14:paraId="2FB1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continue"/>
            <w:vAlign w:val="center"/>
          </w:tcPr>
          <w:p w14:paraId="2E2B739B">
            <w:pPr>
              <w:pStyle w:val="127"/>
              <w:spacing w:after="0"/>
              <w:rPr>
                <w:color w:val="auto"/>
                <w:sz w:val="21"/>
              </w:rPr>
            </w:pPr>
          </w:p>
        </w:tc>
        <w:tc>
          <w:tcPr>
            <w:tcW w:w="1136" w:type="dxa"/>
            <w:gridSpan w:val="2"/>
            <w:vMerge w:val="continue"/>
            <w:vAlign w:val="center"/>
          </w:tcPr>
          <w:p w14:paraId="53FEC98A">
            <w:pPr>
              <w:pStyle w:val="127"/>
              <w:spacing w:after="0"/>
              <w:rPr>
                <w:color w:val="auto"/>
                <w:sz w:val="21"/>
              </w:rPr>
            </w:pPr>
          </w:p>
        </w:tc>
        <w:tc>
          <w:tcPr>
            <w:tcW w:w="1980" w:type="dxa"/>
            <w:vAlign w:val="center"/>
          </w:tcPr>
          <w:p w14:paraId="708690DE">
            <w:pPr>
              <w:pStyle w:val="127"/>
              <w:spacing w:after="0"/>
              <w:rPr>
                <w:color w:val="auto"/>
                <w:sz w:val="21"/>
              </w:rPr>
            </w:pPr>
            <w:r>
              <w:rPr>
                <w:color w:val="auto"/>
                <w:sz w:val="21"/>
              </w:rPr>
              <w:t>≥18m</w:t>
            </w:r>
          </w:p>
        </w:tc>
        <w:tc>
          <w:tcPr>
            <w:tcW w:w="1603" w:type="dxa"/>
            <w:vAlign w:val="center"/>
          </w:tcPr>
          <w:p w14:paraId="75707767">
            <w:pPr>
              <w:pStyle w:val="127"/>
              <w:spacing w:after="0"/>
              <w:rPr>
                <w:color w:val="auto"/>
                <w:sz w:val="21"/>
              </w:rPr>
            </w:pPr>
            <w:r>
              <w:rPr>
                <w:color w:val="auto"/>
                <w:sz w:val="21"/>
              </w:rPr>
              <w:t>±20</w:t>
            </w:r>
          </w:p>
        </w:tc>
        <w:tc>
          <w:tcPr>
            <w:tcW w:w="1941" w:type="dxa"/>
            <w:vMerge w:val="continue"/>
            <w:vAlign w:val="center"/>
          </w:tcPr>
          <w:p w14:paraId="76A193D7">
            <w:pPr>
              <w:pStyle w:val="127"/>
              <w:spacing w:after="0"/>
              <w:rPr>
                <w:color w:val="auto"/>
                <w:sz w:val="21"/>
              </w:rPr>
            </w:pPr>
          </w:p>
        </w:tc>
      </w:tr>
      <w:tr w14:paraId="1B3B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Align w:val="center"/>
          </w:tcPr>
          <w:p w14:paraId="49C107E6">
            <w:pPr>
              <w:pStyle w:val="127"/>
              <w:spacing w:after="0"/>
              <w:rPr>
                <w:color w:val="auto"/>
                <w:sz w:val="21"/>
              </w:rPr>
            </w:pPr>
            <w:r>
              <w:rPr>
                <w:color w:val="auto"/>
                <w:sz w:val="21"/>
              </w:rPr>
              <w:t>宽度、高（厚）度</w:t>
            </w:r>
          </w:p>
        </w:tc>
        <w:tc>
          <w:tcPr>
            <w:tcW w:w="3116" w:type="dxa"/>
            <w:gridSpan w:val="3"/>
            <w:vAlign w:val="center"/>
          </w:tcPr>
          <w:p w14:paraId="0D58D4D4">
            <w:pPr>
              <w:pStyle w:val="127"/>
              <w:spacing w:after="0"/>
              <w:rPr>
                <w:color w:val="auto"/>
                <w:sz w:val="21"/>
              </w:rPr>
            </w:pPr>
            <w:r>
              <w:rPr>
                <w:color w:val="auto"/>
                <w:sz w:val="21"/>
              </w:rPr>
              <w:t>板、梁、柱、桁架</w:t>
            </w:r>
          </w:p>
        </w:tc>
        <w:tc>
          <w:tcPr>
            <w:tcW w:w="1603" w:type="dxa"/>
            <w:vAlign w:val="center"/>
          </w:tcPr>
          <w:p w14:paraId="23E98D6D">
            <w:pPr>
              <w:pStyle w:val="127"/>
              <w:spacing w:after="0"/>
              <w:rPr>
                <w:color w:val="auto"/>
                <w:sz w:val="21"/>
              </w:rPr>
            </w:pPr>
            <w:r>
              <w:rPr>
                <w:color w:val="auto"/>
                <w:sz w:val="21"/>
              </w:rPr>
              <w:t>±5</w:t>
            </w:r>
          </w:p>
        </w:tc>
        <w:tc>
          <w:tcPr>
            <w:tcW w:w="1941" w:type="dxa"/>
            <w:vAlign w:val="center"/>
          </w:tcPr>
          <w:p w14:paraId="51E36238">
            <w:pPr>
              <w:pStyle w:val="127"/>
              <w:spacing w:after="0"/>
              <w:rPr>
                <w:color w:val="auto"/>
                <w:sz w:val="21"/>
              </w:rPr>
            </w:pPr>
            <w:r>
              <w:rPr>
                <w:color w:val="auto"/>
                <w:sz w:val="21"/>
              </w:rPr>
              <w:t>钢尺量一端及中部，取其中偏差绝对值较大处</w:t>
            </w:r>
          </w:p>
        </w:tc>
      </w:tr>
      <w:tr w14:paraId="0A58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Align w:val="center"/>
          </w:tcPr>
          <w:p w14:paraId="6037E7E2">
            <w:pPr>
              <w:pStyle w:val="127"/>
              <w:spacing w:after="0"/>
              <w:rPr>
                <w:color w:val="auto"/>
                <w:sz w:val="21"/>
              </w:rPr>
            </w:pPr>
            <w:r>
              <w:rPr>
                <w:color w:val="auto"/>
                <w:sz w:val="21"/>
              </w:rPr>
              <w:t>表面平整度</w:t>
            </w:r>
          </w:p>
        </w:tc>
        <w:tc>
          <w:tcPr>
            <w:tcW w:w="3116" w:type="dxa"/>
            <w:gridSpan w:val="3"/>
            <w:vAlign w:val="center"/>
          </w:tcPr>
          <w:p w14:paraId="5BC7C4F5">
            <w:pPr>
              <w:pStyle w:val="127"/>
              <w:spacing w:after="0"/>
              <w:rPr>
                <w:color w:val="auto"/>
                <w:sz w:val="21"/>
              </w:rPr>
            </w:pPr>
            <w:r>
              <w:rPr>
                <w:color w:val="auto"/>
                <w:sz w:val="21"/>
              </w:rPr>
              <w:t>板、梁、柱表面</w:t>
            </w:r>
          </w:p>
        </w:tc>
        <w:tc>
          <w:tcPr>
            <w:tcW w:w="1603" w:type="dxa"/>
            <w:vAlign w:val="center"/>
          </w:tcPr>
          <w:p w14:paraId="19DBCE83">
            <w:pPr>
              <w:pStyle w:val="127"/>
              <w:spacing w:after="0"/>
              <w:rPr>
                <w:color w:val="auto"/>
                <w:sz w:val="21"/>
              </w:rPr>
            </w:pPr>
            <w:r>
              <w:rPr>
                <w:color w:val="auto"/>
                <w:sz w:val="21"/>
              </w:rPr>
              <w:t>≤4</w:t>
            </w:r>
          </w:p>
        </w:tc>
        <w:tc>
          <w:tcPr>
            <w:tcW w:w="1941" w:type="dxa"/>
            <w:vAlign w:val="center"/>
          </w:tcPr>
          <w:p w14:paraId="208E3376">
            <w:pPr>
              <w:pStyle w:val="127"/>
              <w:spacing w:after="0"/>
              <w:rPr>
                <w:color w:val="auto"/>
                <w:sz w:val="21"/>
              </w:rPr>
            </w:pPr>
            <w:r>
              <w:rPr>
                <w:color w:val="auto"/>
                <w:sz w:val="21"/>
              </w:rPr>
              <w:t>2m靠尺和塞尺检查</w:t>
            </w:r>
          </w:p>
        </w:tc>
      </w:tr>
      <w:tr w14:paraId="219C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restart"/>
            <w:vAlign w:val="center"/>
          </w:tcPr>
          <w:p w14:paraId="10BD3DFB">
            <w:pPr>
              <w:pStyle w:val="127"/>
              <w:spacing w:after="0"/>
              <w:rPr>
                <w:color w:val="auto"/>
                <w:sz w:val="21"/>
              </w:rPr>
            </w:pPr>
            <w:r>
              <w:rPr>
                <w:color w:val="auto"/>
                <w:sz w:val="21"/>
              </w:rPr>
              <w:t>侧向弯曲</w:t>
            </w:r>
          </w:p>
        </w:tc>
        <w:tc>
          <w:tcPr>
            <w:tcW w:w="3116" w:type="dxa"/>
            <w:gridSpan w:val="3"/>
            <w:vAlign w:val="center"/>
          </w:tcPr>
          <w:p w14:paraId="46FF71A4">
            <w:pPr>
              <w:pStyle w:val="127"/>
              <w:spacing w:after="0"/>
              <w:rPr>
                <w:color w:val="auto"/>
                <w:sz w:val="21"/>
              </w:rPr>
            </w:pPr>
            <w:r>
              <w:rPr>
                <w:color w:val="auto"/>
                <w:sz w:val="21"/>
              </w:rPr>
              <w:t>板、梁、柱</w:t>
            </w:r>
          </w:p>
        </w:tc>
        <w:tc>
          <w:tcPr>
            <w:tcW w:w="1603" w:type="dxa"/>
            <w:vAlign w:val="center"/>
          </w:tcPr>
          <w:p w14:paraId="50B787E7">
            <w:pPr>
              <w:pStyle w:val="127"/>
              <w:spacing w:after="0"/>
              <w:rPr>
                <w:color w:val="auto"/>
                <w:sz w:val="21"/>
              </w:rPr>
            </w:pPr>
            <w:r>
              <w:rPr>
                <w:color w:val="auto"/>
                <w:sz w:val="21"/>
              </w:rPr>
              <w:t>l/750且≤20</w:t>
            </w:r>
          </w:p>
        </w:tc>
        <w:tc>
          <w:tcPr>
            <w:tcW w:w="1941" w:type="dxa"/>
            <w:vMerge w:val="restart"/>
            <w:vAlign w:val="center"/>
          </w:tcPr>
          <w:p w14:paraId="2BE59544">
            <w:pPr>
              <w:pStyle w:val="127"/>
              <w:spacing w:after="0"/>
              <w:rPr>
                <w:color w:val="auto"/>
                <w:sz w:val="21"/>
              </w:rPr>
            </w:pPr>
            <w:r>
              <w:rPr>
                <w:color w:val="auto"/>
                <w:sz w:val="21"/>
              </w:rPr>
              <w:t>拉线、钢尺量最大侧向弯曲处</w:t>
            </w:r>
          </w:p>
        </w:tc>
      </w:tr>
      <w:tr w14:paraId="2590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continue"/>
            <w:vAlign w:val="center"/>
          </w:tcPr>
          <w:p w14:paraId="7D3F9C2F">
            <w:pPr>
              <w:pStyle w:val="127"/>
              <w:spacing w:after="0"/>
              <w:rPr>
                <w:color w:val="auto"/>
                <w:sz w:val="21"/>
              </w:rPr>
            </w:pPr>
          </w:p>
        </w:tc>
        <w:tc>
          <w:tcPr>
            <w:tcW w:w="3116" w:type="dxa"/>
            <w:gridSpan w:val="3"/>
            <w:vAlign w:val="center"/>
          </w:tcPr>
          <w:p w14:paraId="0C57BB7A">
            <w:pPr>
              <w:pStyle w:val="127"/>
              <w:spacing w:after="0"/>
              <w:rPr>
                <w:color w:val="auto"/>
                <w:sz w:val="21"/>
              </w:rPr>
            </w:pPr>
            <w:r>
              <w:rPr>
                <w:color w:val="auto"/>
                <w:sz w:val="21"/>
              </w:rPr>
              <w:t>桁架</w:t>
            </w:r>
          </w:p>
        </w:tc>
        <w:tc>
          <w:tcPr>
            <w:tcW w:w="1603" w:type="dxa"/>
            <w:vAlign w:val="center"/>
          </w:tcPr>
          <w:p w14:paraId="1CBFE94D">
            <w:pPr>
              <w:pStyle w:val="127"/>
              <w:spacing w:after="0"/>
              <w:rPr>
                <w:color w:val="auto"/>
                <w:sz w:val="21"/>
              </w:rPr>
            </w:pPr>
            <w:r>
              <w:rPr>
                <w:color w:val="auto"/>
                <w:sz w:val="21"/>
              </w:rPr>
              <w:t>l/1000且≤20</w:t>
            </w:r>
          </w:p>
        </w:tc>
        <w:tc>
          <w:tcPr>
            <w:tcW w:w="1941" w:type="dxa"/>
            <w:vMerge w:val="continue"/>
            <w:vAlign w:val="center"/>
          </w:tcPr>
          <w:p w14:paraId="0965E85F">
            <w:pPr>
              <w:pStyle w:val="127"/>
              <w:spacing w:after="0"/>
              <w:rPr>
                <w:color w:val="auto"/>
                <w:sz w:val="21"/>
              </w:rPr>
            </w:pPr>
          </w:p>
        </w:tc>
      </w:tr>
      <w:tr w14:paraId="23E9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Align w:val="center"/>
          </w:tcPr>
          <w:p w14:paraId="2989ED88">
            <w:pPr>
              <w:pStyle w:val="127"/>
              <w:spacing w:after="0"/>
              <w:rPr>
                <w:color w:val="auto"/>
                <w:sz w:val="21"/>
              </w:rPr>
            </w:pPr>
            <w:r>
              <w:rPr>
                <w:color w:val="auto"/>
                <w:sz w:val="21"/>
              </w:rPr>
              <w:t>扭翘</w:t>
            </w:r>
          </w:p>
        </w:tc>
        <w:tc>
          <w:tcPr>
            <w:tcW w:w="3116" w:type="dxa"/>
            <w:gridSpan w:val="3"/>
            <w:vAlign w:val="center"/>
          </w:tcPr>
          <w:p w14:paraId="2B6A3FDE">
            <w:pPr>
              <w:pStyle w:val="127"/>
              <w:spacing w:after="0"/>
              <w:rPr>
                <w:color w:val="auto"/>
                <w:sz w:val="21"/>
              </w:rPr>
            </w:pPr>
            <w:r>
              <w:rPr>
                <w:color w:val="auto"/>
                <w:sz w:val="21"/>
              </w:rPr>
              <w:t>板</w:t>
            </w:r>
          </w:p>
        </w:tc>
        <w:tc>
          <w:tcPr>
            <w:tcW w:w="1603" w:type="dxa"/>
            <w:vAlign w:val="center"/>
          </w:tcPr>
          <w:p w14:paraId="2620E9BD">
            <w:pPr>
              <w:pStyle w:val="127"/>
              <w:spacing w:after="0"/>
              <w:rPr>
                <w:color w:val="auto"/>
                <w:sz w:val="21"/>
              </w:rPr>
            </w:pPr>
            <w:r>
              <w:rPr>
                <w:color w:val="auto"/>
                <w:sz w:val="21"/>
              </w:rPr>
              <w:t>l/750且≤20</w:t>
            </w:r>
          </w:p>
        </w:tc>
        <w:tc>
          <w:tcPr>
            <w:tcW w:w="1941" w:type="dxa"/>
            <w:vAlign w:val="center"/>
          </w:tcPr>
          <w:p w14:paraId="57B3B314">
            <w:pPr>
              <w:pStyle w:val="127"/>
              <w:spacing w:after="0"/>
              <w:rPr>
                <w:color w:val="auto"/>
                <w:sz w:val="21"/>
              </w:rPr>
            </w:pPr>
            <w:r>
              <w:rPr>
                <w:color w:val="auto"/>
                <w:sz w:val="21"/>
              </w:rPr>
              <w:t>调平尺在两端量测</w:t>
            </w:r>
          </w:p>
        </w:tc>
      </w:tr>
      <w:tr w14:paraId="7B34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Align w:val="center"/>
          </w:tcPr>
          <w:p w14:paraId="5E839AC3">
            <w:pPr>
              <w:pStyle w:val="127"/>
              <w:spacing w:after="0"/>
              <w:rPr>
                <w:color w:val="auto"/>
                <w:sz w:val="21"/>
              </w:rPr>
            </w:pPr>
            <w:r>
              <w:rPr>
                <w:color w:val="auto"/>
                <w:sz w:val="21"/>
              </w:rPr>
              <w:t>对角线差</w:t>
            </w:r>
          </w:p>
        </w:tc>
        <w:tc>
          <w:tcPr>
            <w:tcW w:w="3116" w:type="dxa"/>
            <w:gridSpan w:val="3"/>
            <w:vAlign w:val="center"/>
          </w:tcPr>
          <w:p w14:paraId="79D520C6">
            <w:pPr>
              <w:pStyle w:val="127"/>
              <w:spacing w:after="0"/>
              <w:rPr>
                <w:color w:val="auto"/>
                <w:sz w:val="21"/>
              </w:rPr>
            </w:pPr>
            <w:r>
              <w:rPr>
                <w:color w:val="auto"/>
                <w:sz w:val="21"/>
              </w:rPr>
              <w:t>板</w:t>
            </w:r>
          </w:p>
        </w:tc>
        <w:tc>
          <w:tcPr>
            <w:tcW w:w="1603" w:type="dxa"/>
            <w:vAlign w:val="center"/>
          </w:tcPr>
          <w:p w14:paraId="00574864">
            <w:pPr>
              <w:pStyle w:val="127"/>
              <w:spacing w:after="0"/>
              <w:rPr>
                <w:color w:val="auto"/>
                <w:sz w:val="21"/>
              </w:rPr>
            </w:pPr>
            <w:r>
              <w:rPr>
                <w:color w:val="auto"/>
                <w:sz w:val="21"/>
              </w:rPr>
              <w:t>≤6</w:t>
            </w:r>
          </w:p>
        </w:tc>
        <w:tc>
          <w:tcPr>
            <w:tcW w:w="1941" w:type="dxa"/>
            <w:vAlign w:val="center"/>
          </w:tcPr>
          <w:p w14:paraId="2F80CC91">
            <w:pPr>
              <w:pStyle w:val="127"/>
              <w:spacing w:after="0"/>
              <w:rPr>
                <w:color w:val="auto"/>
                <w:sz w:val="21"/>
              </w:rPr>
            </w:pPr>
            <w:r>
              <w:rPr>
                <w:color w:val="auto"/>
                <w:sz w:val="21"/>
              </w:rPr>
              <w:t>钢尺量两个对角线</w:t>
            </w:r>
          </w:p>
        </w:tc>
      </w:tr>
      <w:tr w14:paraId="228A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restart"/>
            <w:vAlign w:val="center"/>
          </w:tcPr>
          <w:p w14:paraId="2CC11667">
            <w:pPr>
              <w:pStyle w:val="127"/>
              <w:spacing w:after="0"/>
              <w:rPr>
                <w:color w:val="auto"/>
                <w:sz w:val="21"/>
              </w:rPr>
            </w:pPr>
            <w:r>
              <w:rPr>
                <w:color w:val="auto"/>
                <w:sz w:val="21"/>
              </w:rPr>
              <w:t>预留孔</w:t>
            </w:r>
          </w:p>
        </w:tc>
        <w:tc>
          <w:tcPr>
            <w:tcW w:w="3116" w:type="dxa"/>
            <w:gridSpan w:val="3"/>
            <w:vAlign w:val="center"/>
          </w:tcPr>
          <w:p w14:paraId="06854B75">
            <w:pPr>
              <w:pStyle w:val="127"/>
              <w:spacing w:after="0"/>
              <w:rPr>
                <w:color w:val="auto"/>
                <w:sz w:val="21"/>
              </w:rPr>
            </w:pPr>
            <w:r>
              <w:rPr>
                <w:color w:val="auto"/>
                <w:sz w:val="21"/>
              </w:rPr>
              <w:t>中心线位置</w:t>
            </w:r>
          </w:p>
        </w:tc>
        <w:tc>
          <w:tcPr>
            <w:tcW w:w="1603" w:type="dxa"/>
            <w:vAlign w:val="center"/>
          </w:tcPr>
          <w:p w14:paraId="42AC7968">
            <w:pPr>
              <w:pStyle w:val="127"/>
              <w:spacing w:after="0"/>
              <w:rPr>
                <w:color w:val="auto"/>
                <w:sz w:val="21"/>
              </w:rPr>
            </w:pPr>
            <w:r>
              <w:rPr>
                <w:color w:val="auto"/>
                <w:sz w:val="21"/>
              </w:rPr>
              <w:t>≤5</w:t>
            </w:r>
          </w:p>
        </w:tc>
        <w:tc>
          <w:tcPr>
            <w:tcW w:w="1941" w:type="dxa"/>
            <w:vMerge w:val="restart"/>
            <w:vAlign w:val="center"/>
          </w:tcPr>
          <w:p w14:paraId="6DBA6392">
            <w:pPr>
              <w:pStyle w:val="127"/>
              <w:spacing w:after="0"/>
              <w:rPr>
                <w:color w:val="auto"/>
                <w:sz w:val="21"/>
              </w:rPr>
            </w:pPr>
            <w:r>
              <w:rPr>
                <w:color w:val="auto"/>
                <w:sz w:val="21"/>
              </w:rPr>
              <w:t>尺量检查</w:t>
            </w:r>
          </w:p>
        </w:tc>
      </w:tr>
      <w:tr w14:paraId="1440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continue"/>
            <w:vAlign w:val="center"/>
          </w:tcPr>
          <w:p w14:paraId="3F3E263F">
            <w:pPr>
              <w:pStyle w:val="127"/>
              <w:spacing w:after="0"/>
              <w:rPr>
                <w:color w:val="auto"/>
                <w:sz w:val="21"/>
              </w:rPr>
            </w:pPr>
          </w:p>
        </w:tc>
        <w:tc>
          <w:tcPr>
            <w:tcW w:w="3116" w:type="dxa"/>
            <w:gridSpan w:val="3"/>
            <w:vAlign w:val="center"/>
          </w:tcPr>
          <w:p w14:paraId="4E4E07DE">
            <w:pPr>
              <w:pStyle w:val="127"/>
              <w:spacing w:after="0"/>
              <w:rPr>
                <w:color w:val="auto"/>
                <w:sz w:val="21"/>
              </w:rPr>
            </w:pPr>
            <w:r>
              <w:rPr>
                <w:color w:val="auto"/>
                <w:sz w:val="21"/>
              </w:rPr>
              <w:t>孔尺寸</w:t>
            </w:r>
          </w:p>
        </w:tc>
        <w:tc>
          <w:tcPr>
            <w:tcW w:w="1603" w:type="dxa"/>
            <w:vAlign w:val="center"/>
          </w:tcPr>
          <w:p w14:paraId="2290A658">
            <w:pPr>
              <w:pStyle w:val="127"/>
              <w:spacing w:after="0"/>
              <w:rPr>
                <w:color w:val="auto"/>
                <w:sz w:val="21"/>
              </w:rPr>
            </w:pPr>
            <w:r>
              <w:rPr>
                <w:color w:val="auto"/>
                <w:sz w:val="21"/>
              </w:rPr>
              <w:t>±5</w:t>
            </w:r>
          </w:p>
        </w:tc>
        <w:tc>
          <w:tcPr>
            <w:tcW w:w="1941" w:type="dxa"/>
            <w:vMerge w:val="continue"/>
            <w:vAlign w:val="center"/>
          </w:tcPr>
          <w:p w14:paraId="224A3784">
            <w:pPr>
              <w:pStyle w:val="127"/>
              <w:spacing w:after="0"/>
              <w:rPr>
                <w:color w:val="auto"/>
                <w:sz w:val="21"/>
              </w:rPr>
            </w:pPr>
          </w:p>
        </w:tc>
      </w:tr>
      <w:tr w14:paraId="4709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restart"/>
            <w:vAlign w:val="center"/>
          </w:tcPr>
          <w:p w14:paraId="0AEC0A87">
            <w:pPr>
              <w:pStyle w:val="127"/>
              <w:spacing w:after="0"/>
              <w:rPr>
                <w:color w:val="auto"/>
                <w:sz w:val="21"/>
              </w:rPr>
            </w:pPr>
            <w:r>
              <w:rPr>
                <w:color w:val="auto"/>
                <w:sz w:val="21"/>
              </w:rPr>
              <w:t>预留洞</w:t>
            </w:r>
          </w:p>
        </w:tc>
        <w:tc>
          <w:tcPr>
            <w:tcW w:w="3116" w:type="dxa"/>
            <w:gridSpan w:val="3"/>
            <w:vAlign w:val="center"/>
          </w:tcPr>
          <w:p w14:paraId="1C5CA341">
            <w:pPr>
              <w:pStyle w:val="127"/>
              <w:spacing w:after="0"/>
              <w:rPr>
                <w:color w:val="auto"/>
                <w:sz w:val="21"/>
              </w:rPr>
            </w:pPr>
            <w:r>
              <w:rPr>
                <w:color w:val="auto"/>
                <w:sz w:val="21"/>
              </w:rPr>
              <w:t>中心线位置</w:t>
            </w:r>
          </w:p>
        </w:tc>
        <w:tc>
          <w:tcPr>
            <w:tcW w:w="1603" w:type="dxa"/>
            <w:vAlign w:val="center"/>
          </w:tcPr>
          <w:p w14:paraId="28EFAFA9">
            <w:pPr>
              <w:pStyle w:val="127"/>
              <w:spacing w:after="0"/>
              <w:rPr>
                <w:color w:val="auto"/>
                <w:sz w:val="21"/>
              </w:rPr>
            </w:pPr>
            <w:r>
              <w:rPr>
                <w:color w:val="auto"/>
                <w:sz w:val="21"/>
              </w:rPr>
              <w:t>≤</w:t>
            </w:r>
            <w:r>
              <w:rPr>
                <w:rFonts w:hint="eastAsia"/>
                <w:color w:val="auto"/>
                <w:sz w:val="21"/>
              </w:rPr>
              <w:t>5</w:t>
            </w:r>
          </w:p>
        </w:tc>
        <w:tc>
          <w:tcPr>
            <w:tcW w:w="1941" w:type="dxa"/>
            <w:vMerge w:val="restart"/>
            <w:vAlign w:val="center"/>
          </w:tcPr>
          <w:p w14:paraId="0E329EF8">
            <w:pPr>
              <w:pStyle w:val="127"/>
              <w:spacing w:after="0"/>
              <w:rPr>
                <w:color w:val="auto"/>
                <w:sz w:val="21"/>
              </w:rPr>
            </w:pPr>
            <w:r>
              <w:rPr>
                <w:color w:val="auto"/>
                <w:sz w:val="21"/>
              </w:rPr>
              <w:t>尺量检查</w:t>
            </w:r>
          </w:p>
        </w:tc>
      </w:tr>
      <w:tr w14:paraId="0227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continue"/>
            <w:vAlign w:val="center"/>
          </w:tcPr>
          <w:p w14:paraId="4A3E2087">
            <w:pPr>
              <w:pStyle w:val="127"/>
              <w:spacing w:after="0"/>
              <w:rPr>
                <w:color w:val="auto"/>
                <w:sz w:val="21"/>
              </w:rPr>
            </w:pPr>
          </w:p>
        </w:tc>
        <w:tc>
          <w:tcPr>
            <w:tcW w:w="3116" w:type="dxa"/>
            <w:gridSpan w:val="3"/>
            <w:vAlign w:val="center"/>
          </w:tcPr>
          <w:p w14:paraId="4C72C2BE">
            <w:pPr>
              <w:pStyle w:val="127"/>
              <w:spacing w:after="0"/>
              <w:rPr>
                <w:color w:val="auto"/>
                <w:sz w:val="21"/>
              </w:rPr>
            </w:pPr>
            <w:r>
              <w:rPr>
                <w:color w:val="auto"/>
                <w:sz w:val="21"/>
              </w:rPr>
              <w:t>洞口尺寸</w:t>
            </w:r>
          </w:p>
        </w:tc>
        <w:tc>
          <w:tcPr>
            <w:tcW w:w="1603" w:type="dxa"/>
            <w:vAlign w:val="center"/>
          </w:tcPr>
          <w:p w14:paraId="69A5DBD9">
            <w:pPr>
              <w:pStyle w:val="127"/>
              <w:spacing w:after="0"/>
              <w:rPr>
                <w:color w:val="auto"/>
                <w:sz w:val="21"/>
              </w:rPr>
            </w:pPr>
            <w:r>
              <w:rPr>
                <w:color w:val="auto"/>
                <w:sz w:val="21"/>
              </w:rPr>
              <w:t>±</w:t>
            </w:r>
            <w:r>
              <w:rPr>
                <w:rFonts w:hint="eastAsia"/>
                <w:color w:val="auto"/>
                <w:sz w:val="21"/>
              </w:rPr>
              <w:t>5</w:t>
            </w:r>
          </w:p>
        </w:tc>
        <w:tc>
          <w:tcPr>
            <w:tcW w:w="1941" w:type="dxa"/>
            <w:vMerge w:val="continue"/>
            <w:vAlign w:val="center"/>
          </w:tcPr>
          <w:p w14:paraId="1AEFF218">
            <w:pPr>
              <w:pStyle w:val="127"/>
              <w:spacing w:after="0"/>
              <w:rPr>
                <w:color w:val="auto"/>
                <w:sz w:val="21"/>
              </w:rPr>
            </w:pPr>
          </w:p>
        </w:tc>
      </w:tr>
      <w:tr w14:paraId="64F2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restart"/>
            <w:vAlign w:val="center"/>
          </w:tcPr>
          <w:p w14:paraId="383C8C78">
            <w:pPr>
              <w:pStyle w:val="127"/>
              <w:spacing w:after="0"/>
              <w:rPr>
                <w:color w:val="auto"/>
                <w:sz w:val="21"/>
              </w:rPr>
            </w:pPr>
            <w:r>
              <w:rPr>
                <w:color w:val="auto"/>
                <w:sz w:val="21"/>
              </w:rPr>
              <w:t>预埋件</w:t>
            </w:r>
          </w:p>
        </w:tc>
        <w:tc>
          <w:tcPr>
            <w:tcW w:w="3116" w:type="dxa"/>
            <w:gridSpan w:val="3"/>
            <w:vAlign w:val="center"/>
          </w:tcPr>
          <w:p w14:paraId="05E5BBEE">
            <w:pPr>
              <w:pStyle w:val="127"/>
              <w:spacing w:after="0"/>
              <w:rPr>
                <w:color w:val="auto"/>
                <w:sz w:val="21"/>
              </w:rPr>
            </w:pPr>
            <w:r>
              <w:rPr>
                <w:color w:val="auto"/>
                <w:sz w:val="21"/>
              </w:rPr>
              <w:t>预埋板中心线位置</w:t>
            </w:r>
          </w:p>
        </w:tc>
        <w:tc>
          <w:tcPr>
            <w:tcW w:w="1603" w:type="dxa"/>
            <w:vAlign w:val="center"/>
          </w:tcPr>
          <w:p w14:paraId="596745E4">
            <w:pPr>
              <w:pStyle w:val="127"/>
              <w:spacing w:after="0"/>
              <w:rPr>
                <w:color w:val="auto"/>
                <w:sz w:val="21"/>
              </w:rPr>
            </w:pPr>
            <w:r>
              <w:rPr>
                <w:color w:val="auto"/>
                <w:sz w:val="21"/>
              </w:rPr>
              <w:t>≤5</w:t>
            </w:r>
          </w:p>
        </w:tc>
        <w:tc>
          <w:tcPr>
            <w:tcW w:w="1941" w:type="dxa"/>
            <w:vMerge w:val="restart"/>
            <w:vAlign w:val="center"/>
          </w:tcPr>
          <w:p w14:paraId="69F13104">
            <w:pPr>
              <w:pStyle w:val="127"/>
              <w:spacing w:after="0"/>
              <w:rPr>
                <w:color w:val="auto"/>
                <w:sz w:val="21"/>
              </w:rPr>
            </w:pPr>
            <w:r>
              <w:rPr>
                <w:color w:val="auto"/>
                <w:sz w:val="21"/>
              </w:rPr>
              <w:t>尺量检查</w:t>
            </w:r>
          </w:p>
        </w:tc>
      </w:tr>
      <w:tr w14:paraId="6866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continue"/>
            <w:vAlign w:val="center"/>
          </w:tcPr>
          <w:p w14:paraId="3D17C93A">
            <w:pPr>
              <w:pStyle w:val="127"/>
              <w:spacing w:after="0"/>
              <w:rPr>
                <w:color w:val="auto"/>
                <w:sz w:val="21"/>
              </w:rPr>
            </w:pPr>
          </w:p>
        </w:tc>
        <w:tc>
          <w:tcPr>
            <w:tcW w:w="3116" w:type="dxa"/>
            <w:gridSpan w:val="3"/>
            <w:vAlign w:val="center"/>
          </w:tcPr>
          <w:p w14:paraId="548F99F3">
            <w:pPr>
              <w:pStyle w:val="127"/>
              <w:spacing w:after="0"/>
              <w:rPr>
                <w:color w:val="auto"/>
                <w:sz w:val="21"/>
              </w:rPr>
            </w:pPr>
            <w:r>
              <w:rPr>
                <w:color w:val="auto"/>
                <w:sz w:val="21"/>
              </w:rPr>
              <w:t>预埋板与混凝土面平面高差</w:t>
            </w:r>
          </w:p>
        </w:tc>
        <w:tc>
          <w:tcPr>
            <w:tcW w:w="1603" w:type="dxa"/>
            <w:vAlign w:val="center"/>
          </w:tcPr>
          <w:p w14:paraId="2411DDFD">
            <w:pPr>
              <w:pStyle w:val="127"/>
              <w:spacing w:after="0"/>
              <w:rPr>
                <w:color w:val="auto"/>
                <w:sz w:val="21"/>
              </w:rPr>
            </w:pPr>
            <w:r>
              <w:rPr>
                <w:rFonts w:hint="eastAsia"/>
                <w:color w:val="auto"/>
                <w:sz w:val="21"/>
              </w:rPr>
              <w:t>±</w:t>
            </w:r>
            <w:r>
              <w:rPr>
                <w:color w:val="auto"/>
                <w:sz w:val="21"/>
              </w:rPr>
              <w:t>5</w:t>
            </w:r>
          </w:p>
        </w:tc>
        <w:tc>
          <w:tcPr>
            <w:tcW w:w="1941" w:type="dxa"/>
            <w:vMerge w:val="continue"/>
            <w:vAlign w:val="center"/>
          </w:tcPr>
          <w:p w14:paraId="5C7DFD2A">
            <w:pPr>
              <w:pStyle w:val="127"/>
              <w:spacing w:after="0"/>
              <w:rPr>
                <w:color w:val="auto"/>
                <w:sz w:val="21"/>
              </w:rPr>
            </w:pPr>
          </w:p>
        </w:tc>
      </w:tr>
      <w:tr w14:paraId="3D65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continue"/>
            <w:vAlign w:val="center"/>
          </w:tcPr>
          <w:p w14:paraId="2E40465E">
            <w:pPr>
              <w:pStyle w:val="127"/>
              <w:spacing w:after="0"/>
              <w:rPr>
                <w:color w:val="auto"/>
                <w:sz w:val="21"/>
              </w:rPr>
            </w:pPr>
          </w:p>
        </w:tc>
        <w:tc>
          <w:tcPr>
            <w:tcW w:w="3116" w:type="dxa"/>
            <w:gridSpan w:val="3"/>
            <w:vAlign w:val="center"/>
          </w:tcPr>
          <w:p w14:paraId="72D8512C">
            <w:pPr>
              <w:pStyle w:val="127"/>
              <w:spacing w:after="0"/>
              <w:rPr>
                <w:color w:val="auto"/>
                <w:sz w:val="21"/>
              </w:rPr>
            </w:pPr>
            <w:r>
              <w:rPr>
                <w:color w:val="auto"/>
                <w:sz w:val="21"/>
              </w:rPr>
              <w:t>预埋螺栓、预埋套筒中心位置</w:t>
            </w:r>
          </w:p>
        </w:tc>
        <w:tc>
          <w:tcPr>
            <w:tcW w:w="1603" w:type="dxa"/>
            <w:vAlign w:val="center"/>
          </w:tcPr>
          <w:p w14:paraId="6FAEFAB2">
            <w:pPr>
              <w:pStyle w:val="127"/>
              <w:spacing w:after="0"/>
              <w:rPr>
                <w:color w:val="auto"/>
                <w:sz w:val="21"/>
              </w:rPr>
            </w:pPr>
            <w:r>
              <w:rPr>
                <w:color w:val="auto"/>
                <w:sz w:val="21"/>
              </w:rPr>
              <w:t>≤2</w:t>
            </w:r>
          </w:p>
        </w:tc>
        <w:tc>
          <w:tcPr>
            <w:tcW w:w="1941" w:type="dxa"/>
            <w:vMerge w:val="continue"/>
            <w:vAlign w:val="center"/>
          </w:tcPr>
          <w:p w14:paraId="26D4664B">
            <w:pPr>
              <w:pStyle w:val="127"/>
              <w:spacing w:after="0"/>
              <w:rPr>
                <w:color w:val="auto"/>
                <w:sz w:val="21"/>
              </w:rPr>
            </w:pPr>
          </w:p>
        </w:tc>
      </w:tr>
      <w:tr w14:paraId="04CD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8" w:type="dxa"/>
            <w:vMerge w:val="continue"/>
            <w:vAlign w:val="center"/>
          </w:tcPr>
          <w:p w14:paraId="67C342E9">
            <w:pPr>
              <w:pStyle w:val="127"/>
              <w:spacing w:after="0"/>
              <w:rPr>
                <w:color w:val="auto"/>
                <w:sz w:val="21"/>
              </w:rPr>
            </w:pPr>
          </w:p>
        </w:tc>
        <w:tc>
          <w:tcPr>
            <w:tcW w:w="3116" w:type="dxa"/>
            <w:gridSpan w:val="3"/>
            <w:vAlign w:val="center"/>
          </w:tcPr>
          <w:p w14:paraId="48EACD52">
            <w:pPr>
              <w:pStyle w:val="127"/>
              <w:spacing w:after="0"/>
              <w:rPr>
                <w:color w:val="auto"/>
                <w:sz w:val="21"/>
              </w:rPr>
            </w:pPr>
            <w:r>
              <w:rPr>
                <w:color w:val="auto"/>
                <w:sz w:val="21"/>
              </w:rPr>
              <w:t>预埋螺栓外露长度</w:t>
            </w:r>
          </w:p>
        </w:tc>
        <w:tc>
          <w:tcPr>
            <w:tcW w:w="1603" w:type="dxa"/>
            <w:vAlign w:val="center"/>
          </w:tcPr>
          <w:p w14:paraId="72D3931C">
            <w:pPr>
              <w:pStyle w:val="127"/>
              <w:spacing w:after="0"/>
              <w:rPr>
                <w:color w:val="auto"/>
                <w:sz w:val="21"/>
              </w:rPr>
            </w:pPr>
            <w:r>
              <w:rPr>
                <w:color w:val="auto"/>
                <w:sz w:val="21"/>
              </w:rPr>
              <w:t>+10，</w:t>
            </w:r>
            <w:r>
              <w:rPr>
                <w:color w:val="auto"/>
                <w:position w:val="-4"/>
                <w:sz w:val="21"/>
              </w:rPr>
              <w:object>
                <v:shape id="_x0000_i1025" o:spt="75" type="#_x0000_t75" style="height:5.45pt;width:9.25pt;" o:ole="t" filled="f" o:preferrelative="t" stroked="f" coordsize="21600,21600">
                  <v:path/>
                  <v:fill on="f" focussize="0,0"/>
                  <v:stroke on="f" joinstyle="miter"/>
                  <v:imagedata r:id="rId13" o:title=""/>
                  <o:lock v:ext="edit" aspectratio="t"/>
                  <w10:wrap type="none"/>
                  <w10:anchorlock/>
                </v:shape>
                <o:OLEObject Type="Embed" ProgID="Equation.DSMT4" ShapeID="_x0000_i1025" DrawAspect="Content" ObjectID="_1468075725" r:id="rId12">
                  <o:LockedField>false</o:LockedField>
                </o:OLEObject>
              </w:object>
            </w:r>
            <w:r>
              <w:rPr>
                <w:color w:val="auto"/>
                <w:sz w:val="21"/>
              </w:rPr>
              <w:t>5</w:t>
            </w:r>
          </w:p>
        </w:tc>
        <w:tc>
          <w:tcPr>
            <w:tcW w:w="1941" w:type="dxa"/>
            <w:vMerge w:val="continue"/>
            <w:vAlign w:val="center"/>
          </w:tcPr>
          <w:p w14:paraId="39BF8E96">
            <w:pPr>
              <w:pStyle w:val="127"/>
              <w:spacing w:after="0"/>
              <w:rPr>
                <w:color w:val="auto"/>
                <w:sz w:val="21"/>
              </w:rPr>
            </w:pPr>
          </w:p>
        </w:tc>
      </w:tr>
      <w:tr w14:paraId="74BA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4" w:type="dxa"/>
            <w:gridSpan w:val="4"/>
            <w:vAlign w:val="center"/>
          </w:tcPr>
          <w:p w14:paraId="688728DD">
            <w:pPr>
              <w:pStyle w:val="127"/>
              <w:spacing w:after="0"/>
              <w:rPr>
                <w:color w:val="auto"/>
                <w:sz w:val="21"/>
              </w:rPr>
            </w:pPr>
            <w:r>
              <w:rPr>
                <w:color w:val="auto"/>
                <w:sz w:val="21"/>
              </w:rPr>
              <w:t>桁架钢筋高度</w:t>
            </w:r>
          </w:p>
        </w:tc>
        <w:tc>
          <w:tcPr>
            <w:tcW w:w="1603" w:type="dxa"/>
            <w:vAlign w:val="center"/>
          </w:tcPr>
          <w:p w14:paraId="2437872B">
            <w:pPr>
              <w:pStyle w:val="127"/>
              <w:spacing w:after="0"/>
              <w:rPr>
                <w:color w:val="auto"/>
                <w:sz w:val="21"/>
              </w:rPr>
            </w:pPr>
            <w:r>
              <w:rPr>
                <w:color w:val="auto"/>
                <w:sz w:val="21"/>
              </w:rPr>
              <w:t>+5，0</w:t>
            </w:r>
          </w:p>
        </w:tc>
        <w:tc>
          <w:tcPr>
            <w:tcW w:w="1941" w:type="dxa"/>
            <w:vAlign w:val="center"/>
          </w:tcPr>
          <w:p w14:paraId="01495125">
            <w:pPr>
              <w:pStyle w:val="127"/>
              <w:spacing w:after="0"/>
              <w:rPr>
                <w:color w:val="auto"/>
                <w:sz w:val="21"/>
              </w:rPr>
            </w:pPr>
            <w:r>
              <w:rPr>
                <w:color w:val="auto"/>
                <w:sz w:val="21"/>
              </w:rPr>
              <w:t>尺量检查</w:t>
            </w:r>
          </w:p>
        </w:tc>
      </w:tr>
      <w:tr w14:paraId="2EB1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1" w:type="dxa"/>
            <w:gridSpan w:val="2"/>
            <w:vMerge w:val="restart"/>
            <w:vAlign w:val="center"/>
          </w:tcPr>
          <w:p w14:paraId="37C12F4A">
            <w:pPr>
              <w:pStyle w:val="127"/>
              <w:spacing w:after="0"/>
              <w:rPr>
                <w:color w:val="auto"/>
                <w:sz w:val="21"/>
              </w:rPr>
            </w:pPr>
            <w:r>
              <w:rPr>
                <w:color w:val="auto"/>
                <w:sz w:val="21"/>
              </w:rPr>
              <w:t>键槽</w:t>
            </w:r>
          </w:p>
        </w:tc>
        <w:tc>
          <w:tcPr>
            <w:tcW w:w="3053" w:type="dxa"/>
            <w:gridSpan w:val="2"/>
            <w:vAlign w:val="center"/>
          </w:tcPr>
          <w:p w14:paraId="093FE90D">
            <w:pPr>
              <w:pStyle w:val="127"/>
              <w:spacing w:after="0"/>
              <w:rPr>
                <w:color w:val="auto"/>
                <w:sz w:val="21"/>
              </w:rPr>
            </w:pPr>
            <w:r>
              <w:rPr>
                <w:color w:val="auto"/>
                <w:sz w:val="21"/>
              </w:rPr>
              <w:t>中心线位置</w:t>
            </w:r>
          </w:p>
        </w:tc>
        <w:tc>
          <w:tcPr>
            <w:tcW w:w="1603" w:type="dxa"/>
            <w:vAlign w:val="center"/>
          </w:tcPr>
          <w:p w14:paraId="73DC4FEB">
            <w:pPr>
              <w:pStyle w:val="127"/>
              <w:spacing w:after="0"/>
              <w:rPr>
                <w:color w:val="auto"/>
                <w:sz w:val="21"/>
              </w:rPr>
            </w:pPr>
            <w:r>
              <w:rPr>
                <w:color w:val="auto"/>
                <w:sz w:val="21"/>
              </w:rPr>
              <w:t>≤5</w:t>
            </w:r>
          </w:p>
        </w:tc>
        <w:tc>
          <w:tcPr>
            <w:tcW w:w="1941" w:type="dxa"/>
            <w:vMerge w:val="restart"/>
            <w:vAlign w:val="center"/>
          </w:tcPr>
          <w:p w14:paraId="65F2CD0D">
            <w:pPr>
              <w:pStyle w:val="127"/>
              <w:spacing w:after="0"/>
              <w:rPr>
                <w:color w:val="auto"/>
                <w:sz w:val="21"/>
              </w:rPr>
            </w:pPr>
            <w:r>
              <w:rPr>
                <w:color w:val="auto"/>
                <w:sz w:val="21"/>
              </w:rPr>
              <w:t>尺量检查</w:t>
            </w:r>
          </w:p>
        </w:tc>
      </w:tr>
      <w:tr w14:paraId="5BF8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1" w:type="dxa"/>
            <w:gridSpan w:val="2"/>
            <w:vMerge w:val="continue"/>
            <w:vAlign w:val="center"/>
          </w:tcPr>
          <w:p w14:paraId="630E283D">
            <w:pPr>
              <w:pStyle w:val="127"/>
              <w:spacing w:after="0"/>
              <w:rPr>
                <w:color w:val="auto"/>
                <w:sz w:val="21"/>
              </w:rPr>
            </w:pPr>
          </w:p>
        </w:tc>
        <w:tc>
          <w:tcPr>
            <w:tcW w:w="3053" w:type="dxa"/>
            <w:gridSpan w:val="2"/>
            <w:vAlign w:val="center"/>
          </w:tcPr>
          <w:p w14:paraId="312AA279">
            <w:pPr>
              <w:pStyle w:val="127"/>
              <w:spacing w:after="0"/>
              <w:rPr>
                <w:color w:val="auto"/>
                <w:sz w:val="21"/>
              </w:rPr>
            </w:pPr>
            <w:r>
              <w:rPr>
                <w:color w:val="auto"/>
                <w:sz w:val="21"/>
              </w:rPr>
              <w:t>长度、宽度</w:t>
            </w:r>
          </w:p>
        </w:tc>
        <w:tc>
          <w:tcPr>
            <w:tcW w:w="1603" w:type="dxa"/>
            <w:vAlign w:val="center"/>
          </w:tcPr>
          <w:p w14:paraId="4BA7CE87">
            <w:pPr>
              <w:pStyle w:val="127"/>
              <w:spacing w:after="0"/>
              <w:rPr>
                <w:color w:val="auto"/>
                <w:sz w:val="21"/>
              </w:rPr>
            </w:pPr>
            <w:r>
              <w:rPr>
                <w:color w:val="auto"/>
                <w:sz w:val="21"/>
              </w:rPr>
              <w:t>±5</w:t>
            </w:r>
          </w:p>
        </w:tc>
        <w:tc>
          <w:tcPr>
            <w:tcW w:w="1941" w:type="dxa"/>
            <w:vMerge w:val="continue"/>
            <w:vAlign w:val="center"/>
          </w:tcPr>
          <w:p w14:paraId="7FAAF152">
            <w:pPr>
              <w:pStyle w:val="127"/>
              <w:spacing w:after="0"/>
              <w:rPr>
                <w:color w:val="auto"/>
                <w:sz w:val="21"/>
              </w:rPr>
            </w:pPr>
          </w:p>
        </w:tc>
      </w:tr>
      <w:tr w14:paraId="574A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1" w:type="dxa"/>
            <w:gridSpan w:val="2"/>
            <w:vMerge w:val="continue"/>
            <w:vAlign w:val="center"/>
          </w:tcPr>
          <w:p w14:paraId="76B564EA">
            <w:pPr>
              <w:pStyle w:val="127"/>
              <w:spacing w:after="0"/>
              <w:rPr>
                <w:color w:val="auto"/>
                <w:sz w:val="21"/>
              </w:rPr>
            </w:pPr>
          </w:p>
        </w:tc>
        <w:tc>
          <w:tcPr>
            <w:tcW w:w="3053" w:type="dxa"/>
            <w:gridSpan w:val="2"/>
            <w:vAlign w:val="center"/>
          </w:tcPr>
          <w:p w14:paraId="27ED5374">
            <w:pPr>
              <w:pStyle w:val="127"/>
              <w:spacing w:after="0"/>
              <w:rPr>
                <w:color w:val="auto"/>
                <w:sz w:val="21"/>
              </w:rPr>
            </w:pPr>
            <w:r>
              <w:rPr>
                <w:color w:val="auto"/>
                <w:sz w:val="21"/>
              </w:rPr>
              <w:t>深度</w:t>
            </w:r>
          </w:p>
        </w:tc>
        <w:tc>
          <w:tcPr>
            <w:tcW w:w="1603" w:type="dxa"/>
            <w:vAlign w:val="center"/>
          </w:tcPr>
          <w:p w14:paraId="56A75917">
            <w:pPr>
              <w:pStyle w:val="127"/>
              <w:spacing w:after="0"/>
              <w:rPr>
                <w:color w:val="auto"/>
                <w:sz w:val="21"/>
              </w:rPr>
            </w:pPr>
            <w:r>
              <w:rPr>
                <w:color w:val="auto"/>
                <w:sz w:val="21"/>
              </w:rPr>
              <w:t>±5</w:t>
            </w:r>
          </w:p>
        </w:tc>
        <w:tc>
          <w:tcPr>
            <w:tcW w:w="1941" w:type="dxa"/>
            <w:vMerge w:val="continue"/>
            <w:vAlign w:val="center"/>
          </w:tcPr>
          <w:p w14:paraId="6D1199ED">
            <w:pPr>
              <w:pStyle w:val="127"/>
              <w:spacing w:after="0"/>
              <w:rPr>
                <w:color w:val="auto"/>
                <w:sz w:val="21"/>
              </w:rPr>
            </w:pPr>
          </w:p>
        </w:tc>
      </w:tr>
      <w:tr w14:paraId="1F97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4" w:type="dxa"/>
            <w:gridSpan w:val="4"/>
            <w:vAlign w:val="center"/>
          </w:tcPr>
          <w:p w14:paraId="724DE7CF">
            <w:pPr>
              <w:pStyle w:val="127"/>
              <w:spacing w:after="0"/>
              <w:rPr>
                <w:color w:val="auto"/>
                <w:sz w:val="21"/>
              </w:rPr>
            </w:pPr>
            <w:r>
              <w:rPr>
                <w:rFonts w:hint="eastAsia"/>
                <w:color w:val="auto"/>
                <w:sz w:val="21"/>
              </w:rPr>
              <w:t>套筒灌浆</w:t>
            </w:r>
            <w:r>
              <w:rPr>
                <w:color w:val="auto"/>
                <w:sz w:val="21"/>
              </w:rPr>
              <w:t>连接钢筋外露长度</w:t>
            </w:r>
          </w:p>
        </w:tc>
        <w:tc>
          <w:tcPr>
            <w:tcW w:w="1603" w:type="dxa"/>
            <w:vAlign w:val="center"/>
          </w:tcPr>
          <w:p w14:paraId="31C2EDC8">
            <w:pPr>
              <w:pStyle w:val="127"/>
              <w:spacing w:after="0"/>
              <w:rPr>
                <w:color w:val="auto"/>
                <w:sz w:val="21"/>
              </w:rPr>
            </w:pPr>
            <w:r>
              <w:rPr>
                <w:rFonts w:hint="eastAsia"/>
                <w:color w:val="auto"/>
                <w:sz w:val="21"/>
              </w:rPr>
              <w:t>＋</w:t>
            </w:r>
            <w:r>
              <w:rPr>
                <w:color w:val="auto"/>
                <w:sz w:val="21"/>
              </w:rPr>
              <w:t>10</w:t>
            </w:r>
            <w:r>
              <w:rPr>
                <w:rFonts w:hint="eastAsia"/>
                <w:color w:val="auto"/>
                <w:sz w:val="21"/>
              </w:rPr>
              <w:t>，</w:t>
            </w:r>
            <w:r>
              <w:rPr>
                <w:color w:val="auto"/>
                <w:sz w:val="21"/>
              </w:rPr>
              <w:t>0</w:t>
            </w:r>
          </w:p>
        </w:tc>
        <w:tc>
          <w:tcPr>
            <w:tcW w:w="1941" w:type="dxa"/>
            <w:vAlign w:val="center"/>
          </w:tcPr>
          <w:p w14:paraId="1E28D59E">
            <w:pPr>
              <w:pStyle w:val="127"/>
              <w:spacing w:after="0"/>
              <w:rPr>
                <w:color w:val="auto"/>
                <w:sz w:val="21"/>
              </w:rPr>
            </w:pPr>
            <w:r>
              <w:rPr>
                <w:color w:val="auto"/>
                <w:sz w:val="21"/>
              </w:rPr>
              <w:t>尺量检查</w:t>
            </w:r>
          </w:p>
        </w:tc>
      </w:tr>
    </w:tbl>
    <w:p w14:paraId="20426E84">
      <w:pPr>
        <w:ind w:firstLine="360"/>
        <w:rPr>
          <w:bCs/>
          <w:sz w:val="18"/>
          <w:szCs w:val="18"/>
        </w:rPr>
      </w:pPr>
      <w:r>
        <w:rPr>
          <w:bCs/>
          <w:sz w:val="18"/>
          <w:szCs w:val="18"/>
        </w:rPr>
        <w:t>注：1</w:t>
      </w:r>
      <w:r>
        <w:rPr>
          <w:rFonts w:hint="eastAsia"/>
          <w:bCs/>
          <w:sz w:val="18"/>
          <w:szCs w:val="18"/>
        </w:rPr>
        <w:t xml:space="preserve"> </w:t>
      </w:r>
      <w:r>
        <w:rPr>
          <w:bCs/>
          <w:i/>
          <w:sz w:val="18"/>
          <w:szCs w:val="18"/>
        </w:rPr>
        <w:t>l</w:t>
      </w:r>
      <w:r>
        <w:rPr>
          <w:bCs/>
          <w:sz w:val="18"/>
          <w:szCs w:val="18"/>
        </w:rPr>
        <w:t>为构件长度（mm）；</w:t>
      </w:r>
    </w:p>
    <w:p w14:paraId="2F9691E0">
      <w:pPr>
        <w:ind w:firstLine="360"/>
        <w:rPr>
          <w:bCs/>
          <w:sz w:val="18"/>
          <w:szCs w:val="18"/>
        </w:rPr>
      </w:pPr>
      <w:r>
        <w:rPr>
          <w:bCs/>
          <w:sz w:val="18"/>
          <w:szCs w:val="18"/>
        </w:rPr>
        <w:t>2</w:t>
      </w:r>
      <w:r>
        <w:rPr>
          <w:rFonts w:hint="eastAsia"/>
          <w:bCs/>
          <w:sz w:val="18"/>
          <w:szCs w:val="18"/>
        </w:rPr>
        <w:t xml:space="preserve"> </w:t>
      </w:r>
      <w:r>
        <w:rPr>
          <w:bCs/>
          <w:sz w:val="18"/>
          <w:szCs w:val="18"/>
        </w:rPr>
        <w:t>检查中心线、螺栓和孔洞位置偏差时，应沿纵、横两个方向量测，并取其中偏差较大值。</w:t>
      </w:r>
    </w:p>
    <w:p w14:paraId="3E6702A3">
      <w:pPr>
        <w:pStyle w:val="90"/>
        <w:spacing w:before="156"/>
      </w:pPr>
      <w:r>
        <w:rPr>
          <w:rFonts w:hint="eastAsia"/>
        </w:rPr>
        <w:t>装配式混凝土结构预制构件的粗糙面、键槽定位及尺寸应符合设计要求。</w:t>
      </w:r>
    </w:p>
    <w:p w14:paraId="10DCECE7">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06790A8D">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检验方法：观察、尺量。</w:t>
      </w:r>
    </w:p>
    <w:p w14:paraId="6C967246">
      <w:pPr>
        <w:pStyle w:val="90"/>
        <w:spacing w:before="156"/>
      </w:pPr>
      <w:r>
        <w:t>预制构件表面装饰混凝土饰面的外观质量应符合设计要求或有关标准规定。</w:t>
      </w:r>
    </w:p>
    <w:p w14:paraId="62AAEA54">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检查数量：按批检查。</w:t>
      </w:r>
    </w:p>
    <w:p w14:paraId="51EC7EF1">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检验方法：观察；与样板比对。</w:t>
      </w:r>
    </w:p>
    <w:p w14:paraId="78CEC900">
      <w:pPr>
        <w:pStyle w:val="90"/>
        <w:spacing w:before="156"/>
      </w:pPr>
      <w:r>
        <w:rPr>
          <w:rFonts w:hint="eastAsia"/>
        </w:rPr>
        <w:t>预制构件上的预埋件、预留插筋、预留孔洞、预埋管线等规格型号、数量应符合设计要求。</w:t>
      </w:r>
    </w:p>
    <w:p w14:paraId="300202F5">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检查数量：按批检查。</w:t>
      </w:r>
    </w:p>
    <w:p w14:paraId="58383184">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检验方法：观察、尺量；检查产品合格证。</w:t>
      </w:r>
    </w:p>
    <w:p w14:paraId="7ED07DD9">
      <w:pPr>
        <w:pStyle w:val="85"/>
        <w:rPr>
          <w:rFonts w:hint="eastAsia"/>
          <w:color w:val="auto"/>
        </w:rPr>
      </w:pPr>
      <w:bookmarkStart w:id="191" w:name="_Toc220148361"/>
      <w:bookmarkStart w:id="192" w:name="_Toc227574859"/>
      <w:r>
        <w:rPr>
          <w:rFonts w:hint="eastAsia"/>
          <w:color w:val="auto"/>
        </w:rPr>
        <w:t>施工安装验收</w:t>
      </w:r>
      <w:bookmarkEnd w:id="191"/>
      <w:bookmarkEnd w:id="192"/>
    </w:p>
    <w:p w14:paraId="1F78F96D">
      <w:pPr>
        <w:pStyle w:val="121"/>
        <w:ind w:firstLine="0" w:firstLineChars="0"/>
        <w:jc w:val="center"/>
        <w:rPr>
          <w:rFonts w:hint="eastAsia"/>
          <w:b/>
          <w:bCs/>
          <w:color w:val="auto"/>
        </w:rPr>
      </w:pPr>
      <w:r>
        <w:rPr>
          <w:rFonts w:hint="eastAsia"/>
          <w:b/>
          <w:bCs/>
          <w:color w:val="auto"/>
        </w:rPr>
        <w:t>主控项目</w:t>
      </w:r>
    </w:p>
    <w:p w14:paraId="7F058D5B">
      <w:pPr>
        <w:pStyle w:val="90"/>
        <w:spacing w:before="156"/>
      </w:pPr>
      <w:r>
        <w:rPr>
          <w:rFonts w:hint="eastAsia"/>
        </w:rPr>
        <w:t>预制构件的临时固定应稳固可靠，并应符合施工方案及有关标准要求。</w:t>
      </w:r>
    </w:p>
    <w:p w14:paraId="130CD632">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6E81F2A2">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检验方法：观察检查，检查施工方案、施工记录或设计文件。</w:t>
      </w:r>
    </w:p>
    <w:p w14:paraId="0A463315">
      <w:pPr>
        <w:pStyle w:val="90"/>
        <w:spacing w:before="156"/>
      </w:pPr>
      <w:r>
        <w:rPr>
          <w:rFonts w:hint="eastAsia"/>
        </w:rPr>
        <w:t>后浇混凝土模板应具有足够的承载能力、刚度和稳定性，并应符合施工方案及有关技术标准要求。</w:t>
      </w:r>
    </w:p>
    <w:p w14:paraId="4222546B">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3A0D51A8">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检验方法：观察检查，检查施工记录。</w:t>
      </w:r>
    </w:p>
    <w:p w14:paraId="2C026A22">
      <w:pPr>
        <w:pStyle w:val="90"/>
        <w:spacing w:before="156"/>
      </w:pPr>
      <w:r>
        <w:rPr>
          <w:rFonts w:hint="eastAsia"/>
        </w:rPr>
        <w:t>钢筋采用焊接连接时，其焊接质量应符合现行行业标准《钢筋焊接及验收规程》JGJ 18的规定。</w:t>
      </w:r>
    </w:p>
    <w:p w14:paraId="73AE547E">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检查数量：按现行行业标准《钢筋焊接及验收规程》</w:t>
      </w:r>
      <w:r>
        <w:rPr>
          <w:rFonts w:hint="eastAsia" w:eastAsia="宋体"/>
          <w:bCs/>
          <w:snapToGrid w:val="0"/>
          <w:color w:val="auto"/>
          <w:kern w:val="0"/>
          <w:szCs w:val="24"/>
        </w:rPr>
        <w:t>JGJ 18</w:t>
      </w:r>
      <w:r>
        <w:rPr>
          <w:rFonts w:hint="eastAsia" w:ascii="宋体" w:hAnsi="宋体" w:eastAsia="宋体" w:cs="仿宋"/>
          <w:color w:val="auto"/>
          <w:kern w:val="0"/>
          <w:szCs w:val="24"/>
        </w:rPr>
        <w:t>的有关规定确定。</w:t>
      </w:r>
    </w:p>
    <w:p w14:paraId="01EC642E">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检验方法：检查钢筋焊接施工记录及平行加工试件的强度试验报告。</w:t>
      </w:r>
    </w:p>
    <w:p w14:paraId="64CBFCAB">
      <w:pPr>
        <w:pStyle w:val="90"/>
        <w:spacing w:before="156"/>
      </w:pPr>
      <w:r>
        <w:rPr>
          <w:rFonts w:hint="eastAsia"/>
        </w:rPr>
        <w:t>钢筋采用机械连接时，其接头质量应符合现行行业标准《钢筋机械连接技术规程》JGJ 107的规定。</w:t>
      </w:r>
    </w:p>
    <w:p w14:paraId="00A922AA">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检查数量：按现行行业标准《钢筋机械连接技术规程》</w:t>
      </w:r>
      <w:r>
        <w:rPr>
          <w:rFonts w:hint="eastAsia" w:eastAsia="宋体"/>
          <w:bCs/>
          <w:snapToGrid w:val="0"/>
          <w:color w:val="auto"/>
          <w:kern w:val="0"/>
          <w:szCs w:val="24"/>
        </w:rPr>
        <w:t>JGJ 107</w:t>
      </w:r>
      <w:r>
        <w:rPr>
          <w:rFonts w:hint="eastAsia" w:ascii="宋体" w:hAnsi="宋体" w:eastAsia="宋体" w:cs="仿宋"/>
          <w:color w:val="auto"/>
          <w:kern w:val="0"/>
          <w:szCs w:val="24"/>
        </w:rPr>
        <w:t>的有关规定确定。</w:t>
      </w:r>
    </w:p>
    <w:p w14:paraId="73A38582">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检验方法：检查钢筋机械连接施工记录及平行加工试件的检验报告。</w:t>
      </w:r>
    </w:p>
    <w:p w14:paraId="6345BD71">
      <w:pPr>
        <w:pStyle w:val="90"/>
        <w:spacing w:before="156"/>
      </w:pPr>
      <w:r>
        <w:t>预制构件底部水平接缝座浆强度应满足设计要求。</w:t>
      </w:r>
    </w:p>
    <w:p w14:paraId="05818F1E">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检查数量：按批检验，以每层为一检验批，每工作班同一配合比应制作1组且每层不应少于3组边长为70.7mm的立方体试件，标准养护28d后进行抗压强度试验。</w:t>
      </w:r>
    </w:p>
    <w:p w14:paraId="565C1710">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检验方法：检查座浆材料强度检验报告及评定记录。</w:t>
      </w:r>
    </w:p>
    <w:p w14:paraId="25ED9E40">
      <w:pPr>
        <w:pStyle w:val="90"/>
        <w:spacing w:before="156"/>
      </w:pPr>
      <w:r>
        <w:t>钢筋套筒灌浆连接及浆锚搭接连接用的灌浆料应符合国家现行有关标准的规定及设计要求。</w:t>
      </w:r>
    </w:p>
    <w:p w14:paraId="27DCC422">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检查数量：按批检验，以每层为一检验批；每工作班应制作1组且每层不应少于3组40mm×40mm×160mm的长方体试件，标准养护28d后进行抗压强度试验。</w:t>
      </w:r>
    </w:p>
    <w:p w14:paraId="5B5D1FBF">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检验方法：检查灌浆料强度试验报告及评定记录。</w:t>
      </w:r>
    </w:p>
    <w:p w14:paraId="1E97C299">
      <w:pPr>
        <w:pStyle w:val="90"/>
        <w:spacing w:before="156"/>
      </w:pPr>
      <w:r>
        <w:t>钢筋采用套筒灌浆连接时，灌浆应饱满、密实。</w:t>
      </w:r>
    </w:p>
    <w:p w14:paraId="3F1123C0">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0F95511F">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检验方法：检查灌浆施工质量检查记录。</w:t>
      </w:r>
    </w:p>
    <w:p w14:paraId="6E55D9F7">
      <w:pPr>
        <w:pStyle w:val="90"/>
        <w:spacing w:before="156"/>
      </w:pPr>
      <w:r>
        <w:t>钢筋采用套筒灌浆连接时，套筒灌浆连接接头检验应符合国家现行标准《钢筋套筒灌浆连接应用技术规程》JGJ 355及《钢筋套筒灌浆连接技术规程》DB11/T</w:t>
      </w:r>
      <w:r>
        <w:rPr>
          <w:rFonts w:hint="eastAsia"/>
        </w:rPr>
        <w:t xml:space="preserve"> </w:t>
      </w:r>
      <w:r>
        <w:t>1470的规定。当采用半灌浆套筒连接时，钢筋的直螺纹连接应符合现行行业标准《钢筋机械连接技术规程》</w:t>
      </w:r>
      <w:r>
        <w:rPr>
          <w:rFonts w:hint="eastAsia"/>
        </w:rPr>
        <w:t>JGJ 107</w:t>
      </w:r>
      <w:r>
        <w:t>的规定。</w:t>
      </w:r>
    </w:p>
    <w:p w14:paraId="6E97D269">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检查数量：按同一工程、同一牌号和同一规格的钢筋，施工过程中应按批留置制作3个平行试件。</w:t>
      </w:r>
    </w:p>
    <w:p w14:paraId="517005BF">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检验方法：检查钢筋接头力学性能试验报告。</w:t>
      </w:r>
    </w:p>
    <w:p w14:paraId="5199571D">
      <w:pPr>
        <w:pStyle w:val="90"/>
        <w:spacing w:before="156"/>
      </w:pPr>
      <w:r>
        <w:t>预制构件采用</w:t>
      </w:r>
      <w:r>
        <w:rPr>
          <w:rFonts w:hint="eastAsia"/>
        </w:rPr>
        <w:t>焊接连接时，</w:t>
      </w:r>
      <w:r>
        <w:t>焊缝</w:t>
      </w:r>
      <w:r>
        <w:rPr>
          <w:rFonts w:hint="eastAsia"/>
        </w:rPr>
        <w:t>质量应满足设计要求，并应符合现行</w:t>
      </w:r>
      <w:r>
        <w:t>国家</w:t>
      </w:r>
      <w:r>
        <w:rPr>
          <w:rFonts w:hint="eastAsia"/>
        </w:rPr>
        <w:t>标准《</w:t>
      </w:r>
      <w:r>
        <w:t>钢结构焊接规范</w:t>
      </w:r>
      <w:r>
        <w:rPr>
          <w:rFonts w:hint="eastAsia"/>
        </w:rPr>
        <w:t>》</w:t>
      </w:r>
      <w:r>
        <w:t>GB 50661和《钢结构工程施工质量验收标准》GB 50205的规定。</w:t>
      </w:r>
    </w:p>
    <w:p w14:paraId="02AFCE81">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2D91CB9C">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检验方法：应符合现行国家标准《钢结构工程施工质量验收标准》</w:t>
      </w:r>
      <w:r>
        <w:rPr>
          <w:rFonts w:hint="eastAsia" w:eastAsia="宋体"/>
          <w:bCs/>
          <w:snapToGrid w:val="0"/>
          <w:color w:val="auto"/>
          <w:kern w:val="0"/>
          <w:szCs w:val="24"/>
        </w:rPr>
        <w:t>GB 50205</w:t>
      </w:r>
      <w:r>
        <w:rPr>
          <w:rFonts w:hint="eastAsia" w:ascii="宋体" w:hAnsi="宋体" w:eastAsia="宋体" w:cs="仿宋"/>
          <w:color w:val="auto"/>
          <w:kern w:val="0"/>
          <w:szCs w:val="24"/>
        </w:rPr>
        <w:t>的规定。</w:t>
      </w:r>
    </w:p>
    <w:p w14:paraId="4D3CE19C">
      <w:pPr>
        <w:pStyle w:val="90"/>
        <w:spacing w:before="0" w:beforeLines="0"/>
      </w:pPr>
      <w:r>
        <w:t>预制构件采用螺栓</w:t>
      </w:r>
      <w:r>
        <w:rPr>
          <w:rFonts w:hint="eastAsia"/>
        </w:rPr>
        <w:t>连接时，</w:t>
      </w:r>
      <w:r>
        <w:t>螺栓的材质、规格、拧紧力矩应符合设计要求及现行国家标准《</w:t>
      </w:r>
      <w:r>
        <w:rPr>
          <w:rFonts w:hint="eastAsia"/>
        </w:rPr>
        <w:t>钢结构设计标准</w:t>
      </w:r>
      <w:r>
        <w:t>》GB 50017和《钢结构工程施工质量验收标准》GB 50205的规定。</w:t>
      </w:r>
    </w:p>
    <w:p w14:paraId="33A80885">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505BB0E7">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检验方法：应符合现行国家标准《钢结构工程施工质量验收标准》</w:t>
      </w:r>
      <w:r>
        <w:rPr>
          <w:rFonts w:hint="eastAsia" w:eastAsia="宋体"/>
          <w:bCs/>
          <w:snapToGrid w:val="0"/>
          <w:color w:val="auto"/>
          <w:kern w:val="0"/>
          <w:szCs w:val="24"/>
        </w:rPr>
        <w:t>GB 50205</w:t>
      </w:r>
      <w:r>
        <w:rPr>
          <w:rFonts w:hint="eastAsia" w:ascii="宋体" w:hAnsi="宋体" w:eastAsia="宋体" w:cs="仿宋"/>
          <w:color w:val="auto"/>
          <w:kern w:val="0"/>
          <w:szCs w:val="24"/>
        </w:rPr>
        <w:t>的规定。</w:t>
      </w:r>
    </w:p>
    <w:p w14:paraId="689E7EE8">
      <w:pPr>
        <w:pStyle w:val="90"/>
        <w:spacing w:before="156"/>
      </w:pPr>
      <w:r>
        <w:t>装配式混凝土结构厂房采用后张预应力</w:t>
      </w:r>
      <w:r>
        <w:rPr>
          <w:rFonts w:hint="eastAsia"/>
          <w:strike/>
        </w:rPr>
        <w:t>梁</w:t>
      </w:r>
      <w:r>
        <w:t>时，应符合国家现行标准《混凝土结构工程施工质量验收规范》GB 50204、《预应力混凝土结构设计规范》JGJ 369、《预应力混凝土结构抗震设计</w:t>
      </w:r>
      <w:r>
        <w:rPr>
          <w:rFonts w:hint="eastAsia"/>
        </w:rPr>
        <w:t>标准</w:t>
      </w:r>
      <w:r>
        <w:t>》JGJ</w:t>
      </w:r>
      <w:r>
        <w:rPr>
          <w:rFonts w:hint="eastAsia"/>
        </w:rPr>
        <w:t>/T</w:t>
      </w:r>
      <w:r>
        <w:t xml:space="preserve"> 140及《无粘结预应力混凝土结构技术规程》JGJ</w:t>
      </w:r>
      <w:r>
        <w:rPr>
          <w:rFonts w:hint="eastAsia"/>
        </w:rPr>
        <w:t xml:space="preserve"> </w:t>
      </w:r>
      <w:r>
        <w:t>92的规定。</w:t>
      </w:r>
    </w:p>
    <w:p w14:paraId="23778730">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3B8A0E69">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检验方法：应符合现行国家标准《混凝土结构工程施工质量验收规范》</w:t>
      </w:r>
      <w:r>
        <w:rPr>
          <w:rFonts w:hint="eastAsia" w:eastAsia="宋体"/>
          <w:bCs/>
          <w:snapToGrid w:val="0"/>
          <w:color w:val="auto"/>
          <w:kern w:val="0"/>
          <w:szCs w:val="24"/>
        </w:rPr>
        <w:t>GB 50204</w:t>
      </w:r>
      <w:r>
        <w:rPr>
          <w:rFonts w:hint="eastAsia" w:ascii="宋体" w:hAnsi="宋体" w:eastAsia="宋体" w:cs="仿宋"/>
          <w:color w:val="auto"/>
          <w:kern w:val="0"/>
          <w:szCs w:val="24"/>
        </w:rPr>
        <w:t>的规定。</w:t>
      </w:r>
    </w:p>
    <w:p w14:paraId="3A57A10B">
      <w:pPr>
        <w:pStyle w:val="90"/>
        <w:spacing w:before="156"/>
      </w:pPr>
      <w:r>
        <w:rPr>
          <w:rFonts w:hint="eastAsia"/>
        </w:rPr>
        <w:t>装配式混凝土结构厂房连接节点和连接接缝后浇混凝土的强度应符合设计要求。</w:t>
      </w:r>
    </w:p>
    <w:p w14:paraId="4ECA071A">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检查数量：每工作班同一配合比的混凝土取样不得少于一次，每次取样应至少留置一组标准养护试块，同条件养护试块的留置组数宜根据实际需要确定。</w:t>
      </w:r>
    </w:p>
    <w:p w14:paraId="377F3DB2">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检验方法：检查施工记录及试件强度试验报告。</w:t>
      </w:r>
    </w:p>
    <w:p w14:paraId="276EB9EC">
      <w:pPr>
        <w:pStyle w:val="90"/>
        <w:spacing w:before="156"/>
      </w:pPr>
      <w:r>
        <w:rPr>
          <w:rFonts w:hint="eastAsia"/>
        </w:rPr>
        <w:t>装配式混凝土结构厂房</w:t>
      </w:r>
      <w:r>
        <w:t>分项工程的外观质量不应有严重缺陷，且不得有影响结构性能和使用功能的尺寸偏差。</w:t>
      </w:r>
    </w:p>
    <w:p w14:paraId="5DDF478F">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59C914F6">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检验方法：观察、量测；检查质量验收记录。</w:t>
      </w:r>
    </w:p>
    <w:p w14:paraId="1235FD4F">
      <w:pPr>
        <w:pStyle w:val="121"/>
        <w:ind w:firstLine="0" w:firstLineChars="0"/>
        <w:jc w:val="center"/>
        <w:rPr>
          <w:rFonts w:hint="eastAsia"/>
          <w:b/>
          <w:bCs/>
          <w:color w:val="auto"/>
        </w:rPr>
      </w:pPr>
      <w:r>
        <w:rPr>
          <w:rFonts w:hint="eastAsia"/>
          <w:b/>
          <w:bCs/>
          <w:color w:val="auto"/>
        </w:rPr>
        <w:t>一般项目</w:t>
      </w:r>
    </w:p>
    <w:p w14:paraId="3C436E4E">
      <w:pPr>
        <w:pStyle w:val="90"/>
        <w:spacing w:before="156"/>
      </w:pPr>
      <w:bookmarkStart w:id="193" w:name="_Toc331624520"/>
      <w:bookmarkStart w:id="194" w:name="_Toc331598167"/>
      <w:r>
        <w:rPr>
          <w:rFonts w:hint="eastAsia"/>
        </w:rPr>
        <w:t>构件</w:t>
      </w:r>
      <w:r>
        <w:t>安装完毕后，预制构件安装尺寸允许偏差应符合</w:t>
      </w:r>
      <w:r>
        <w:rPr>
          <w:rFonts w:hint="eastAsia"/>
        </w:rPr>
        <w:t>表7.3.14</w:t>
      </w:r>
      <w:r>
        <w:t>要求。</w:t>
      </w:r>
    </w:p>
    <w:p w14:paraId="01EB7F6E">
      <w:pPr>
        <w:pStyle w:val="125"/>
        <w:spacing w:before="156" w:beforeLines="50" w:line="312" w:lineRule="auto"/>
        <w:ind w:firstLine="480"/>
        <w:rPr>
          <w:rFonts w:hint="eastAsia" w:ascii="宋体" w:hAnsi="宋体" w:eastAsia="宋体" w:cs="仿宋"/>
          <w:color w:val="auto"/>
          <w:kern w:val="0"/>
          <w:szCs w:val="24"/>
        </w:rPr>
      </w:pPr>
      <w:r>
        <w:rPr>
          <w:rFonts w:ascii="宋体" w:hAnsi="宋体" w:eastAsia="宋体" w:cs="仿宋"/>
          <w:color w:val="auto"/>
          <w:kern w:val="0"/>
          <w:szCs w:val="24"/>
        </w:rPr>
        <w:t>检查数量：按楼层、结构缝或施工段划分检验批。在同一检验批内，对梁、柱，应抽查构件数量的10%，且不少于3件；对墙和板，应按有代表性的自然间抽查10%，且不少于3间；对大空间结构，墙可按相邻轴线间高度5</w:t>
      </w:r>
      <w:r>
        <w:rPr>
          <w:rFonts w:hint="eastAsia" w:ascii="宋体" w:hAnsi="宋体" w:eastAsia="宋体" w:cs="仿宋"/>
          <w:color w:val="auto"/>
          <w:kern w:val="0"/>
          <w:szCs w:val="24"/>
        </w:rPr>
        <w:t>m</w:t>
      </w:r>
      <w:r>
        <w:rPr>
          <w:rFonts w:ascii="宋体" w:hAnsi="宋体" w:eastAsia="宋体" w:cs="仿宋"/>
          <w:color w:val="auto"/>
          <w:kern w:val="0"/>
          <w:szCs w:val="24"/>
        </w:rPr>
        <w:t>左右划分检查面，板可按纵、横轴线划分检查面，抽查10%，且均不少于3面。</w:t>
      </w:r>
    </w:p>
    <w:p w14:paraId="42845150">
      <w:pPr>
        <w:spacing w:line="288" w:lineRule="auto"/>
        <w:ind w:firstLine="482"/>
        <w:jc w:val="center"/>
        <w:textAlignment w:val="baseline"/>
        <w:rPr>
          <w:szCs w:val="21"/>
        </w:rPr>
      </w:pPr>
      <w:r>
        <w:rPr>
          <w:rFonts w:hint="eastAsia"/>
          <w:szCs w:val="21"/>
        </w:rPr>
        <w:t>表7.3.14  预制构件</w:t>
      </w:r>
      <w:r>
        <w:rPr>
          <w:szCs w:val="21"/>
        </w:rPr>
        <w:t>安装尺寸的允许偏差及检验方法</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370"/>
        <w:gridCol w:w="1913"/>
        <w:gridCol w:w="1817"/>
        <w:gridCol w:w="1457"/>
      </w:tblGrid>
      <w:tr w14:paraId="0C8B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8" w:type="dxa"/>
            <w:gridSpan w:val="3"/>
            <w:vAlign w:val="center"/>
          </w:tcPr>
          <w:p w14:paraId="6930464D">
            <w:pPr>
              <w:pStyle w:val="127"/>
              <w:spacing w:after="0"/>
              <w:rPr>
                <w:color w:val="auto"/>
                <w:sz w:val="21"/>
              </w:rPr>
            </w:pPr>
            <w:r>
              <w:rPr>
                <w:rFonts w:hint="eastAsia"/>
                <w:color w:val="auto"/>
                <w:sz w:val="21"/>
              </w:rPr>
              <w:t>项目</w:t>
            </w:r>
          </w:p>
        </w:tc>
        <w:tc>
          <w:tcPr>
            <w:tcW w:w="1817" w:type="dxa"/>
            <w:vAlign w:val="center"/>
          </w:tcPr>
          <w:p w14:paraId="7C05D973">
            <w:pPr>
              <w:pStyle w:val="127"/>
              <w:spacing w:after="0"/>
              <w:rPr>
                <w:color w:val="auto"/>
                <w:sz w:val="21"/>
              </w:rPr>
            </w:pPr>
            <w:r>
              <w:rPr>
                <w:color w:val="auto"/>
                <w:sz w:val="21"/>
              </w:rPr>
              <w:t>允许偏差（mm）</w:t>
            </w:r>
          </w:p>
        </w:tc>
        <w:tc>
          <w:tcPr>
            <w:tcW w:w="1457" w:type="dxa"/>
            <w:vAlign w:val="center"/>
          </w:tcPr>
          <w:p w14:paraId="07741D0C">
            <w:pPr>
              <w:pStyle w:val="127"/>
              <w:spacing w:after="0"/>
              <w:rPr>
                <w:color w:val="auto"/>
                <w:sz w:val="21"/>
              </w:rPr>
            </w:pPr>
            <w:r>
              <w:rPr>
                <w:color w:val="auto"/>
                <w:sz w:val="21"/>
              </w:rPr>
              <w:t>检验方法</w:t>
            </w:r>
          </w:p>
        </w:tc>
      </w:tr>
      <w:tr w14:paraId="7268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Merge w:val="restart"/>
            <w:vAlign w:val="center"/>
          </w:tcPr>
          <w:p w14:paraId="4D0CC958">
            <w:pPr>
              <w:pStyle w:val="127"/>
              <w:spacing w:after="0"/>
              <w:rPr>
                <w:color w:val="auto"/>
                <w:sz w:val="21"/>
              </w:rPr>
            </w:pPr>
            <w:r>
              <w:rPr>
                <w:color w:val="auto"/>
                <w:sz w:val="21"/>
              </w:rPr>
              <w:t>构件中心线对轴线位置</w:t>
            </w:r>
          </w:p>
        </w:tc>
        <w:tc>
          <w:tcPr>
            <w:tcW w:w="3283" w:type="dxa"/>
            <w:gridSpan w:val="2"/>
            <w:vAlign w:val="center"/>
          </w:tcPr>
          <w:p w14:paraId="7E951925">
            <w:pPr>
              <w:pStyle w:val="127"/>
              <w:spacing w:after="0"/>
              <w:rPr>
                <w:color w:val="auto"/>
                <w:sz w:val="21"/>
              </w:rPr>
            </w:pPr>
            <w:r>
              <w:rPr>
                <w:color w:val="auto"/>
                <w:sz w:val="21"/>
              </w:rPr>
              <w:t>基础</w:t>
            </w:r>
          </w:p>
        </w:tc>
        <w:tc>
          <w:tcPr>
            <w:tcW w:w="1817" w:type="dxa"/>
            <w:vAlign w:val="center"/>
          </w:tcPr>
          <w:p w14:paraId="38F29B06">
            <w:pPr>
              <w:pStyle w:val="127"/>
              <w:spacing w:after="0"/>
              <w:rPr>
                <w:color w:val="auto"/>
                <w:sz w:val="21"/>
              </w:rPr>
            </w:pPr>
            <w:r>
              <w:rPr>
                <w:color w:val="auto"/>
                <w:sz w:val="21"/>
              </w:rPr>
              <w:t>≤15</w:t>
            </w:r>
          </w:p>
        </w:tc>
        <w:tc>
          <w:tcPr>
            <w:tcW w:w="1457" w:type="dxa"/>
            <w:vMerge w:val="restart"/>
            <w:vAlign w:val="center"/>
          </w:tcPr>
          <w:p w14:paraId="4E321550">
            <w:pPr>
              <w:pStyle w:val="127"/>
              <w:spacing w:after="0"/>
              <w:rPr>
                <w:color w:val="auto"/>
                <w:sz w:val="21"/>
              </w:rPr>
            </w:pPr>
            <w:r>
              <w:rPr>
                <w:color w:val="auto"/>
                <w:sz w:val="21"/>
              </w:rPr>
              <w:t>经纬仪</w:t>
            </w:r>
            <w:r>
              <w:rPr>
                <w:rFonts w:hint="eastAsia"/>
                <w:color w:val="auto"/>
                <w:sz w:val="21"/>
              </w:rPr>
              <w:t>及</w:t>
            </w:r>
            <w:r>
              <w:rPr>
                <w:color w:val="auto"/>
                <w:sz w:val="21"/>
              </w:rPr>
              <w:t>尺量</w:t>
            </w:r>
          </w:p>
        </w:tc>
      </w:tr>
      <w:tr w14:paraId="2A9E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Merge w:val="continue"/>
            <w:vAlign w:val="center"/>
          </w:tcPr>
          <w:p w14:paraId="2D0EC79E">
            <w:pPr>
              <w:pStyle w:val="127"/>
              <w:spacing w:after="0"/>
              <w:rPr>
                <w:color w:val="auto"/>
                <w:sz w:val="21"/>
              </w:rPr>
            </w:pPr>
          </w:p>
        </w:tc>
        <w:tc>
          <w:tcPr>
            <w:tcW w:w="3283" w:type="dxa"/>
            <w:gridSpan w:val="2"/>
            <w:vAlign w:val="center"/>
          </w:tcPr>
          <w:p w14:paraId="2B0CBFCF">
            <w:pPr>
              <w:pStyle w:val="127"/>
              <w:spacing w:after="0"/>
              <w:rPr>
                <w:color w:val="auto"/>
                <w:sz w:val="21"/>
              </w:rPr>
            </w:pPr>
            <w:r>
              <w:rPr>
                <w:color w:val="auto"/>
                <w:sz w:val="21"/>
              </w:rPr>
              <w:t>竖向构件（柱、墙板、桁架）</w:t>
            </w:r>
          </w:p>
        </w:tc>
        <w:tc>
          <w:tcPr>
            <w:tcW w:w="1817" w:type="dxa"/>
            <w:vAlign w:val="center"/>
          </w:tcPr>
          <w:p w14:paraId="23271FA6">
            <w:pPr>
              <w:pStyle w:val="127"/>
              <w:spacing w:after="0"/>
              <w:rPr>
                <w:color w:val="auto"/>
                <w:sz w:val="21"/>
              </w:rPr>
            </w:pPr>
            <w:r>
              <w:rPr>
                <w:color w:val="auto"/>
                <w:sz w:val="21"/>
              </w:rPr>
              <w:t>≤8</w:t>
            </w:r>
          </w:p>
        </w:tc>
        <w:tc>
          <w:tcPr>
            <w:tcW w:w="1457" w:type="dxa"/>
            <w:vMerge w:val="continue"/>
            <w:vAlign w:val="center"/>
          </w:tcPr>
          <w:p w14:paraId="2EF5E6AB">
            <w:pPr>
              <w:pStyle w:val="127"/>
              <w:spacing w:after="0"/>
              <w:rPr>
                <w:color w:val="auto"/>
                <w:sz w:val="21"/>
              </w:rPr>
            </w:pPr>
          </w:p>
        </w:tc>
      </w:tr>
      <w:tr w14:paraId="6371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Merge w:val="continue"/>
            <w:vAlign w:val="center"/>
          </w:tcPr>
          <w:p w14:paraId="2DF388BA">
            <w:pPr>
              <w:pStyle w:val="127"/>
              <w:spacing w:after="0"/>
              <w:rPr>
                <w:color w:val="auto"/>
                <w:sz w:val="21"/>
              </w:rPr>
            </w:pPr>
          </w:p>
        </w:tc>
        <w:tc>
          <w:tcPr>
            <w:tcW w:w="3283" w:type="dxa"/>
            <w:gridSpan w:val="2"/>
            <w:vAlign w:val="center"/>
          </w:tcPr>
          <w:p w14:paraId="72D1187D">
            <w:pPr>
              <w:pStyle w:val="127"/>
              <w:spacing w:after="0"/>
              <w:rPr>
                <w:color w:val="auto"/>
                <w:sz w:val="21"/>
              </w:rPr>
            </w:pPr>
            <w:r>
              <w:rPr>
                <w:color w:val="auto"/>
                <w:sz w:val="21"/>
              </w:rPr>
              <w:t>水平构件（梁、板）</w:t>
            </w:r>
          </w:p>
        </w:tc>
        <w:tc>
          <w:tcPr>
            <w:tcW w:w="1817" w:type="dxa"/>
            <w:vAlign w:val="center"/>
          </w:tcPr>
          <w:p w14:paraId="5AA57A34">
            <w:pPr>
              <w:pStyle w:val="127"/>
              <w:spacing w:after="0"/>
              <w:rPr>
                <w:color w:val="auto"/>
                <w:sz w:val="21"/>
              </w:rPr>
            </w:pPr>
            <w:r>
              <w:rPr>
                <w:color w:val="auto"/>
                <w:sz w:val="21"/>
              </w:rPr>
              <w:t>≤5</w:t>
            </w:r>
          </w:p>
        </w:tc>
        <w:tc>
          <w:tcPr>
            <w:tcW w:w="1457" w:type="dxa"/>
            <w:vMerge w:val="continue"/>
            <w:vAlign w:val="center"/>
          </w:tcPr>
          <w:p w14:paraId="194E1467">
            <w:pPr>
              <w:pStyle w:val="127"/>
              <w:spacing w:after="0"/>
              <w:rPr>
                <w:color w:val="auto"/>
                <w:sz w:val="21"/>
              </w:rPr>
            </w:pPr>
          </w:p>
        </w:tc>
      </w:tr>
      <w:tr w14:paraId="142B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Align w:val="center"/>
          </w:tcPr>
          <w:p w14:paraId="14A42167">
            <w:pPr>
              <w:pStyle w:val="127"/>
              <w:spacing w:after="0"/>
              <w:rPr>
                <w:color w:val="auto"/>
                <w:sz w:val="21"/>
              </w:rPr>
            </w:pPr>
            <w:r>
              <w:rPr>
                <w:color w:val="auto"/>
                <w:sz w:val="21"/>
              </w:rPr>
              <w:t>构件标高</w:t>
            </w:r>
          </w:p>
        </w:tc>
        <w:tc>
          <w:tcPr>
            <w:tcW w:w="3283" w:type="dxa"/>
            <w:gridSpan w:val="2"/>
            <w:vAlign w:val="center"/>
          </w:tcPr>
          <w:p w14:paraId="77A2358B">
            <w:pPr>
              <w:pStyle w:val="127"/>
              <w:spacing w:after="0"/>
              <w:rPr>
                <w:color w:val="auto"/>
                <w:sz w:val="21"/>
              </w:rPr>
            </w:pPr>
            <w:r>
              <w:rPr>
                <w:color w:val="auto"/>
                <w:sz w:val="21"/>
              </w:rPr>
              <w:t>梁、柱、墙、板底面或顶面</w:t>
            </w:r>
          </w:p>
        </w:tc>
        <w:tc>
          <w:tcPr>
            <w:tcW w:w="1817" w:type="dxa"/>
            <w:vAlign w:val="center"/>
          </w:tcPr>
          <w:p w14:paraId="24ED207D">
            <w:pPr>
              <w:pStyle w:val="127"/>
              <w:spacing w:after="0"/>
              <w:rPr>
                <w:color w:val="auto"/>
                <w:sz w:val="21"/>
              </w:rPr>
            </w:pPr>
            <w:r>
              <w:rPr>
                <w:color w:val="auto"/>
                <w:sz w:val="21"/>
              </w:rPr>
              <w:t>±5</w:t>
            </w:r>
          </w:p>
        </w:tc>
        <w:tc>
          <w:tcPr>
            <w:tcW w:w="1457" w:type="dxa"/>
            <w:vAlign w:val="center"/>
          </w:tcPr>
          <w:p w14:paraId="38043327">
            <w:pPr>
              <w:pStyle w:val="127"/>
              <w:spacing w:after="0"/>
              <w:rPr>
                <w:color w:val="auto"/>
                <w:sz w:val="21"/>
              </w:rPr>
            </w:pPr>
            <w:r>
              <w:rPr>
                <w:color w:val="auto"/>
                <w:sz w:val="21"/>
              </w:rPr>
              <w:t>水准仪或拉线、尺量</w:t>
            </w:r>
          </w:p>
        </w:tc>
      </w:tr>
      <w:tr w14:paraId="6900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Merge w:val="restart"/>
            <w:vAlign w:val="center"/>
          </w:tcPr>
          <w:p w14:paraId="577F072F">
            <w:pPr>
              <w:pStyle w:val="127"/>
              <w:spacing w:after="0"/>
              <w:rPr>
                <w:color w:val="auto"/>
                <w:sz w:val="21"/>
              </w:rPr>
            </w:pPr>
            <w:r>
              <w:rPr>
                <w:color w:val="auto"/>
                <w:sz w:val="21"/>
              </w:rPr>
              <w:t>构件垂直度</w:t>
            </w:r>
          </w:p>
        </w:tc>
        <w:tc>
          <w:tcPr>
            <w:tcW w:w="1370" w:type="dxa"/>
            <w:vMerge w:val="restart"/>
            <w:vAlign w:val="center"/>
          </w:tcPr>
          <w:p w14:paraId="3F43802C">
            <w:pPr>
              <w:pStyle w:val="127"/>
              <w:spacing w:after="0"/>
              <w:rPr>
                <w:color w:val="auto"/>
                <w:sz w:val="21"/>
              </w:rPr>
            </w:pPr>
            <w:r>
              <w:rPr>
                <w:color w:val="auto"/>
                <w:sz w:val="21"/>
              </w:rPr>
              <w:t>柱、墙</w:t>
            </w:r>
          </w:p>
        </w:tc>
        <w:tc>
          <w:tcPr>
            <w:tcW w:w="1913" w:type="dxa"/>
            <w:vAlign w:val="center"/>
          </w:tcPr>
          <w:p w14:paraId="1B98F99E">
            <w:pPr>
              <w:pStyle w:val="127"/>
              <w:spacing w:after="0"/>
              <w:rPr>
                <w:color w:val="auto"/>
                <w:sz w:val="21"/>
              </w:rPr>
            </w:pPr>
            <w:r>
              <w:rPr>
                <w:color w:val="auto"/>
                <w:sz w:val="21"/>
              </w:rPr>
              <w:t>≤6m</w:t>
            </w:r>
          </w:p>
        </w:tc>
        <w:tc>
          <w:tcPr>
            <w:tcW w:w="1817" w:type="dxa"/>
            <w:vAlign w:val="center"/>
          </w:tcPr>
          <w:p w14:paraId="56ACEFE0">
            <w:pPr>
              <w:pStyle w:val="127"/>
              <w:spacing w:after="0"/>
              <w:rPr>
                <w:color w:val="auto"/>
                <w:sz w:val="21"/>
              </w:rPr>
            </w:pPr>
            <w:r>
              <w:rPr>
                <w:color w:val="auto"/>
                <w:sz w:val="21"/>
              </w:rPr>
              <w:t>≤5</w:t>
            </w:r>
          </w:p>
        </w:tc>
        <w:tc>
          <w:tcPr>
            <w:tcW w:w="1457" w:type="dxa"/>
            <w:vMerge w:val="restart"/>
            <w:vAlign w:val="center"/>
          </w:tcPr>
          <w:p w14:paraId="437B372C">
            <w:pPr>
              <w:pStyle w:val="127"/>
              <w:spacing w:after="0"/>
              <w:rPr>
                <w:color w:val="auto"/>
                <w:sz w:val="21"/>
              </w:rPr>
            </w:pPr>
            <w:r>
              <w:rPr>
                <w:color w:val="auto"/>
                <w:sz w:val="21"/>
              </w:rPr>
              <w:t>经纬仪或吊线、尺量</w:t>
            </w:r>
          </w:p>
        </w:tc>
      </w:tr>
      <w:tr w14:paraId="45FD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Merge w:val="continue"/>
            <w:vAlign w:val="center"/>
          </w:tcPr>
          <w:p w14:paraId="4EB51F56">
            <w:pPr>
              <w:pStyle w:val="127"/>
              <w:spacing w:after="0"/>
              <w:rPr>
                <w:color w:val="auto"/>
                <w:sz w:val="21"/>
              </w:rPr>
            </w:pPr>
          </w:p>
        </w:tc>
        <w:tc>
          <w:tcPr>
            <w:tcW w:w="1370" w:type="dxa"/>
            <w:vMerge w:val="continue"/>
            <w:vAlign w:val="center"/>
          </w:tcPr>
          <w:p w14:paraId="157FF79E">
            <w:pPr>
              <w:pStyle w:val="127"/>
              <w:spacing w:after="0"/>
              <w:rPr>
                <w:color w:val="auto"/>
                <w:sz w:val="21"/>
              </w:rPr>
            </w:pPr>
          </w:p>
        </w:tc>
        <w:tc>
          <w:tcPr>
            <w:tcW w:w="1913" w:type="dxa"/>
            <w:vAlign w:val="center"/>
          </w:tcPr>
          <w:p w14:paraId="694B25EA">
            <w:pPr>
              <w:pStyle w:val="127"/>
              <w:spacing w:after="0"/>
              <w:rPr>
                <w:color w:val="auto"/>
                <w:sz w:val="21"/>
              </w:rPr>
            </w:pPr>
            <w:r>
              <w:rPr>
                <w:color w:val="auto"/>
                <w:sz w:val="21"/>
              </w:rPr>
              <w:t>＞6m</w:t>
            </w:r>
          </w:p>
        </w:tc>
        <w:tc>
          <w:tcPr>
            <w:tcW w:w="1817" w:type="dxa"/>
            <w:vAlign w:val="center"/>
          </w:tcPr>
          <w:p w14:paraId="02FA60B9">
            <w:pPr>
              <w:pStyle w:val="127"/>
              <w:spacing w:after="0"/>
              <w:rPr>
                <w:color w:val="auto"/>
                <w:sz w:val="21"/>
              </w:rPr>
            </w:pPr>
            <w:r>
              <w:rPr>
                <w:color w:val="auto"/>
                <w:sz w:val="21"/>
              </w:rPr>
              <w:t>≤0</w:t>
            </w:r>
          </w:p>
        </w:tc>
        <w:tc>
          <w:tcPr>
            <w:tcW w:w="1457" w:type="dxa"/>
            <w:vMerge w:val="continue"/>
            <w:vAlign w:val="center"/>
          </w:tcPr>
          <w:p w14:paraId="5A5D3D19">
            <w:pPr>
              <w:pStyle w:val="127"/>
              <w:spacing w:after="0"/>
              <w:rPr>
                <w:color w:val="auto"/>
                <w:sz w:val="21"/>
              </w:rPr>
            </w:pPr>
          </w:p>
        </w:tc>
      </w:tr>
      <w:tr w14:paraId="0A2E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Align w:val="center"/>
          </w:tcPr>
          <w:p w14:paraId="330E0306">
            <w:pPr>
              <w:pStyle w:val="127"/>
              <w:spacing w:after="0"/>
              <w:rPr>
                <w:color w:val="auto"/>
                <w:sz w:val="21"/>
              </w:rPr>
            </w:pPr>
            <w:r>
              <w:rPr>
                <w:color w:val="auto"/>
                <w:sz w:val="21"/>
              </w:rPr>
              <w:t>构件倾斜度</w:t>
            </w:r>
          </w:p>
        </w:tc>
        <w:tc>
          <w:tcPr>
            <w:tcW w:w="3283" w:type="dxa"/>
            <w:gridSpan w:val="2"/>
            <w:vAlign w:val="center"/>
          </w:tcPr>
          <w:p w14:paraId="3B96C124">
            <w:pPr>
              <w:pStyle w:val="127"/>
              <w:spacing w:after="0"/>
              <w:rPr>
                <w:color w:val="auto"/>
                <w:sz w:val="21"/>
              </w:rPr>
            </w:pPr>
            <w:r>
              <w:rPr>
                <w:color w:val="auto"/>
                <w:sz w:val="21"/>
              </w:rPr>
              <w:t>梁、桁架</w:t>
            </w:r>
          </w:p>
        </w:tc>
        <w:tc>
          <w:tcPr>
            <w:tcW w:w="1817" w:type="dxa"/>
            <w:vAlign w:val="center"/>
          </w:tcPr>
          <w:p w14:paraId="217C5241">
            <w:pPr>
              <w:pStyle w:val="127"/>
              <w:spacing w:after="0"/>
              <w:rPr>
                <w:color w:val="auto"/>
                <w:sz w:val="21"/>
              </w:rPr>
            </w:pPr>
            <w:r>
              <w:rPr>
                <w:color w:val="auto"/>
                <w:sz w:val="21"/>
              </w:rPr>
              <w:t>≤5</w:t>
            </w:r>
          </w:p>
        </w:tc>
        <w:tc>
          <w:tcPr>
            <w:tcW w:w="1457" w:type="dxa"/>
            <w:vAlign w:val="center"/>
          </w:tcPr>
          <w:p w14:paraId="396C48BA">
            <w:pPr>
              <w:pStyle w:val="127"/>
              <w:spacing w:after="0"/>
              <w:rPr>
                <w:color w:val="auto"/>
                <w:sz w:val="21"/>
              </w:rPr>
            </w:pPr>
            <w:r>
              <w:rPr>
                <w:color w:val="auto"/>
                <w:sz w:val="21"/>
              </w:rPr>
              <w:t>经纬仪或吊线、尺量</w:t>
            </w:r>
          </w:p>
        </w:tc>
      </w:tr>
      <w:tr w14:paraId="3F1B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Merge w:val="restart"/>
            <w:vAlign w:val="center"/>
          </w:tcPr>
          <w:p w14:paraId="42A73509">
            <w:pPr>
              <w:pStyle w:val="127"/>
              <w:spacing w:after="0"/>
              <w:rPr>
                <w:color w:val="auto"/>
                <w:sz w:val="21"/>
              </w:rPr>
            </w:pPr>
            <w:r>
              <w:rPr>
                <w:color w:val="auto"/>
                <w:sz w:val="21"/>
              </w:rPr>
              <w:t>相邻构件平整度</w:t>
            </w:r>
          </w:p>
        </w:tc>
        <w:tc>
          <w:tcPr>
            <w:tcW w:w="3283" w:type="dxa"/>
            <w:gridSpan w:val="2"/>
            <w:vAlign w:val="center"/>
          </w:tcPr>
          <w:p w14:paraId="23AA5FF4">
            <w:pPr>
              <w:pStyle w:val="127"/>
              <w:spacing w:after="0"/>
              <w:rPr>
                <w:color w:val="auto"/>
                <w:sz w:val="21"/>
              </w:rPr>
            </w:pPr>
            <w:r>
              <w:rPr>
                <w:color w:val="auto"/>
                <w:sz w:val="21"/>
              </w:rPr>
              <w:t>板端面</w:t>
            </w:r>
          </w:p>
        </w:tc>
        <w:tc>
          <w:tcPr>
            <w:tcW w:w="1817" w:type="dxa"/>
            <w:vAlign w:val="center"/>
          </w:tcPr>
          <w:p w14:paraId="5A2FEAA2">
            <w:pPr>
              <w:pStyle w:val="127"/>
              <w:spacing w:after="0"/>
              <w:rPr>
                <w:color w:val="auto"/>
                <w:sz w:val="21"/>
              </w:rPr>
            </w:pPr>
            <w:r>
              <w:rPr>
                <w:color w:val="auto"/>
                <w:sz w:val="21"/>
              </w:rPr>
              <w:t>≤5</w:t>
            </w:r>
          </w:p>
        </w:tc>
        <w:tc>
          <w:tcPr>
            <w:tcW w:w="1457" w:type="dxa"/>
            <w:vMerge w:val="restart"/>
            <w:vAlign w:val="center"/>
          </w:tcPr>
          <w:p w14:paraId="7B491E44">
            <w:pPr>
              <w:pStyle w:val="127"/>
              <w:spacing w:after="0"/>
              <w:rPr>
                <w:color w:val="auto"/>
                <w:sz w:val="21"/>
              </w:rPr>
            </w:pPr>
            <w:r>
              <w:rPr>
                <w:color w:val="auto"/>
                <w:sz w:val="21"/>
              </w:rPr>
              <w:t>2m靠尺</w:t>
            </w:r>
            <w:r>
              <w:rPr>
                <w:rFonts w:hint="eastAsia"/>
                <w:color w:val="auto"/>
                <w:sz w:val="21"/>
              </w:rPr>
              <w:t>和</w:t>
            </w:r>
            <w:r>
              <w:rPr>
                <w:color w:val="auto"/>
                <w:sz w:val="21"/>
              </w:rPr>
              <w:t>塞尺量测</w:t>
            </w:r>
          </w:p>
        </w:tc>
      </w:tr>
      <w:tr w14:paraId="46F4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Merge w:val="continue"/>
            <w:vAlign w:val="center"/>
          </w:tcPr>
          <w:p w14:paraId="0DB20F60">
            <w:pPr>
              <w:pStyle w:val="127"/>
              <w:spacing w:after="0"/>
              <w:rPr>
                <w:color w:val="auto"/>
                <w:sz w:val="21"/>
              </w:rPr>
            </w:pPr>
          </w:p>
        </w:tc>
        <w:tc>
          <w:tcPr>
            <w:tcW w:w="1370" w:type="dxa"/>
            <w:vMerge w:val="restart"/>
            <w:vAlign w:val="center"/>
          </w:tcPr>
          <w:p w14:paraId="030494F8">
            <w:pPr>
              <w:pStyle w:val="127"/>
              <w:spacing w:after="0"/>
              <w:rPr>
                <w:color w:val="auto"/>
                <w:sz w:val="21"/>
              </w:rPr>
            </w:pPr>
            <w:r>
              <w:rPr>
                <w:color w:val="auto"/>
                <w:sz w:val="21"/>
              </w:rPr>
              <w:t>梁、板</w:t>
            </w:r>
          </w:p>
          <w:p w14:paraId="61D39F52">
            <w:pPr>
              <w:pStyle w:val="127"/>
              <w:spacing w:after="0"/>
              <w:rPr>
                <w:color w:val="auto"/>
                <w:sz w:val="21"/>
              </w:rPr>
            </w:pPr>
            <w:r>
              <w:rPr>
                <w:color w:val="auto"/>
                <w:sz w:val="21"/>
              </w:rPr>
              <w:t>底面</w:t>
            </w:r>
          </w:p>
        </w:tc>
        <w:tc>
          <w:tcPr>
            <w:tcW w:w="1913" w:type="dxa"/>
            <w:vAlign w:val="center"/>
          </w:tcPr>
          <w:p w14:paraId="0E93F399">
            <w:pPr>
              <w:pStyle w:val="127"/>
              <w:spacing w:after="0"/>
              <w:rPr>
                <w:color w:val="auto"/>
                <w:sz w:val="21"/>
              </w:rPr>
            </w:pPr>
            <w:r>
              <w:rPr>
                <w:color w:val="auto"/>
                <w:sz w:val="21"/>
              </w:rPr>
              <w:t>外露</w:t>
            </w:r>
          </w:p>
        </w:tc>
        <w:tc>
          <w:tcPr>
            <w:tcW w:w="1817" w:type="dxa"/>
            <w:vAlign w:val="center"/>
          </w:tcPr>
          <w:p w14:paraId="5CF4E0CA">
            <w:pPr>
              <w:pStyle w:val="127"/>
              <w:spacing w:after="0"/>
              <w:rPr>
                <w:color w:val="auto"/>
                <w:sz w:val="21"/>
              </w:rPr>
            </w:pPr>
            <w:r>
              <w:rPr>
                <w:color w:val="auto"/>
                <w:sz w:val="21"/>
              </w:rPr>
              <w:t>≤3</w:t>
            </w:r>
          </w:p>
        </w:tc>
        <w:tc>
          <w:tcPr>
            <w:tcW w:w="1457" w:type="dxa"/>
            <w:vMerge w:val="continue"/>
            <w:vAlign w:val="center"/>
          </w:tcPr>
          <w:p w14:paraId="396085AB">
            <w:pPr>
              <w:pStyle w:val="127"/>
              <w:spacing w:after="0"/>
              <w:rPr>
                <w:color w:val="auto"/>
                <w:sz w:val="21"/>
              </w:rPr>
            </w:pPr>
          </w:p>
        </w:tc>
      </w:tr>
      <w:tr w14:paraId="3927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Merge w:val="continue"/>
            <w:vAlign w:val="center"/>
          </w:tcPr>
          <w:p w14:paraId="34B4183A">
            <w:pPr>
              <w:pStyle w:val="127"/>
              <w:spacing w:after="0"/>
              <w:rPr>
                <w:color w:val="auto"/>
                <w:sz w:val="21"/>
              </w:rPr>
            </w:pPr>
          </w:p>
        </w:tc>
        <w:tc>
          <w:tcPr>
            <w:tcW w:w="1370" w:type="dxa"/>
            <w:vMerge w:val="continue"/>
            <w:vAlign w:val="center"/>
          </w:tcPr>
          <w:p w14:paraId="7C123126">
            <w:pPr>
              <w:pStyle w:val="127"/>
              <w:spacing w:after="0"/>
              <w:rPr>
                <w:color w:val="auto"/>
                <w:sz w:val="21"/>
              </w:rPr>
            </w:pPr>
          </w:p>
        </w:tc>
        <w:tc>
          <w:tcPr>
            <w:tcW w:w="1913" w:type="dxa"/>
            <w:vAlign w:val="center"/>
          </w:tcPr>
          <w:p w14:paraId="60F474F7">
            <w:pPr>
              <w:pStyle w:val="127"/>
              <w:spacing w:after="0"/>
              <w:rPr>
                <w:color w:val="auto"/>
                <w:sz w:val="21"/>
              </w:rPr>
            </w:pPr>
            <w:r>
              <w:rPr>
                <w:color w:val="auto"/>
                <w:sz w:val="21"/>
              </w:rPr>
              <w:t>不外露</w:t>
            </w:r>
          </w:p>
        </w:tc>
        <w:tc>
          <w:tcPr>
            <w:tcW w:w="1817" w:type="dxa"/>
            <w:vAlign w:val="center"/>
          </w:tcPr>
          <w:p w14:paraId="1D3812CE">
            <w:pPr>
              <w:pStyle w:val="127"/>
              <w:spacing w:after="0"/>
              <w:rPr>
                <w:color w:val="auto"/>
                <w:sz w:val="21"/>
              </w:rPr>
            </w:pPr>
            <w:r>
              <w:rPr>
                <w:color w:val="auto"/>
                <w:sz w:val="21"/>
              </w:rPr>
              <w:t>≤5</w:t>
            </w:r>
          </w:p>
        </w:tc>
        <w:tc>
          <w:tcPr>
            <w:tcW w:w="1457" w:type="dxa"/>
            <w:vMerge w:val="continue"/>
            <w:vAlign w:val="center"/>
          </w:tcPr>
          <w:p w14:paraId="0B3631F8">
            <w:pPr>
              <w:pStyle w:val="127"/>
              <w:spacing w:after="0"/>
              <w:rPr>
                <w:color w:val="auto"/>
                <w:sz w:val="21"/>
              </w:rPr>
            </w:pPr>
          </w:p>
        </w:tc>
      </w:tr>
      <w:tr w14:paraId="2CCF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Merge w:val="continue"/>
            <w:vAlign w:val="center"/>
          </w:tcPr>
          <w:p w14:paraId="43656217">
            <w:pPr>
              <w:pStyle w:val="127"/>
              <w:spacing w:after="0"/>
              <w:rPr>
                <w:color w:val="auto"/>
                <w:sz w:val="21"/>
              </w:rPr>
            </w:pPr>
          </w:p>
        </w:tc>
        <w:tc>
          <w:tcPr>
            <w:tcW w:w="1370" w:type="dxa"/>
            <w:vMerge w:val="restart"/>
            <w:vAlign w:val="center"/>
          </w:tcPr>
          <w:p w14:paraId="2370D3C4">
            <w:pPr>
              <w:pStyle w:val="127"/>
              <w:spacing w:after="0"/>
              <w:rPr>
                <w:color w:val="auto"/>
                <w:sz w:val="21"/>
              </w:rPr>
            </w:pPr>
            <w:r>
              <w:rPr>
                <w:color w:val="auto"/>
                <w:sz w:val="21"/>
              </w:rPr>
              <w:t>柱、墙板</w:t>
            </w:r>
          </w:p>
        </w:tc>
        <w:tc>
          <w:tcPr>
            <w:tcW w:w="1913" w:type="dxa"/>
            <w:vAlign w:val="center"/>
          </w:tcPr>
          <w:p w14:paraId="3A78BDA7">
            <w:pPr>
              <w:pStyle w:val="127"/>
              <w:spacing w:after="0"/>
              <w:rPr>
                <w:color w:val="auto"/>
                <w:sz w:val="21"/>
              </w:rPr>
            </w:pPr>
            <w:r>
              <w:rPr>
                <w:color w:val="auto"/>
                <w:sz w:val="21"/>
              </w:rPr>
              <w:t>外露</w:t>
            </w:r>
          </w:p>
        </w:tc>
        <w:tc>
          <w:tcPr>
            <w:tcW w:w="1817" w:type="dxa"/>
            <w:vAlign w:val="center"/>
          </w:tcPr>
          <w:p w14:paraId="45107307">
            <w:pPr>
              <w:pStyle w:val="127"/>
              <w:spacing w:after="0"/>
              <w:rPr>
                <w:color w:val="auto"/>
                <w:sz w:val="21"/>
              </w:rPr>
            </w:pPr>
            <w:r>
              <w:rPr>
                <w:color w:val="auto"/>
                <w:sz w:val="21"/>
              </w:rPr>
              <w:t>≤5</w:t>
            </w:r>
          </w:p>
        </w:tc>
        <w:tc>
          <w:tcPr>
            <w:tcW w:w="1457" w:type="dxa"/>
            <w:vMerge w:val="continue"/>
            <w:vAlign w:val="center"/>
          </w:tcPr>
          <w:p w14:paraId="2319B8B3">
            <w:pPr>
              <w:pStyle w:val="127"/>
              <w:spacing w:after="0"/>
              <w:rPr>
                <w:color w:val="auto"/>
                <w:sz w:val="21"/>
              </w:rPr>
            </w:pPr>
          </w:p>
        </w:tc>
      </w:tr>
      <w:tr w14:paraId="50CB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Merge w:val="continue"/>
            <w:vAlign w:val="center"/>
          </w:tcPr>
          <w:p w14:paraId="2BA57E50">
            <w:pPr>
              <w:pStyle w:val="127"/>
              <w:spacing w:after="0"/>
              <w:rPr>
                <w:color w:val="auto"/>
                <w:sz w:val="21"/>
              </w:rPr>
            </w:pPr>
          </w:p>
        </w:tc>
        <w:tc>
          <w:tcPr>
            <w:tcW w:w="1370" w:type="dxa"/>
            <w:vMerge w:val="continue"/>
            <w:vAlign w:val="center"/>
          </w:tcPr>
          <w:p w14:paraId="06EB7D23">
            <w:pPr>
              <w:pStyle w:val="127"/>
              <w:spacing w:after="0"/>
              <w:rPr>
                <w:color w:val="auto"/>
                <w:sz w:val="21"/>
              </w:rPr>
            </w:pPr>
          </w:p>
        </w:tc>
        <w:tc>
          <w:tcPr>
            <w:tcW w:w="1913" w:type="dxa"/>
            <w:vAlign w:val="center"/>
          </w:tcPr>
          <w:p w14:paraId="132C526D">
            <w:pPr>
              <w:pStyle w:val="127"/>
              <w:spacing w:after="0"/>
              <w:rPr>
                <w:color w:val="auto"/>
                <w:sz w:val="21"/>
              </w:rPr>
            </w:pPr>
            <w:r>
              <w:rPr>
                <w:color w:val="auto"/>
                <w:sz w:val="21"/>
              </w:rPr>
              <w:t>不外露</w:t>
            </w:r>
          </w:p>
        </w:tc>
        <w:tc>
          <w:tcPr>
            <w:tcW w:w="1817" w:type="dxa"/>
            <w:vAlign w:val="center"/>
          </w:tcPr>
          <w:p w14:paraId="2662E79B">
            <w:pPr>
              <w:pStyle w:val="127"/>
              <w:spacing w:after="0"/>
              <w:rPr>
                <w:color w:val="auto"/>
                <w:sz w:val="21"/>
              </w:rPr>
            </w:pPr>
            <w:r>
              <w:rPr>
                <w:color w:val="auto"/>
                <w:sz w:val="21"/>
              </w:rPr>
              <w:t>≤8</w:t>
            </w:r>
          </w:p>
        </w:tc>
        <w:tc>
          <w:tcPr>
            <w:tcW w:w="1457" w:type="dxa"/>
            <w:vMerge w:val="continue"/>
            <w:vAlign w:val="center"/>
          </w:tcPr>
          <w:p w14:paraId="3B5BEE24">
            <w:pPr>
              <w:pStyle w:val="127"/>
              <w:spacing w:after="0"/>
              <w:rPr>
                <w:color w:val="auto"/>
                <w:sz w:val="21"/>
              </w:rPr>
            </w:pPr>
          </w:p>
        </w:tc>
      </w:tr>
      <w:tr w14:paraId="6A75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Align w:val="center"/>
          </w:tcPr>
          <w:p w14:paraId="2F590A88">
            <w:pPr>
              <w:pStyle w:val="127"/>
              <w:spacing w:after="0"/>
              <w:rPr>
                <w:color w:val="auto"/>
                <w:sz w:val="21"/>
              </w:rPr>
            </w:pPr>
            <w:r>
              <w:rPr>
                <w:color w:val="auto"/>
                <w:sz w:val="21"/>
              </w:rPr>
              <w:t>构件搁置长度</w:t>
            </w:r>
          </w:p>
        </w:tc>
        <w:tc>
          <w:tcPr>
            <w:tcW w:w="3283" w:type="dxa"/>
            <w:gridSpan w:val="2"/>
            <w:vAlign w:val="center"/>
          </w:tcPr>
          <w:p w14:paraId="05F5C951">
            <w:pPr>
              <w:pStyle w:val="127"/>
              <w:spacing w:after="0"/>
              <w:rPr>
                <w:color w:val="auto"/>
                <w:sz w:val="21"/>
              </w:rPr>
            </w:pPr>
            <w:r>
              <w:rPr>
                <w:color w:val="auto"/>
                <w:sz w:val="21"/>
              </w:rPr>
              <w:t>梁、板</w:t>
            </w:r>
          </w:p>
        </w:tc>
        <w:tc>
          <w:tcPr>
            <w:tcW w:w="1817" w:type="dxa"/>
            <w:vAlign w:val="center"/>
          </w:tcPr>
          <w:p w14:paraId="4138EDF6">
            <w:pPr>
              <w:pStyle w:val="127"/>
              <w:spacing w:after="0"/>
              <w:rPr>
                <w:color w:val="auto"/>
                <w:sz w:val="21"/>
              </w:rPr>
            </w:pPr>
            <w:r>
              <w:rPr>
                <w:color w:val="auto"/>
                <w:sz w:val="21"/>
              </w:rPr>
              <w:t>±10</w:t>
            </w:r>
          </w:p>
        </w:tc>
        <w:tc>
          <w:tcPr>
            <w:tcW w:w="1457" w:type="dxa"/>
            <w:vAlign w:val="center"/>
          </w:tcPr>
          <w:p w14:paraId="400DBF6C">
            <w:pPr>
              <w:pStyle w:val="127"/>
              <w:spacing w:after="0"/>
              <w:rPr>
                <w:color w:val="auto"/>
                <w:sz w:val="21"/>
              </w:rPr>
            </w:pPr>
            <w:r>
              <w:rPr>
                <w:color w:val="auto"/>
                <w:sz w:val="21"/>
              </w:rPr>
              <w:t>尺量</w:t>
            </w:r>
          </w:p>
        </w:tc>
      </w:tr>
      <w:tr w14:paraId="481B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5" w:type="dxa"/>
            <w:vAlign w:val="center"/>
          </w:tcPr>
          <w:p w14:paraId="36527FFB">
            <w:pPr>
              <w:pStyle w:val="127"/>
              <w:spacing w:after="0"/>
              <w:rPr>
                <w:color w:val="auto"/>
                <w:sz w:val="21"/>
              </w:rPr>
            </w:pPr>
            <w:r>
              <w:rPr>
                <w:color w:val="auto"/>
                <w:sz w:val="21"/>
              </w:rPr>
              <w:t>支座、支垫</w:t>
            </w:r>
          </w:p>
          <w:p w14:paraId="16048738">
            <w:pPr>
              <w:pStyle w:val="127"/>
              <w:spacing w:after="0"/>
              <w:rPr>
                <w:color w:val="auto"/>
                <w:sz w:val="21"/>
              </w:rPr>
            </w:pPr>
            <w:r>
              <w:rPr>
                <w:color w:val="auto"/>
                <w:sz w:val="21"/>
              </w:rPr>
              <w:t>中心位置</w:t>
            </w:r>
          </w:p>
        </w:tc>
        <w:tc>
          <w:tcPr>
            <w:tcW w:w="3283" w:type="dxa"/>
            <w:gridSpan w:val="2"/>
            <w:vAlign w:val="center"/>
          </w:tcPr>
          <w:p w14:paraId="46C42A50">
            <w:pPr>
              <w:pStyle w:val="127"/>
              <w:spacing w:after="0"/>
              <w:rPr>
                <w:color w:val="auto"/>
                <w:sz w:val="21"/>
              </w:rPr>
            </w:pPr>
            <w:r>
              <w:rPr>
                <w:color w:val="auto"/>
                <w:sz w:val="21"/>
              </w:rPr>
              <w:t>板、梁、柱、墙板、桁架</w:t>
            </w:r>
          </w:p>
        </w:tc>
        <w:tc>
          <w:tcPr>
            <w:tcW w:w="1817" w:type="dxa"/>
            <w:vAlign w:val="center"/>
          </w:tcPr>
          <w:p w14:paraId="6E981707">
            <w:pPr>
              <w:pStyle w:val="127"/>
              <w:spacing w:after="0"/>
              <w:rPr>
                <w:color w:val="auto"/>
                <w:sz w:val="21"/>
              </w:rPr>
            </w:pPr>
            <w:r>
              <w:rPr>
                <w:color w:val="auto"/>
                <w:sz w:val="21"/>
              </w:rPr>
              <w:t>≤10</w:t>
            </w:r>
          </w:p>
        </w:tc>
        <w:tc>
          <w:tcPr>
            <w:tcW w:w="1457" w:type="dxa"/>
            <w:vAlign w:val="center"/>
          </w:tcPr>
          <w:p w14:paraId="5BB84AD2">
            <w:pPr>
              <w:pStyle w:val="127"/>
              <w:spacing w:after="0"/>
              <w:rPr>
                <w:color w:val="auto"/>
                <w:sz w:val="21"/>
              </w:rPr>
            </w:pPr>
            <w:r>
              <w:rPr>
                <w:color w:val="auto"/>
                <w:sz w:val="21"/>
              </w:rPr>
              <w:t>尺量</w:t>
            </w:r>
          </w:p>
        </w:tc>
      </w:tr>
      <w:tr w14:paraId="1286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8" w:type="dxa"/>
            <w:gridSpan w:val="3"/>
            <w:vAlign w:val="center"/>
          </w:tcPr>
          <w:p w14:paraId="5A8E3AE9">
            <w:pPr>
              <w:pStyle w:val="127"/>
              <w:spacing w:after="0"/>
              <w:rPr>
                <w:color w:val="auto"/>
                <w:sz w:val="21"/>
              </w:rPr>
            </w:pPr>
            <w:r>
              <w:rPr>
                <w:rFonts w:hint="eastAsia"/>
                <w:color w:val="auto"/>
                <w:sz w:val="21"/>
              </w:rPr>
              <w:t>墙</w:t>
            </w:r>
            <w:r>
              <w:rPr>
                <w:color w:val="auto"/>
                <w:sz w:val="21"/>
              </w:rPr>
              <w:t>接缝宽度</w:t>
            </w:r>
          </w:p>
        </w:tc>
        <w:tc>
          <w:tcPr>
            <w:tcW w:w="1817" w:type="dxa"/>
            <w:vAlign w:val="center"/>
          </w:tcPr>
          <w:p w14:paraId="1D76F5F5">
            <w:pPr>
              <w:pStyle w:val="127"/>
              <w:spacing w:after="0"/>
              <w:rPr>
                <w:color w:val="auto"/>
                <w:sz w:val="21"/>
              </w:rPr>
            </w:pPr>
            <w:r>
              <w:rPr>
                <w:color w:val="auto"/>
                <w:sz w:val="21"/>
              </w:rPr>
              <w:t>±5</w:t>
            </w:r>
          </w:p>
        </w:tc>
        <w:tc>
          <w:tcPr>
            <w:tcW w:w="1457" w:type="dxa"/>
            <w:vAlign w:val="center"/>
          </w:tcPr>
          <w:p w14:paraId="77C66E66">
            <w:pPr>
              <w:pStyle w:val="127"/>
              <w:spacing w:after="0"/>
              <w:rPr>
                <w:color w:val="auto"/>
                <w:sz w:val="21"/>
              </w:rPr>
            </w:pPr>
            <w:r>
              <w:rPr>
                <w:color w:val="auto"/>
                <w:sz w:val="21"/>
              </w:rPr>
              <w:t>尺量</w:t>
            </w:r>
          </w:p>
        </w:tc>
      </w:tr>
    </w:tbl>
    <w:p w14:paraId="4277E142">
      <w:pPr>
        <w:pStyle w:val="90"/>
        <w:spacing w:before="156"/>
        <w:ind w:firstLine="480"/>
        <w:rPr>
          <w:rFonts w:hint="eastAsia" w:ascii="宋体" w:hAnsi="宋体" w:cs="仿宋"/>
        </w:rPr>
      </w:pPr>
      <w:r>
        <w:t>装配式混凝土结构厂房后浇混凝土的外观质量不</w:t>
      </w:r>
      <w:r>
        <w:rPr>
          <w:rFonts w:hint="eastAsia"/>
        </w:rPr>
        <w:t>应</w:t>
      </w:r>
      <w:r>
        <w:t>有一般缺陷。</w:t>
      </w:r>
    </w:p>
    <w:p w14:paraId="0C0984C9">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6437C465">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检验方法：观察，检查技术处理方案。</w:t>
      </w:r>
    </w:p>
    <w:p w14:paraId="4A764B6E">
      <w:pPr>
        <w:pStyle w:val="90"/>
        <w:spacing w:before="156"/>
      </w:pPr>
      <w:r>
        <w:t>装配式混凝土结构厂房预制构件的防水节点构造做法应符合设计要求。</w:t>
      </w:r>
    </w:p>
    <w:p w14:paraId="373894A7">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检查数量：全数检查。</w:t>
      </w:r>
    </w:p>
    <w:p w14:paraId="10AB8E68">
      <w:pPr>
        <w:pStyle w:val="125"/>
        <w:spacing w:before="156" w:beforeLines="50" w:line="312" w:lineRule="auto"/>
        <w:ind w:firstLine="480"/>
        <w:rPr>
          <w:rFonts w:hint="eastAsia" w:ascii="宋体" w:hAnsi="宋体" w:eastAsia="宋体" w:cs="仿宋"/>
          <w:color w:val="auto"/>
          <w:kern w:val="0"/>
          <w:szCs w:val="24"/>
        </w:rPr>
      </w:pPr>
      <w:r>
        <w:rPr>
          <w:rFonts w:hint="eastAsia" w:ascii="宋体" w:hAnsi="宋体" w:eastAsia="宋体" w:cs="仿宋"/>
          <w:color w:val="auto"/>
          <w:kern w:val="0"/>
          <w:szCs w:val="24"/>
        </w:rPr>
        <w:t>检验方法：观察检查。</w:t>
      </w:r>
      <w:bookmarkEnd w:id="193"/>
      <w:bookmarkEnd w:id="194"/>
    </w:p>
    <w:p w14:paraId="2082E70D">
      <w:pPr>
        <w:pStyle w:val="90"/>
        <w:spacing w:before="156"/>
      </w:pPr>
      <w:r>
        <w:rPr>
          <w:rFonts w:hint="eastAsia"/>
        </w:rPr>
        <w:t>机电施工验收应包括资料审查、现场检查与性能测试，应符合设计要求及现行国家标准《通风与空调工程施工质量验收规范》GB 50243、《建筑给水排水及采暖工程施工质量验收规范》GB 50242、《建筑电气工程施工质量验收规范》GB 50303的有关规定。</w:t>
      </w:r>
    </w:p>
    <w:p w14:paraId="58E6AB33">
      <w:pPr>
        <w:pStyle w:val="90"/>
        <w:spacing w:before="156"/>
        <w:jc w:val="left"/>
      </w:pPr>
      <w:r>
        <w:rPr>
          <w:rFonts w:hint="eastAsia"/>
        </w:rPr>
        <w:t>机电施工资料审查应符合下列规定：</w:t>
      </w:r>
    </w:p>
    <w:p w14:paraId="24429653">
      <w:pPr>
        <w:pStyle w:val="95"/>
      </w:pPr>
      <w:r>
        <w:rPr>
          <w:rFonts w:hint="eastAsia"/>
        </w:rPr>
        <w:t>施工图纸、设计变更、技术核定单等图纸文件齐全有效；</w:t>
      </w:r>
    </w:p>
    <w:p w14:paraId="298DBCFB">
      <w:pPr>
        <w:pStyle w:val="95"/>
      </w:pPr>
      <w:r>
        <w:rPr>
          <w:rFonts w:hint="eastAsia"/>
        </w:rPr>
        <w:t>材料设备合格证、检测报告、质保资料及进场报验资料完整合规；</w:t>
      </w:r>
    </w:p>
    <w:p w14:paraId="3D979FF5">
      <w:pPr>
        <w:pStyle w:val="95"/>
      </w:pPr>
      <w:r>
        <w:rPr>
          <w:rFonts w:hint="eastAsia"/>
        </w:rPr>
        <w:t>隐蔽工程验收记录、施工工序记录、自检互检记录齐全真实；</w:t>
      </w:r>
    </w:p>
    <w:p w14:paraId="7CE04B5F">
      <w:pPr>
        <w:pStyle w:val="95"/>
      </w:pPr>
      <w:r>
        <w:rPr>
          <w:rFonts w:hint="eastAsia"/>
        </w:rPr>
        <w:t>系统调试记录、分项分部验收资料、竣工图编制完整规范。</w:t>
      </w:r>
    </w:p>
    <w:p w14:paraId="43B885C1">
      <w:pPr>
        <w:pStyle w:val="90"/>
        <w:spacing w:before="156"/>
        <w:jc w:val="left"/>
      </w:pPr>
      <w:r>
        <w:rPr>
          <w:rFonts w:hint="eastAsia"/>
        </w:rPr>
        <w:t>机电施工现场检查应符合下列规定：</w:t>
      </w:r>
    </w:p>
    <w:p w14:paraId="18F01BE6">
      <w:pPr>
        <w:pStyle w:val="95"/>
      </w:pPr>
      <w:r>
        <w:rPr>
          <w:rFonts w:hint="eastAsia"/>
        </w:rPr>
        <w:t>管道、风管、电缆桥架安装走向规整，支吊架安装牢固，间距满足规范要求；</w:t>
      </w:r>
    </w:p>
    <w:p w14:paraId="4E6B17C7">
      <w:pPr>
        <w:pStyle w:val="95"/>
      </w:pPr>
      <w:r>
        <w:rPr>
          <w:rFonts w:hint="eastAsia"/>
        </w:rPr>
        <w:t>设备安装水平度、垂直度达标，接口密封完好，无渗漏、松动；；</w:t>
      </w:r>
    </w:p>
    <w:p w14:paraId="7D7C033B">
      <w:pPr>
        <w:pStyle w:val="95"/>
      </w:pPr>
      <w:r>
        <w:rPr>
          <w:rFonts w:hint="eastAsia"/>
        </w:rPr>
        <w:t>管线排布整洁，标识清晰，间距满足安全及检修要求；</w:t>
      </w:r>
    </w:p>
    <w:p w14:paraId="1994FBC0">
      <w:pPr>
        <w:pStyle w:val="95"/>
      </w:pPr>
      <w:r>
        <w:rPr>
          <w:rFonts w:hint="eastAsia"/>
        </w:rPr>
        <w:t>防腐、保温、防火封堵施工到位，成品保护完好无破损。</w:t>
      </w:r>
    </w:p>
    <w:p w14:paraId="038ABE69">
      <w:pPr>
        <w:pStyle w:val="90"/>
        <w:spacing w:before="156"/>
        <w:jc w:val="left"/>
      </w:pPr>
      <w:r>
        <w:rPr>
          <w:rFonts w:hint="eastAsia"/>
        </w:rPr>
        <w:t>机电施工性能测试应符合下列规定：</w:t>
      </w:r>
    </w:p>
    <w:p w14:paraId="7CB76475">
      <w:pPr>
        <w:pStyle w:val="95"/>
      </w:pPr>
      <w:r>
        <w:rPr>
          <w:rFonts w:hint="eastAsia"/>
        </w:rPr>
        <w:t>给排水管道水压试验、严密性试验合格，流量排水通畅；</w:t>
      </w:r>
    </w:p>
    <w:p w14:paraId="2295E40D">
      <w:pPr>
        <w:pStyle w:val="95"/>
      </w:pPr>
      <w:r>
        <w:rPr>
          <w:rFonts w:hint="eastAsia"/>
        </w:rPr>
        <w:t>通风空调系统风量、风速、温湿度及设备运行工况达标；</w:t>
      </w:r>
    </w:p>
    <w:p w14:paraId="6B5A90D3">
      <w:pPr>
        <w:pStyle w:val="95"/>
      </w:pPr>
      <w:r>
        <w:rPr>
          <w:rFonts w:hint="eastAsia"/>
        </w:rPr>
        <w:t>电气系统绝缘测试、接地测试、通电试运行稳定无异常；</w:t>
      </w:r>
    </w:p>
    <w:p w14:paraId="0C72E125">
      <w:pPr>
        <w:pStyle w:val="95"/>
        <w:jc w:val="left"/>
        <w:rPr>
          <w:kern w:val="0"/>
        </w:rPr>
      </w:pPr>
      <w:r>
        <w:rPr>
          <w:rFonts w:hint="eastAsia"/>
        </w:rPr>
        <w:t>消防机电联动试验、自控系统联锁动作灵敏可靠。</w:t>
      </w:r>
      <w:r>
        <w:br w:type="page"/>
      </w:r>
    </w:p>
    <w:p w14:paraId="2E3410E6">
      <w:pPr>
        <w:pStyle w:val="83"/>
        <w:rPr>
          <w:rFonts w:hint="eastAsia"/>
        </w:rPr>
      </w:pPr>
      <w:bookmarkStart w:id="195" w:name="_Toc187007107"/>
      <w:bookmarkStart w:id="196" w:name="_Toc220148362"/>
      <w:bookmarkStart w:id="197" w:name="本规程用词说明"/>
      <w:bookmarkStart w:id="198" w:name="_Toc227574860"/>
      <w:bookmarkStart w:id="199" w:name="_Toc149815253"/>
      <w:bookmarkStart w:id="200" w:name="_Toc170996617"/>
      <w:r>
        <w:rPr>
          <w:rFonts w:hint="eastAsia"/>
        </w:rPr>
        <w:t>本规程用词说明</w:t>
      </w:r>
      <w:bookmarkEnd w:id="195"/>
      <w:bookmarkEnd w:id="196"/>
      <w:bookmarkEnd w:id="197"/>
      <w:bookmarkEnd w:id="198"/>
      <w:bookmarkEnd w:id="199"/>
      <w:bookmarkEnd w:id="200"/>
    </w:p>
    <w:p w14:paraId="1E7913D6"/>
    <w:p w14:paraId="25FAA8C6">
      <w:pPr>
        <w:pStyle w:val="13"/>
        <w:snapToGrid w:val="0"/>
        <w:spacing w:before="120" w:line="300" w:lineRule="auto"/>
        <w:ind w:firstLine="482" w:firstLineChars="200"/>
        <w:rPr>
          <w:rFonts w:ascii="Times New Roman" w:hAnsi="Times New Roman"/>
          <w:sz w:val="24"/>
          <w:szCs w:val="24"/>
        </w:rPr>
      </w:pPr>
      <w:r>
        <w:rPr>
          <w:rFonts w:ascii="Times New Roman" w:hAnsi="Times New Roman"/>
          <w:b/>
          <w:bCs/>
          <w:sz w:val="24"/>
          <w:szCs w:val="24"/>
        </w:rPr>
        <w:t xml:space="preserve">1 </w:t>
      </w:r>
      <w:r>
        <w:rPr>
          <w:rFonts w:ascii="Times New Roman" w:hAnsi="Times New Roman"/>
          <w:sz w:val="24"/>
          <w:szCs w:val="24"/>
        </w:rPr>
        <w:t>为便于在执行本规程条文时区别对待，对要求严格程度不同的用词说明如下：</w:t>
      </w:r>
    </w:p>
    <w:p w14:paraId="1C2977F8">
      <w:pPr>
        <w:pStyle w:val="13"/>
        <w:snapToGrid w:val="0"/>
        <w:spacing w:before="120" w:line="300" w:lineRule="auto"/>
        <w:ind w:firstLine="720" w:firstLineChars="300"/>
        <w:rPr>
          <w:rFonts w:ascii="Times New Roman" w:hAnsi="Times New Roman"/>
          <w:sz w:val="24"/>
          <w:szCs w:val="24"/>
        </w:rPr>
      </w:pPr>
      <w:r>
        <w:rPr>
          <w:rFonts w:ascii="Times New Roman" w:hAnsi="Times New Roman"/>
          <w:sz w:val="24"/>
          <w:szCs w:val="24"/>
        </w:rPr>
        <w:t>1) 表示很严格，非这样做不可的用词：</w:t>
      </w:r>
    </w:p>
    <w:p w14:paraId="7DEC15DE">
      <w:pPr>
        <w:pStyle w:val="13"/>
        <w:snapToGrid w:val="0"/>
        <w:spacing w:before="120" w:line="300" w:lineRule="auto"/>
        <w:ind w:firstLine="1080" w:firstLineChars="450"/>
        <w:rPr>
          <w:rFonts w:ascii="Times New Roman" w:hAnsi="Times New Roman"/>
          <w:sz w:val="24"/>
          <w:szCs w:val="24"/>
        </w:rPr>
      </w:pPr>
      <w:r>
        <w:rPr>
          <w:rFonts w:ascii="Times New Roman" w:hAnsi="Times New Roman"/>
          <w:sz w:val="24"/>
          <w:szCs w:val="24"/>
        </w:rPr>
        <w:t>正面词采用</w:t>
      </w:r>
      <w:r>
        <w:rPr>
          <w:rFonts w:hint="eastAsia" w:ascii="Times New Roman" w:hAnsi="Times New Roman"/>
          <w:sz w:val="24"/>
          <w:szCs w:val="24"/>
        </w:rPr>
        <w:t>“必须”</w:t>
      </w:r>
      <w:r>
        <w:rPr>
          <w:rFonts w:ascii="Times New Roman" w:hAnsi="Times New Roman"/>
          <w:sz w:val="24"/>
          <w:szCs w:val="24"/>
        </w:rPr>
        <w:t>，反面词采用</w:t>
      </w:r>
      <w:r>
        <w:rPr>
          <w:rFonts w:hint="eastAsia" w:ascii="Times New Roman" w:hAnsi="Times New Roman"/>
          <w:sz w:val="24"/>
          <w:szCs w:val="24"/>
        </w:rPr>
        <w:t>“严禁”</w:t>
      </w:r>
      <w:r>
        <w:rPr>
          <w:rFonts w:ascii="Times New Roman" w:hAnsi="Times New Roman"/>
          <w:sz w:val="24"/>
          <w:szCs w:val="24"/>
        </w:rPr>
        <w:t>；</w:t>
      </w:r>
    </w:p>
    <w:p w14:paraId="650FEF5D">
      <w:pPr>
        <w:pStyle w:val="13"/>
        <w:snapToGrid w:val="0"/>
        <w:spacing w:before="120" w:line="300" w:lineRule="auto"/>
        <w:ind w:firstLine="720" w:firstLineChars="300"/>
        <w:rPr>
          <w:rFonts w:ascii="Times New Roman" w:hAnsi="Times New Roman"/>
          <w:sz w:val="24"/>
          <w:szCs w:val="24"/>
        </w:rPr>
      </w:pPr>
      <w:r>
        <w:rPr>
          <w:rFonts w:ascii="Times New Roman" w:hAnsi="Times New Roman"/>
          <w:sz w:val="24"/>
          <w:szCs w:val="24"/>
        </w:rPr>
        <w:t>2) 表示严格，在正常情况</w:t>
      </w:r>
      <w:r>
        <w:rPr>
          <w:rFonts w:hint="eastAsia" w:ascii="Times New Roman" w:hAnsi="Times New Roman"/>
          <w:sz w:val="24"/>
          <w:szCs w:val="24"/>
        </w:rPr>
        <w:t>下</w:t>
      </w:r>
      <w:r>
        <w:rPr>
          <w:rFonts w:ascii="Times New Roman" w:hAnsi="Times New Roman"/>
          <w:sz w:val="24"/>
          <w:szCs w:val="24"/>
        </w:rPr>
        <w:t>均应这样做的用词：</w:t>
      </w:r>
    </w:p>
    <w:p w14:paraId="2F5EBD98">
      <w:pPr>
        <w:pStyle w:val="13"/>
        <w:snapToGrid w:val="0"/>
        <w:spacing w:before="120" w:line="300" w:lineRule="auto"/>
        <w:ind w:firstLine="1080" w:firstLineChars="450"/>
        <w:rPr>
          <w:rFonts w:ascii="Times New Roman" w:hAnsi="Times New Roman"/>
          <w:sz w:val="24"/>
          <w:szCs w:val="24"/>
        </w:rPr>
      </w:pPr>
      <w:r>
        <w:rPr>
          <w:rFonts w:ascii="Times New Roman" w:hAnsi="Times New Roman"/>
          <w:sz w:val="24"/>
          <w:szCs w:val="24"/>
        </w:rPr>
        <w:t>正面词采用</w:t>
      </w:r>
      <w:r>
        <w:rPr>
          <w:rFonts w:hint="eastAsia" w:ascii="Times New Roman" w:hAnsi="Times New Roman"/>
          <w:sz w:val="24"/>
          <w:szCs w:val="24"/>
        </w:rPr>
        <w:t>“应”</w:t>
      </w:r>
      <w:r>
        <w:rPr>
          <w:rFonts w:ascii="Times New Roman" w:hAnsi="Times New Roman"/>
          <w:sz w:val="24"/>
          <w:szCs w:val="24"/>
        </w:rPr>
        <w:t>，反面词采用</w:t>
      </w:r>
      <w:r>
        <w:rPr>
          <w:rFonts w:hint="eastAsia" w:ascii="Times New Roman" w:hAnsi="Times New Roman"/>
          <w:sz w:val="24"/>
          <w:szCs w:val="24"/>
        </w:rPr>
        <w:t>“不应”</w:t>
      </w:r>
      <w:r>
        <w:rPr>
          <w:rFonts w:ascii="Times New Roman" w:hAnsi="Times New Roman"/>
          <w:sz w:val="24"/>
          <w:szCs w:val="24"/>
        </w:rPr>
        <w:t>或</w:t>
      </w:r>
      <w:r>
        <w:rPr>
          <w:rFonts w:hint="eastAsia" w:ascii="Times New Roman" w:hAnsi="Times New Roman"/>
          <w:sz w:val="24"/>
          <w:szCs w:val="24"/>
        </w:rPr>
        <w:t>“</w:t>
      </w:r>
      <w:r>
        <w:rPr>
          <w:rFonts w:ascii="Times New Roman" w:hAnsi="Times New Roman"/>
          <w:sz w:val="24"/>
          <w:szCs w:val="24"/>
        </w:rPr>
        <w:t>不得</w:t>
      </w:r>
      <w:r>
        <w:rPr>
          <w:rFonts w:hint="eastAsia" w:ascii="Times New Roman" w:hAnsi="Times New Roman"/>
          <w:sz w:val="24"/>
          <w:szCs w:val="24"/>
        </w:rPr>
        <w:t>”</w:t>
      </w:r>
      <w:r>
        <w:rPr>
          <w:rFonts w:ascii="Times New Roman" w:hAnsi="Times New Roman"/>
          <w:sz w:val="24"/>
          <w:szCs w:val="24"/>
        </w:rPr>
        <w:t>；</w:t>
      </w:r>
    </w:p>
    <w:p w14:paraId="609C3EE4">
      <w:pPr>
        <w:pStyle w:val="13"/>
        <w:snapToGrid w:val="0"/>
        <w:spacing w:before="120" w:line="300" w:lineRule="auto"/>
        <w:ind w:firstLine="720" w:firstLineChars="300"/>
        <w:rPr>
          <w:rFonts w:ascii="Times New Roman" w:hAnsi="Times New Roman"/>
          <w:sz w:val="24"/>
          <w:szCs w:val="24"/>
        </w:rPr>
      </w:pPr>
      <w:r>
        <w:rPr>
          <w:rFonts w:ascii="Times New Roman" w:hAnsi="Times New Roman"/>
          <w:sz w:val="24"/>
          <w:szCs w:val="24"/>
        </w:rPr>
        <w:t>3) 表示允许稍有选择，在条件许可时首先应这样做的用词：</w:t>
      </w:r>
    </w:p>
    <w:p w14:paraId="6525A663">
      <w:pPr>
        <w:pStyle w:val="13"/>
        <w:snapToGrid w:val="0"/>
        <w:spacing w:before="120" w:line="300" w:lineRule="auto"/>
        <w:ind w:firstLine="1080" w:firstLineChars="450"/>
        <w:rPr>
          <w:rFonts w:ascii="Times New Roman" w:hAnsi="Times New Roman"/>
          <w:sz w:val="24"/>
          <w:szCs w:val="24"/>
        </w:rPr>
      </w:pPr>
      <w:r>
        <w:rPr>
          <w:rFonts w:ascii="Times New Roman" w:hAnsi="Times New Roman"/>
          <w:sz w:val="24"/>
          <w:szCs w:val="24"/>
        </w:rPr>
        <w:t>正面词采用</w:t>
      </w:r>
      <w:r>
        <w:rPr>
          <w:rFonts w:hint="eastAsia" w:ascii="Times New Roman" w:hAnsi="Times New Roman"/>
          <w:sz w:val="24"/>
          <w:szCs w:val="24"/>
        </w:rPr>
        <w:t>“宜”</w:t>
      </w:r>
      <w:r>
        <w:rPr>
          <w:rFonts w:ascii="Times New Roman" w:hAnsi="Times New Roman"/>
          <w:sz w:val="24"/>
          <w:szCs w:val="24"/>
        </w:rPr>
        <w:t>，反面词采用</w:t>
      </w:r>
      <w:r>
        <w:rPr>
          <w:rFonts w:hint="eastAsia" w:ascii="Times New Roman" w:hAnsi="Times New Roman"/>
          <w:sz w:val="24"/>
          <w:szCs w:val="24"/>
        </w:rPr>
        <w:t>“不宜”；</w:t>
      </w:r>
    </w:p>
    <w:p w14:paraId="706D23F1">
      <w:pPr>
        <w:pStyle w:val="13"/>
        <w:snapToGrid w:val="0"/>
        <w:spacing w:before="120" w:line="300" w:lineRule="auto"/>
        <w:ind w:firstLine="720" w:firstLineChars="300"/>
        <w:rPr>
          <w:rFonts w:ascii="Times New Roman" w:hAnsi="Times New Roman"/>
          <w:sz w:val="24"/>
          <w:szCs w:val="24"/>
        </w:rPr>
      </w:pPr>
      <w:r>
        <w:rPr>
          <w:rFonts w:ascii="Times New Roman" w:hAnsi="Times New Roman"/>
          <w:sz w:val="24"/>
          <w:szCs w:val="24"/>
        </w:rPr>
        <w:t>4) 表示有选择，在一定条件下可以这样做的，采用</w:t>
      </w:r>
      <w:r>
        <w:rPr>
          <w:rFonts w:hint="eastAsia" w:ascii="Times New Roman" w:hAnsi="Times New Roman"/>
          <w:sz w:val="24"/>
          <w:szCs w:val="24"/>
        </w:rPr>
        <w:t>“可”</w:t>
      </w:r>
      <w:r>
        <w:rPr>
          <w:rFonts w:ascii="Times New Roman" w:hAnsi="Times New Roman"/>
          <w:sz w:val="24"/>
          <w:szCs w:val="24"/>
        </w:rPr>
        <w:t>。</w:t>
      </w:r>
    </w:p>
    <w:p w14:paraId="2608B7AF">
      <w:pPr>
        <w:pStyle w:val="104"/>
        <w:spacing w:line="360" w:lineRule="auto"/>
        <w:ind w:firstLine="480"/>
        <w:rPr>
          <w:rFonts w:ascii="Times New Roman" w:hAnsi="Times New Roman"/>
          <w:szCs w:val="24"/>
        </w:rPr>
      </w:pPr>
      <w:r>
        <w:rPr>
          <w:rFonts w:ascii="Times New Roman" w:hAnsi="Times New Roman"/>
          <w:szCs w:val="24"/>
        </w:rPr>
        <w:t>2 本规程中指明应按其他有关标准、规范执行的写法为</w:t>
      </w:r>
      <w:r>
        <w:rPr>
          <w:rFonts w:hint="eastAsia" w:ascii="Times New Roman" w:hAnsi="Times New Roman"/>
          <w:szCs w:val="24"/>
        </w:rPr>
        <w:t>“</w:t>
      </w:r>
      <w:r>
        <w:rPr>
          <w:rFonts w:ascii="Times New Roman" w:hAnsi="Times New Roman"/>
          <w:szCs w:val="24"/>
        </w:rPr>
        <w:t>应符合……的规定</w:t>
      </w:r>
      <w:r>
        <w:rPr>
          <w:rFonts w:hint="eastAsia" w:ascii="Times New Roman" w:hAnsi="Times New Roman"/>
          <w:szCs w:val="24"/>
        </w:rPr>
        <w:t>”</w:t>
      </w:r>
      <w:r>
        <w:rPr>
          <w:rFonts w:ascii="Times New Roman" w:hAnsi="Times New Roman"/>
          <w:szCs w:val="24"/>
        </w:rPr>
        <w:t>或</w:t>
      </w:r>
      <w:r>
        <w:rPr>
          <w:rFonts w:hint="eastAsia" w:ascii="Times New Roman" w:hAnsi="Times New Roman"/>
          <w:szCs w:val="24"/>
        </w:rPr>
        <w:t>“</w:t>
      </w:r>
      <w:r>
        <w:rPr>
          <w:rFonts w:ascii="Times New Roman" w:hAnsi="Times New Roman"/>
          <w:szCs w:val="24"/>
        </w:rPr>
        <w:t>应按……执行</w:t>
      </w:r>
      <w:r>
        <w:rPr>
          <w:rFonts w:hint="eastAsia" w:ascii="Times New Roman" w:hAnsi="Times New Roman"/>
          <w:szCs w:val="24"/>
        </w:rPr>
        <w:t>”</w:t>
      </w:r>
      <w:r>
        <w:rPr>
          <w:rFonts w:ascii="Times New Roman" w:hAnsi="Times New Roman"/>
          <w:szCs w:val="24"/>
        </w:rPr>
        <w:t>。</w:t>
      </w:r>
    </w:p>
    <w:p w14:paraId="377B740A">
      <w:pPr>
        <w:pStyle w:val="83"/>
        <w:rPr>
          <w:rFonts w:hint="eastAsia"/>
        </w:rPr>
      </w:pPr>
      <w:r>
        <w:rPr>
          <w:rFonts w:ascii="Times New Roman" w:hAnsi="Times New Roman"/>
        </w:rPr>
        <w:br w:type="page"/>
      </w:r>
      <w:bookmarkStart w:id="201" w:name="_Toc187007108"/>
      <w:bookmarkStart w:id="202" w:name="_Toc170996618"/>
      <w:bookmarkStart w:id="203" w:name="_Toc227574861"/>
      <w:bookmarkStart w:id="204" w:name="_Toc220148363"/>
      <w:r>
        <w:rPr>
          <w:rFonts w:hint="eastAsia"/>
        </w:rPr>
        <w:t>引用标准名录</w:t>
      </w:r>
      <w:bookmarkEnd w:id="201"/>
      <w:bookmarkEnd w:id="202"/>
      <w:bookmarkEnd w:id="203"/>
      <w:bookmarkEnd w:id="204"/>
      <w:bookmarkStart w:id="205" w:name="引用标准名录"/>
    </w:p>
    <w:p w14:paraId="161F77B5">
      <w:pPr>
        <w:pStyle w:val="102"/>
        <w:tabs>
          <w:tab w:val="right" w:pos="8647"/>
          <w:tab w:val="clear" w:pos="8504"/>
        </w:tabs>
        <w:rPr>
          <w:b w:val="0"/>
          <w:bCs/>
        </w:rPr>
      </w:pPr>
      <w:r>
        <w:rPr>
          <w:rFonts w:hint="eastAsia"/>
          <w:b w:val="0"/>
          <w:bCs/>
        </w:rPr>
        <w:t>《</w:t>
      </w:r>
      <w:r>
        <w:rPr>
          <w:b w:val="0"/>
          <w:bCs/>
        </w:rPr>
        <w:t>混凝土结构设计标准》</w:t>
      </w:r>
      <w:r>
        <w:rPr>
          <w:b w:val="0"/>
          <w:bCs/>
        </w:rPr>
        <w:tab/>
      </w:r>
      <w:r>
        <w:rPr>
          <w:b w:val="0"/>
          <w:bCs/>
        </w:rPr>
        <w:t>GB/T 50010</w:t>
      </w:r>
    </w:p>
    <w:p w14:paraId="50400696">
      <w:pPr>
        <w:pStyle w:val="102"/>
        <w:tabs>
          <w:tab w:val="right" w:pos="8647"/>
          <w:tab w:val="clear" w:pos="8504"/>
        </w:tabs>
        <w:rPr>
          <w:b w:val="0"/>
          <w:bCs/>
        </w:rPr>
      </w:pPr>
      <w:r>
        <w:rPr>
          <w:b w:val="0"/>
          <w:bCs/>
        </w:rPr>
        <w:t>《</w:t>
      </w:r>
      <w:r>
        <w:rPr>
          <w:rFonts w:hint="eastAsia"/>
          <w:b w:val="0"/>
          <w:bCs/>
        </w:rPr>
        <w:t>钢结构设计标准</w:t>
      </w:r>
      <w:r>
        <w:rPr>
          <w:b w:val="0"/>
          <w:bCs/>
        </w:rPr>
        <w:t>》</w:t>
      </w:r>
      <w:r>
        <w:rPr>
          <w:b w:val="0"/>
          <w:bCs/>
        </w:rPr>
        <w:tab/>
      </w:r>
      <w:r>
        <w:rPr>
          <w:b w:val="0"/>
          <w:bCs/>
        </w:rPr>
        <w:t>GB</w:t>
      </w:r>
      <w:r>
        <w:rPr>
          <w:rFonts w:hint="eastAsia"/>
          <w:b w:val="0"/>
          <w:bCs/>
        </w:rPr>
        <w:t xml:space="preserve"> </w:t>
      </w:r>
      <w:r>
        <w:rPr>
          <w:b w:val="0"/>
          <w:bCs/>
        </w:rPr>
        <w:t>50017</w:t>
      </w:r>
    </w:p>
    <w:p w14:paraId="43498C4C">
      <w:pPr>
        <w:pStyle w:val="102"/>
        <w:tabs>
          <w:tab w:val="right" w:pos="8647"/>
          <w:tab w:val="clear" w:pos="8504"/>
        </w:tabs>
        <w:rPr>
          <w:b w:val="0"/>
          <w:bCs/>
        </w:rPr>
      </w:pPr>
      <w:r>
        <w:rPr>
          <w:rFonts w:hint="eastAsia"/>
          <w:b w:val="0"/>
          <w:bCs/>
        </w:rPr>
        <w:t>《混凝土结构工程施工质量验收规范》</w:t>
      </w:r>
      <w:r>
        <w:rPr>
          <w:b w:val="0"/>
          <w:bCs/>
        </w:rPr>
        <w:tab/>
      </w:r>
      <w:r>
        <w:rPr>
          <w:b w:val="0"/>
          <w:bCs/>
        </w:rPr>
        <w:t>GB</w:t>
      </w:r>
      <w:r>
        <w:rPr>
          <w:rFonts w:hint="eastAsia"/>
          <w:b w:val="0"/>
          <w:bCs/>
        </w:rPr>
        <w:t xml:space="preserve"> </w:t>
      </w:r>
      <w:r>
        <w:rPr>
          <w:b w:val="0"/>
          <w:bCs/>
        </w:rPr>
        <w:t>50204</w:t>
      </w:r>
    </w:p>
    <w:p w14:paraId="77981759">
      <w:pPr>
        <w:pStyle w:val="102"/>
        <w:tabs>
          <w:tab w:val="right" w:pos="8647"/>
          <w:tab w:val="clear" w:pos="8504"/>
        </w:tabs>
        <w:rPr>
          <w:b w:val="0"/>
          <w:bCs/>
        </w:rPr>
      </w:pPr>
      <w:r>
        <w:rPr>
          <w:rFonts w:hint="eastAsia"/>
          <w:b w:val="0"/>
          <w:bCs/>
        </w:rPr>
        <w:t>《</w:t>
      </w:r>
      <w:r>
        <w:rPr>
          <w:b w:val="0"/>
          <w:bCs/>
        </w:rPr>
        <w:t>钢结构工程施工质量验收标准》</w:t>
      </w:r>
      <w:r>
        <w:rPr>
          <w:b w:val="0"/>
          <w:bCs/>
        </w:rPr>
        <w:tab/>
      </w:r>
      <w:r>
        <w:rPr>
          <w:b w:val="0"/>
          <w:bCs/>
        </w:rPr>
        <w:t>GB 50205</w:t>
      </w:r>
    </w:p>
    <w:p w14:paraId="46BD72D1">
      <w:pPr>
        <w:pStyle w:val="102"/>
        <w:tabs>
          <w:tab w:val="right" w:pos="8647"/>
          <w:tab w:val="clear" w:pos="8504"/>
        </w:tabs>
        <w:rPr>
          <w:b w:val="0"/>
          <w:bCs/>
        </w:rPr>
      </w:pPr>
      <w:r>
        <w:rPr>
          <w:rFonts w:hint="eastAsia"/>
          <w:b w:val="0"/>
          <w:bCs/>
        </w:rPr>
        <w:t>《</w:t>
      </w:r>
      <w:r>
        <w:rPr>
          <w:b w:val="0"/>
          <w:bCs/>
        </w:rPr>
        <w:t>建筑给水排水及采暖工程施工质量验收规范</w:t>
      </w:r>
      <w:r>
        <w:rPr>
          <w:rFonts w:hint="eastAsia"/>
          <w:b w:val="0"/>
          <w:bCs/>
        </w:rPr>
        <w:t>》</w:t>
      </w:r>
      <w:r>
        <w:rPr>
          <w:b w:val="0"/>
          <w:bCs/>
        </w:rPr>
        <w:tab/>
      </w:r>
      <w:r>
        <w:rPr>
          <w:rFonts w:hint="eastAsia"/>
          <w:b w:val="0"/>
          <w:bCs/>
        </w:rPr>
        <w:t>GB 50242</w:t>
      </w:r>
    </w:p>
    <w:p w14:paraId="3323DA61">
      <w:pPr>
        <w:pStyle w:val="102"/>
        <w:tabs>
          <w:tab w:val="right" w:pos="8647"/>
          <w:tab w:val="clear" w:pos="8504"/>
        </w:tabs>
        <w:rPr>
          <w:b w:val="0"/>
          <w:bCs/>
        </w:rPr>
      </w:pPr>
      <w:r>
        <w:rPr>
          <w:rFonts w:hint="eastAsia"/>
          <w:b w:val="0"/>
          <w:bCs/>
        </w:rPr>
        <w:t>《通风与空调工程施工质量验收规范》</w:t>
      </w:r>
      <w:r>
        <w:rPr>
          <w:b w:val="0"/>
          <w:bCs/>
        </w:rPr>
        <w:tab/>
      </w:r>
      <w:r>
        <w:rPr>
          <w:rFonts w:hint="eastAsia"/>
          <w:b w:val="0"/>
          <w:bCs/>
        </w:rPr>
        <w:t>GB 50243</w:t>
      </w:r>
    </w:p>
    <w:p w14:paraId="017D8CEA">
      <w:pPr>
        <w:pStyle w:val="102"/>
        <w:tabs>
          <w:tab w:val="right" w:pos="8647"/>
          <w:tab w:val="clear" w:pos="8504"/>
        </w:tabs>
        <w:rPr>
          <w:b w:val="0"/>
          <w:bCs/>
        </w:rPr>
      </w:pPr>
      <w:r>
        <w:rPr>
          <w:rFonts w:hint="eastAsia"/>
          <w:b w:val="0"/>
          <w:bCs/>
        </w:rPr>
        <w:t>《建筑电气工程施工质量验收规范》</w:t>
      </w:r>
      <w:r>
        <w:rPr>
          <w:b w:val="0"/>
          <w:bCs/>
        </w:rPr>
        <w:tab/>
      </w:r>
      <w:r>
        <w:rPr>
          <w:rFonts w:hint="eastAsia"/>
          <w:b w:val="0"/>
          <w:bCs/>
        </w:rPr>
        <w:t>GB 50303</w:t>
      </w:r>
    </w:p>
    <w:p w14:paraId="4893A009">
      <w:pPr>
        <w:pStyle w:val="102"/>
        <w:tabs>
          <w:tab w:val="right" w:pos="8647"/>
          <w:tab w:val="clear" w:pos="8504"/>
        </w:tabs>
        <w:rPr>
          <w:b w:val="0"/>
          <w:bCs/>
        </w:rPr>
      </w:pPr>
      <w:r>
        <w:rPr>
          <w:rFonts w:hint="eastAsia"/>
          <w:b w:val="0"/>
          <w:bCs/>
        </w:rPr>
        <w:t>《大体积混凝土施工标准》</w:t>
      </w:r>
      <w:r>
        <w:rPr>
          <w:b w:val="0"/>
          <w:bCs/>
        </w:rPr>
        <w:tab/>
      </w:r>
      <w:r>
        <w:rPr>
          <w:rFonts w:hint="eastAsia"/>
          <w:b w:val="0"/>
          <w:bCs/>
        </w:rPr>
        <w:t>GB 50496</w:t>
      </w:r>
    </w:p>
    <w:p w14:paraId="626F477E">
      <w:pPr>
        <w:pStyle w:val="102"/>
        <w:tabs>
          <w:tab w:val="right" w:pos="8647"/>
          <w:tab w:val="clear" w:pos="8504"/>
        </w:tabs>
        <w:rPr>
          <w:b w:val="0"/>
          <w:bCs/>
        </w:rPr>
      </w:pPr>
      <w:r>
        <w:rPr>
          <w:rFonts w:hint="eastAsia"/>
          <w:b w:val="0"/>
          <w:bCs/>
          <w:snapToGrid w:val="0"/>
        </w:rPr>
        <w:t>《洁净室施工及验收规范》</w:t>
      </w:r>
      <w:r>
        <w:rPr>
          <w:b w:val="0"/>
          <w:bCs/>
          <w:snapToGrid w:val="0"/>
        </w:rPr>
        <w:tab/>
      </w:r>
      <w:r>
        <w:rPr>
          <w:rFonts w:hint="eastAsia"/>
          <w:b w:val="0"/>
          <w:bCs/>
          <w:snapToGrid w:val="0"/>
        </w:rPr>
        <w:t>GB 50591</w:t>
      </w:r>
    </w:p>
    <w:p w14:paraId="6216AA5A">
      <w:pPr>
        <w:pStyle w:val="102"/>
        <w:tabs>
          <w:tab w:val="right" w:pos="8647"/>
          <w:tab w:val="clear" w:pos="8504"/>
        </w:tabs>
        <w:rPr>
          <w:b w:val="0"/>
          <w:bCs/>
        </w:rPr>
      </w:pPr>
      <w:r>
        <w:rPr>
          <w:rFonts w:hint="eastAsia"/>
          <w:b w:val="0"/>
          <w:bCs/>
        </w:rPr>
        <w:t>《</w:t>
      </w:r>
      <w:r>
        <w:rPr>
          <w:b w:val="0"/>
          <w:bCs/>
        </w:rPr>
        <w:t>钢结构焊接规范</w:t>
      </w:r>
      <w:r>
        <w:rPr>
          <w:rFonts w:hint="eastAsia"/>
          <w:b w:val="0"/>
          <w:bCs/>
        </w:rPr>
        <w:t>》</w:t>
      </w:r>
      <w:r>
        <w:rPr>
          <w:b w:val="0"/>
          <w:bCs/>
        </w:rPr>
        <w:tab/>
      </w:r>
      <w:r>
        <w:rPr>
          <w:b w:val="0"/>
          <w:bCs/>
        </w:rPr>
        <w:t>GB 50661</w:t>
      </w:r>
    </w:p>
    <w:p w14:paraId="1A922905">
      <w:pPr>
        <w:pStyle w:val="102"/>
        <w:tabs>
          <w:tab w:val="right" w:pos="8647"/>
          <w:tab w:val="clear" w:pos="8504"/>
        </w:tabs>
        <w:rPr>
          <w:b w:val="0"/>
          <w:bCs/>
        </w:rPr>
      </w:pPr>
      <w:r>
        <w:rPr>
          <w:rFonts w:hint="eastAsia"/>
          <w:b w:val="0"/>
          <w:bCs/>
        </w:rPr>
        <w:t>《混凝土结构工程施工规范》</w:t>
      </w:r>
      <w:r>
        <w:rPr>
          <w:b w:val="0"/>
          <w:bCs/>
        </w:rPr>
        <w:tab/>
      </w:r>
      <w:r>
        <w:rPr>
          <w:rFonts w:hint="eastAsia"/>
          <w:b w:val="0"/>
          <w:bCs/>
        </w:rPr>
        <w:t>GB 50666</w:t>
      </w:r>
    </w:p>
    <w:p w14:paraId="743C74FD">
      <w:pPr>
        <w:pStyle w:val="102"/>
        <w:tabs>
          <w:tab w:val="right" w:pos="8647"/>
          <w:tab w:val="clear" w:pos="8504"/>
        </w:tabs>
        <w:rPr>
          <w:b w:val="0"/>
          <w:bCs/>
        </w:rPr>
      </w:pPr>
      <w:r>
        <w:rPr>
          <w:rFonts w:hint="eastAsia"/>
          <w:b w:val="0"/>
          <w:bCs/>
        </w:rPr>
        <w:t>《建设工程施工现场消防安全技术标准》</w:t>
      </w:r>
      <w:r>
        <w:rPr>
          <w:b w:val="0"/>
          <w:bCs/>
        </w:rPr>
        <w:tab/>
      </w:r>
      <w:r>
        <w:rPr>
          <w:rFonts w:hint="eastAsia"/>
          <w:b w:val="0"/>
          <w:bCs/>
        </w:rPr>
        <w:t>GB/T 50720</w:t>
      </w:r>
    </w:p>
    <w:p w14:paraId="4E60F563">
      <w:pPr>
        <w:pStyle w:val="102"/>
        <w:tabs>
          <w:tab w:val="right" w:pos="8647"/>
          <w:tab w:val="clear" w:pos="8504"/>
        </w:tabs>
        <w:rPr>
          <w:b w:val="0"/>
          <w:bCs/>
        </w:rPr>
      </w:pPr>
      <w:r>
        <w:rPr>
          <w:rFonts w:hint="eastAsia"/>
          <w:b w:val="0"/>
          <w:bCs/>
        </w:rPr>
        <w:t>《钢结构工程施工规范》</w:t>
      </w:r>
      <w:r>
        <w:rPr>
          <w:b w:val="0"/>
          <w:bCs/>
        </w:rPr>
        <w:tab/>
      </w:r>
      <w:r>
        <w:rPr>
          <w:rFonts w:hint="eastAsia"/>
          <w:b w:val="0"/>
          <w:bCs/>
        </w:rPr>
        <w:t>GB 50755</w:t>
      </w:r>
    </w:p>
    <w:p w14:paraId="78B2AAF5">
      <w:pPr>
        <w:pStyle w:val="102"/>
        <w:tabs>
          <w:tab w:val="right" w:pos="8647"/>
          <w:tab w:val="clear" w:pos="8504"/>
        </w:tabs>
        <w:rPr>
          <w:b w:val="0"/>
          <w:bCs/>
        </w:rPr>
      </w:pPr>
      <w:r>
        <w:rPr>
          <w:rFonts w:hint="eastAsia"/>
          <w:b w:val="0"/>
          <w:bCs/>
          <w:snapToGrid w:val="0"/>
        </w:rPr>
        <w:t>《建筑工程容许振动标准》</w:t>
      </w:r>
      <w:r>
        <w:rPr>
          <w:b w:val="0"/>
          <w:bCs/>
          <w:snapToGrid w:val="0"/>
        </w:rPr>
        <w:tab/>
      </w:r>
      <w:r>
        <w:rPr>
          <w:rFonts w:hint="eastAsia"/>
          <w:b w:val="0"/>
          <w:bCs/>
          <w:snapToGrid w:val="0"/>
        </w:rPr>
        <w:t>GB 50868</w:t>
      </w:r>
    </w:p>
    <w:p w14:paraId="79556A98">
      <w:pPr>
        <w:pStyle w:val="102"/>
        <w:tabs>
          <w:tab w:val="right" w:pos="8647"/>
          <w:tab w:val="clear" w:pos="8504"/>
        </w:tabs>
        <w:rPr>
          <w:b w:val="0"/>
          <w:bCs/>
        </w:rPr>
      </w:pPr>
      <w:r>
        <w:rPr>
          <w:rFonts w:hint="eastAsia"/>
          <w:b w:val="0"/>
          <w:bCs/>
        </w:rPr>
        <w:t>《建筑施工安全技术统一规范》</w:t>
      </w:r>
      <w:r>
        <w:rPr>
          <w:b w:val="0"/>
          <w:bCs/>
        </w:rPr>
        <w:tab/>
      </w:r>
      <w:r>
        <w:rPr>
          <w:rFonts w:hint="eastAsia"/>
          <w:b w:val="0"/>
          <w:bCs/>
        </w:rPr>
        <w:t>GB 50870</w:t>
      </w:r>
    </w:p>
    <w:p w14:paraId="5CE73125">
      <w:pPr>
        <w:pStyle w:val="102"/>
        <w:tabs>
          <w:tab w:val="right" w:pos="8647"/>
          <w:tab w:val="clear" w:pos="8504"/>
        </w:tabs>
        <w:rPr>
          <w:b w:val="0"/>
          <w:bCs/>
        </w:rPr>
      </w:pPr>
      <w:r>
        <w:rPr>
          <w:rFonts w:hint="eastAsia"/>
          <w:b w:val="0"/>
          <w:bCs/>
          <w:snapToGrid w:val="0"/>
        </w:rPr>
        <w:t>《电子工业防微振工程技术规范》</w:t>
      </w:r>
      <w:r>
        <w:rPr>
          <w:b w:val="0"/>
          <w:bCs/>
          <w:snapToGrid w:val="0"/>
        </w:rPr>
        <w:tab/>
      </w:r>
      <w:r>
        <w:rPr>
          <w:rFonts w:hint="eastAsia"/>
          <w:b w:val="0"/>
          <w:bCs/>
          <w:snapToGrid w:val="0"/>
        </w:rPr>
        <w:t>GB 51076</w:t>
      </w:r>
    </w:p>
    <w:p w14:paraId="2C552FE2">
      <w:pPr>
        <w:pStyle w:val="102"/>
        <w:tabs>
          <w:tab w:val="right" w:pos="8647"/>
          <w:tab w:val="clear" w:pos="8504"/>
        </w:tabs>
        <w:rPr>
          <w:b w:val="0"/>
          <w:bCs/>
        </w:rPr>
      </w:pPr>
      <w:r>
        <w:rPr>
          <w:rFonts w:hint="eastAsia"/>
          <w:b w:val="0"/>
          <w:bCs/>
        </w:rPr>
        <w:t>《洁净厂房施工及质量验收规范》</w:t>
      </w:r>
      <w:r>
        <w:rPr>
          <w:b w:val="0"/>
          <w:bCs/>
        </w:rPr>
        <w:tab/>
      </w:r>
      <w:r>
        <w:rPr>
          <w:rFonts w:hint="eastAsia"/>
          <w:b w:val="0"/>
          <w:bCs/>
        </w:rPr>
        <w:t>GB 51110</w:t>
      </w:r>
    </w:p>
    <w:p w14:paraId="5B1AC9F7">
      <w:pPr>
        <w:pStyle w:val="102"/>
        <w:tabs>
          <w:tab w:val="right" w:pos="8647"/>
          <w:tab w:val="clear" w:pos="8504"/>
        </w:tabs>
        <w:rPr>
          <w:b w:val="0"/>
          <w:bCs/>
        </w:rPr>
      </w:pPr>
      <w:r>
        <w:rPr>
          <w:rFonts w:hint="eastAsia"/>
          <w:b w:val="0"/>
          <w:bCs/>
        </w:rPr>
        <w:t>《装配式混凝土建筑技术标准》</w:t>
      </w:r>
      <w:r>
        <w:rPr>
          <w:b w:val="0"/>
          <w:bCs/>
        </w:rPr>
        <w:tab/>
      </w:r>
      <w:r>
        <w:rPr>
          <w:rFonts w:hint="eastAsia"/>
          <w:b w:val="0"/>
          <w:bCs/>
        </w:rPr>
        <w:t>GB/T 51231</w:t>
      </w:r>
    </w:p>
    <w:p w14:paraId="2DC2F2E8">
      <w:pPr>
        <w:pStyle w:val="102"/>
        <w:tabs>
          <w:tab w:val="right" w:pos="8647"/>
          <w:tab w:val="clear" w:pos="8504"/>
        </w:tabs>
        <w:rPr>
          <w:b w:val="0"/>
          <w:bCs/>
        </w:rPr>
      </w:pPr>
      <w:r>
        <w:rPr>
          <w:rFonts w:hint="eastAsia"/>
          <w:b w:val="0"/>
          <w:bCs/>
        </w:rPr>
        <w:t>《</w:t>
      </w:r>
      <w:r>
        <w:rPr>
          <w:b w:val="0"/>
          <w:bCs/>
        </w:rPr>
        <w:t>钢筋混凝土用钢 第2部分：热轧带肋钢筋</w:t>
      </w:r>
      <w:r>
        <w:rPr>
          <w:rFonts w:hint="eastAsia"/>
          <w:b w:val="0"/>
          <w:bCs/>
        </w:rPr>
        <w:t>》</w:t>
      </w:r>
      <w:r>
        <w:rPr>
          <w:b w:val="0"/>
          <w:bCs/>
        </w:rPr>
        <w:tab/>
      </w:r>
      <w:r>
        <w:rPr>
          <w:b w:val="0"/>
          <w:bCs/>
        </w:rPr>
        <w:t>GB</w:t>
      </w:r>
      <w:r>
        <w:rPr>
          <w:rFonts w:hint="eastAsia"/>
          <w:b w:val="0"/>
          <w:bCs/>
        </w:rPr>
        <w:t xml:space="preserve"> </w:t>
      </w:r>
      <w:r>
        <w:rPr>
          <w:b w:val="0"/>
          <w:bCs/>
        </w:rPr>
        <w:t>1499.2</w:t>
      </w:r>
    </w:p>
    <w:p w14:paraId="2AED7085">
      <w:pPr>
        <w:pStyle w:val="102"/>
        <w:tabs>
          <w:tab w:val="right" w:pos="8647"/>
          <w:tab w:val="clear" w:pos="8504"/>
        </w:tabs>
        <w:rPr>
          <w:b w:val="0"/>
          <w:bCs/>
        </w:rPr>
      </w:pPr>
      <w:r>
        <w:rPr>
          <w:b w:val="0"/>
          <w:bCs/>
        </w:rPr>
        <w:t>《装配式混凝土结构技术规程》</w:t>
      </w:r>
      <w:r>
        <w:rPr>
          <w:b w:val="0"/>
          <w:bCs/>
        </w:rPr>
        <w:tab/>
      </w:r>
      <w:r>
        <w:rPr>
          <w:b w:val="0"/>
          <w:bCs/>
        </w:rPr>
        <w:t>JGJ</w:t>
      </w:r>
      <w:r>
        <w:rPr>
          <w:rFonts w:hint="eastAsia"/>
          <w:b w:val="0"/>
          <w:bCs/>
        </w:rPr>
        <w:t xml:space="preserve"> </w:t>
      </w:r>
      <w:r>
        <w:rPr>
          <w:b w:val="0"/>
          <w:bCs/>
        </w:rPr>
        <w:t>1</w:t>
      </w:r>
    </w:p>
    <w:p w14:paraId="720267AB">
      <w:pPr>
        <w:pStyle w:val="102"/>
        <w:tabs>
          <w:tab w:val="right" w:pos="8647"/>
          <w:tab w:val="clear" w:pos="8504"/>
        </w:tabs>
        <w:rPr>
          <w:b w:val="0"/>
          <w:bCs/>
        </w:rPr>
      </w:pPr>
      <w:r>
        <w:rPr>
          <w:rFonts w:hint="eastAsia"/>
          <w:b w:val="0"/>
          <w:bCs/>
        </w:rPr>
        <w:t>《钢筋焊接及验收规程》</w:t>
      </w:r>
      <w:r>
        <w:rPr>
          <w:b w:val="0"/>
          <w:bCs/>
        </w:rPr>
        <w:tab/>
      </w:r>
      <w:r>
        <w:rPr>
          <w:rFonts w:hint="eastAsia"/>
          <w:b w:val="0"/>
          <w:bCs/>
        </w:rPr>
        <w:t>JGJ 18</w:t>
      </w:r>
    </w:p>
    <w:p w14:paraId="615004A7">
      <w:pPr>
        <w:pStyle w:val="102"/>
        <w:tabs>
          <w:tab w:val="right" w:pos="8647"/>
          <w:tab w:val="clear" w:pos="8504"/>
        </w:tabs>
        <w:rPr>
          <w:b w:val="0"/>
          <w:bCs/>
        </w:rPr>
      </w:pPr>
      <w:r>
        <w:rPr>
          <w:b w:val="0"/>
          <w:bCs/>
        </w:rPr>
        <w:t>《建筑机械使用安全技术规程》</w:t>
      </w:r>
      <w:r>
        <w:rPr>
          <w:b w:val="0"/>
          <w:bCs/>
        </w:rPr>
        <w:tab/>
      </w:r>
      <w:r>
        <w:rPr>
          <w:b w:val="0"/>
          <w:bCs/>
        </w:rPr>
        <w:t>JGJ 33</w:t>
      </w:r>
    </w:p>
    <w:p w14:paraId="55CF6C7C">
      <w:pPr>
        <w:pStyle w:val="102"/>
        <w:tabs>
          <w:tab w:val="right" w:pos="8647"/>
          <w:tab w:val="clear" w:pos="8504"/>
        </w:tabs>
        <w:rPr>
          <w:b w:val="0"/>
          <w:bCs/>
        </w:rPr>
      </w:pPr>
      <w:r>
        <w:rPr>
          <w:rFonts w:hint="eastAsia"/>
          <w:b w:val="0"/>
          <w:bCs/>
        </w:rPr>
        <w:t>《建筑与市政工程施工现场临时用电安全技术标准》</w:t>
      </w:r>
      <w:r>
        <w:rPr>
          <w:b w:val="0"/>
          <w:bCs/>
        </w:rPr>
        <w:tab/>
      </w:r>
      <w:r>
        <w:rPr>
          <w:rFonts w:hint="eastAsia"/>
          <w:b w:val="0"/>
          <w:bCs/>
        </w:rPr>
        <w:t>JGJ/T 46</w:t>
      </w:r>
    </w:p>
    <w:p w14:paraId="1181A784">
      <w:pPr>
        <w:pStyle w:val="102"/>
        <w:tabs>
          <w:tab w:val="right" w:pos="8647"/>
          <w:tab w:val="clear" w:pos="8504"/>
        </w:tabs>
        <w:rPr>
          <w:b w:val="0"/>
          <w:bCs/>
        </w:rPr>
      </w:pPr>
      <w:r>
        <w:rPr>
          <w:rFonts w:hint="eastAsia"/>
          <w:b w:val="0"/>
          <w:bCs/>
        </w:rPr>
        <w:t>《建筑施工高处作业安全技术规范》</w:t>
      </w:r>
      <w:r>
        <w:rPr>
          <w:b w:val="0"/>
          <w:bCs/>
        </w:rPr>
        <w:tab/>
      </w:r>
      <w:r>
        <w:rPr>
          <w:rFonts w:hint="eastAsia"/>
          <w:b w:val="0"/>
          <w:bCs/>
        </w:rPr>
        <w:t>JGJ 80</w:t>
      </w:r>
    </w:p>
    <w:p w14:paraId="36043DF5">
      <w:pPr>
        <w:pStyle w:val="102"/>
        <w:tabs>
          <w:tab w:val="right" w:pos="8647"/>
          <w:tab w:val="clear" w:pos="8504"/>
        </w:tabs>
        <w:rPr>
          <w:b w:val="0"/>
          <w:bCs/>
        </w:rPr>
      </w:pPr>
      <w:r>
        <w:rPr>
          <w:rFonts w:hint="eastAsia"/>
          <w:b w:val="0"/>
          <w:bCs/>
        </w:rPr>
        <w:t>《无粘结预应力混凝土结构技术规程》</w:t>
      </w:r>
      <w:r>
        <w:rPr>
          <w:b w:val="0"/>
          <w:bCs/>
        </w:rPr>
        <w:tab/>
      </w:r>
      <w:r>
        <w:rPr>
          <w:rFonts w:hint="eastAsia"/>
          <w:b w:val="0"/>
          <w:bCs/>
        </w:rPr>
        <w:t>JGJ 92</w:t>
      </w:r>
    </w:p>
    <w:p w14:paraId="5BC9B306">
      <w:pPr>
        <w:pStyle w:val="102"/>
        <w:tabs>
          <w:tab w:val="right" w:pos="8647"/>
          <w:tab w:val="clear" w:pos="8504"/>
        </w:tabs>
        <w:rPr>
          <w:b w:val="0"/>
          <w:bCs/>
        </w:rPr>
      </w:pPr>
      <w:r>
        <w:rPr>
          <w:rFonts w:hint="eastAsia"/>
          <w:b w:val="0"/>
          <w:bCs/>
        </w:rPr>
        <w:t>《钢筋机械连接技术规程》</w:t>
      </w:r>
      <w:r>
        <w:rPr>
          <w:b w:val="0"/>
          <w:bCs/>
        </w:rPr>
        <w:tab/>
      </w:r>
      <w:r>
        <w:rPr>
          <w:rFonts w:hint="eastAsia"/>
          <w:b w:val="0"/>
          <w:bCs/>
        </w:rPr>
        <w:t>JGJ 107</w:t>
      </w:r>
    </w:p>
    <w:p w14:paraId="63E5D0E8">
      <w:pPr>
        <w:pStyle w:val="102"/>
        <w:tabs>
          <w:tab w:val="right" w:pos="8647"/>
          <w:tab w:val="clear" w:pos="8504"/>
        </w:tabs>
        <w:rPr>
          <w:b w:val="0"/>
          <w:bCs/>
        </w:rPr>
      </w:pPr>
      <w:r>
        <w:rPr>
          <w:b w:val="0"/>
          <w:bCs/>
        </w:rPr>
        <w:t>《预应力混凝土结构抗震设计</w:t>
      </w:r>
      <w:r>
        <w:rPr>
          <w:rFonts w:hint="eastAsia"/>
          <w:b w:val="0"/>
          <w:bCs/>
        </w:rPr>
        <w:t>标准</w:t>
      </w:r>
      <w:r>
        <w:rPr>
          <w:b w:val="0"/>
          <w:bCs/>
        </w:rPr>
        <w:t>》</w:t>
      </w:r>
      <w:r>
        <w:rPr>
          <w:b w:val="0"/>
          <w:bCs/>
        </w:rPr>
        <w:tab/>
      </w:r>
      <w:r>
        <w:rPr>
          <w:b w:val="0"/>
          <w:bCs/>
        </w:rPr>
        <w:t>JGJ</w:t>
      </w:r>
      <w:r>
        <w:rPr>
          <w:rFonts w:hint="eastAsia"/>
          <w:b w:val="0"/>
          <w:bCs/>
        </w:rPr>
        <w:t>/T</w:t>
      </w:r>
      <w:r>
        <w:rPr>
          <w:b w:val="0"/>
          <w:bCs/>
        </w:rPr>
        <w:t xml:space="preserve"> 140</w:t>
      </w:r>
    </w:p>
    <w:p w14:paraId="028C4B6C">
      <w:pPr>
        <w:pStyle w:val="102"/>
        <w:tabs>
          <w:tab w:val="right" w:pos="8647"/>
          <w:tab w:val="clear" w:pos="8504"/>
        </w:tabs>
        <w:rPr>
          <w:b w:val="0"/>
          <w:bCs/>
        </w:rPr>
      </w:pPr>
      <w:r>
        <w:rPr>
          <w:rFonts w:hint="eastAsia"/>
          <w:b w:val="0"/>
          <w:bCs/>
        </w:rPr>
        <w:t>《建筑轻质条板隔墙技术规程》</w:t>
      </w:r>
      <w:r>
        <w:rPr>
          <w:b w:val="0"/>
          <w:bCs/>
        </w:rPr>
        <w:tab/>
      </w:r>
      <w:r>
        <w:rPr>
          <w:rFonts w:hint="eastAsia"/>
          <w:b w:val="0"/>
          <w:bCs/>
        </w:rPr>
        <w:t>JGJ/T 157</w:t>
      </w:r>
    </w:p>
    <w:p w14:paraId="5B361A5E">
      <w:pPr>
        <w:pStyle w:val="102"/>
        <w:tabs>
          <w:tab w:val="right" w:pos="8647"/>
          <w:tab w:val="clear" w:pos="8504"/>
        </w:tabs>
        <w:rPr>
          <w:b w:val="0"/>
          <w:bCs/>
        </w:rPr>
      </w:pPr>
      <w:r>
        <w:rPr>
          <w:rFonts w:hint="eastAsia"/>
          <w:b w:val="0"/>
          <w:bCs/>
        </w:rPr>
        <w:t>《钢筋锚固板应用技术规程》</w:t>
      </w:r>
      <w:r>
        <w:rPr>
          <w:b w:val="0"/>
          <w:bCs/>
        </w:rPr>
        <w:tab/>
      </w:r>
      <w:r>
        <w:rPr>
          <w:rFonts w:hint="eastAsia"/>
          <w:b w:val="0"/>
          <w:bCs/>
        </w:rPr>
        <w:t>JGJ 256</w:t>
      </w:r>
    </w:p>
    <w:p w14:paraId="459E6177">
      <w:pPr>
        <w:pStyle w:val="102"/>
        <w:tabs>
          <w:tab w:val="right" w:pos="8647"/>
          <w:tab w:val="clear" w:pos="8504"/>
        </w:tabs>
        <w:rPr>
          <w:b w:val="0"/>
          <w:bCs/>
        </w:rPr>
      </w:pPr>
      <w:r>
        <w:rPr>
          <w:rFonts w:hint="eastAsia"/>
          <w:b w:val="0"/>
          <w:bCs/>
        </w:rPr>
        <w:t>《自密实混凝土应用技术规程》</w:t>
      </w:r>
      <w:r>
        <w:rPr>
          <w:b w:val="0"/>
          <w:bCs/>
        </w:rPr>
        <w:tab/>
      </w:r>
      <w:r>
        <w:rPr>
          <w:b w:val="0"/>
          <w:bCs/>
        </w:rPr>
        <w:t>JGJ/T 283</w:t>
      </w:r>
    </w:p>
    <w:p w14:paraId="680DF07D">
      <w:pPr>
        <w:pStyle w:val="102"/>
        <w:tabs>
          <w:tab w:val="right" w:pos="8647"/>
          <w:tab w:val="clear" w:pos="8504"/>
        </w:tabs>
        <w:rPr>
          <w:b w:val="0"/>
          <w:bCs/>
        </w:rPr>
      </w:pPr>
      <w:r>
        <w:rPr>
          <w:rFonts w:hint="eastAsia"/>
          <w:b w:val="0"/>
          <w:bCs/>
        </w:rPr>
        <w:t>《钢筋套筒灌浆连接应用技术规程》</w:t>
      </w:r>
      <w:r>
        <w:rPr>
          <w:b w:val="0"/>
          <w:bCs/>
        </w:rPr>
        <w:tab/>
      </w:r>
      <w:r>
        <w:rPr>
          <w:rFonts w:hint="eastAsia"/>
          <w:b w:val="0"/>
          <w:bCs/>
        </w:rPr>
        <w:t>JGJ 355</w:t>
      </w:r>
    </w:p>
    <w:p w14:paraId="79CFD894">
      <w:pPr>
        <w:pStyle w:val="102"/>
        <w:tabs>
          <w:tab w:val="right" w:pos="8647"/>
          <w:tab w:val="clear" w:pos="8504"/>
        </w:tabs>
        <w:rPr>
          <w:b w:val="0"/>
          <w:bCs/>
        </w:rPr>
      </w:pPr>
      <w:r>
        <w:rPr>
          <w:rFonts w:hint="eastAsia"/>
          <w:b w:val="0"/>
          <w:bCs/>
        </w:rPr>
        <w:t>《预应力混凝土结构设计规范》</w:t>
      </w:r>
      <w:r>
        <w:rPr>
          <w:b w:val="0"/>
          <w:bCs/>
        </w:rPr>
        <w:tab/>
      </w:r>
      <w:r>
        <w:rPr>
          <w:rFonts w:hint="eastAsia"/>
          <w:b w:val="0"/>
          <w:bCs/>
        </w:rPr>
        <w:t>JGJ 369</w:t>
      </w:r>
    </w:p>
    <w:p w14:paraId="35B4988F">
      <w:pPr>
        <w:pStyle w:val="102"/>
        <w:tabs>
          <w:tab w:val="right" w:pos="8647"/>
          <w:tab w:val="clear" w:pos="8504"/>
        </w:tabs>
        <w:rPr>
          <w:b w:val="0"/>
          <w:bCs/>
        </w:rPr>
      </w:pPr>
      <w:r>
        <w:rPr>
          <w:rFonts w:hint="eastAsia"/>
          <w:b w:val="0"/>
          <w:bCs/>
        </w:rPr>
        <w:t>《建筑轻质板隔墙施工技术规程》</w:t>
      </w:r>
      <w:r>
        <w:rPr>
          <w:b w:val="0"/>
          <w:bCs/>
        </w:rPr>
        <w:tab/>
      </w:r>
      <w:r>
        <w:rPr>
          <w:b w:val="0"/>
          <w:bCs/>
        </w:rPr>
        <w:t xml:space="preserve">DB11/T </w:t>
      </w:r>
      <w:r>
        <w:rPr>
          <w:rFonts w:hint="eastAsia"/>
          <w:b w:val="0"/>
          <w:bCs/>
        </w:rPr>
        <w:t>4</w:t>
      </w:r>
      <w:r>
        <w:rPr>
          <w:b w:val="0"/>
          <w:bCs/>
        </w:rPr>
        <w:t>91</w:t>
      </w:r>
    </w:p>
    <w:p w14:paraId="6C4D63EA">
      <w:pPr>
        <w:pStyle w:val="102"/>
        <w:tabs>
          <w:tab w:val="right" w:pos="8647"/>
          <w:tab w:val="clear" w:pos="8504"/>
        </w:tabs>
        <w:rPr>
          <w:b w:val="0"/>
          <w:bCs/>
        </w:rPr>
      </w:pPr>
      <w:r>
        <w:rPr>
          <w:rFonts w:hint="eastAsia"/>
          <w:b w:val="0"/>
          <w:bCs/>
        </w:rPr>
        <w:t>《预制混凝土构件质量检验标准》</w:t>
      </w:r>
      <w:r>
        <w:rPr>
          <w:b w:val="0"/>
          <w:bCs/>
        </w:rPr>
        <w:tab/>
      </w:r>
      <w:r>
        <w:rPr>
          <w:rFonts w:hint="eastAsia"/>
          <w:b w:val="0"/>
          <w:bCs/>
        </w:rPr>
        <w:t>DB11/T 968</w:t>
      </w:r>
    </w:p>
    <w:p w14:paraId="6FFEEA29">
      <w:pPr>
        <w:pStyle w:val="102"/>
        <w:tabs>
          <w:tab w:val="right" w:pos="8647"/>
          <w:tab w:val="clear" w:pos="8504"/>
        </w:tabs>
        <w:rPr>
          <w:b w:val="0"/>
          <w:bCs/>
        </w:rPr>
      </w:pPr>
      <w:r>
        <w:rPr>
          <w:b w:val="0"/>
          <w:bCs/>
        </w:rPr>
        <w:t>《装配式混凝土结构工程施工与质量验收规程》</w:t>
      </w:r>
      <w:r>
        <w:rPr>
          <w:b w:val="0"/>
          <w:bCs/>
        </w:rPr>
        <w:tab/>
      </w:r>
      <w:r>
        <w:rPr>
          <w:b w:val="0"/>
          <w:bCs/>
        </w:rPr>
        <w:t>DB11/T 1030</w:t>
      </w:r>
    </w:p>
    <w:p w14:paraId="216A254D">
      <w:pPr>
        <w:pStyle w:val="102"/>
        <w:tabs>
          <w:tab w:val="right" w:pos="8647"/>
          <w:tab w:val="clear" w:pos="8504"/>
        </w:tabs>
        <w:rPr>
          <w:b w:val="0"/>
          <w:bCs/>
        </w:rPr>
      </w:pPr>
      <w:r>
        <w:rPr>
          <w:rFonts w:hint="eastAsia"/>
          <w:b w:val="0"/>
          <w:bCs/>
        </w:rPr>
        <w:t>《</w:t>
      </w:r>
      <w:r>
        <w:rPr>
          <w:b w:val="0"/>
          <w:bCs/>
        </w:rPr>
        <w:t>钢筋套筒灌浆连接技术规程</w:t>
      </w:r>
      <w:r>
        <w:rPr>
          <w:rFonts w:hint="eastAsia"/>
          <w:b w:val="0"/>
          <w:bCs/>
        </w:rPr>
        <w:t>》</w:t>
      </w:r>
      <w:r>
        <w:rPr>
          <w:b w:val="0"/>
          <w:bCs/>
        </w:rPr>
        <w:tab/>
      </w:r>
      <w:r>
        <w:rPr>
          <w:b w:val="0"/>
          <w:bCs/>
        </w:rPr>
        <w:t>DB11/T</w:t>
      </w:r>
      <w:r>
        <w:rPr>
          <w:rFonts w:hint="eastAsia"/>
          <w:b w:val="0"/>
          <w:bCs/>
        </w:rPr>
        <w:t xml:space="preserve"> </w:t>
      </w:r>
      <w:r>
        <w:rPr>
          <w:b w:val="0"/>
          <w:bCs/>
        </w:rPr>
        <w:t>1470</w:t>
      </w:r>
    </w:p>
    <w:p w14:paraId="0025BEF0">
      <w:pPr>
        <w:pStyle w:val="102"/>
        <w:tabs>
          <w:tab w:val="right" w:pos="8647"/>
          <w:tab w:val="clear" w:pos="8504"/>
        </w:tabs>
        <w:rPr>
          <w:b w:val="0"/>
          <w:bCs/>
        </w:rPr>
      </w:pPr>
      <w:r>
        <w:rPr>
          <w:rFonts w:hint="eastAsia"/>
          <w:b w:val="0"/>
          <w:bCs/>
        </w:rPr>
        <w:t>《</w:t>
      </w:r>
      <w:r>
        <w:rPr>
          <w:b w:val="0"/>
          <w:bCs/>
        </w:rPr>
        <w:t>装配式建筑施工安全技术规范</w:t>
      </w:r>
      <w:r>
        <w:rPr>
          <w:rFonts w:hint="eastAsia"/>
          <w:b w:val="0"/>
          <w:bCs/>
        </w:rPr>
        <w:t>》</w:t>
      </w:r>
      <w:r>
        <w:rPr>
          <w:b w:val="0"/>
          <w:bCs/>
        </w:rPr>
        <w:tab/>
      </w:r>
      <w:r>
        <w:rPr>
          <w:rFonts w:hint="eastAsia"/>
          <w:b w:val="0"/>
          <w:bCs/>
        </w:rPr>
        <w:t>DB11/T 2004</w:t>
      </w:r>
    </w:p>
    <w:p w14:paraId="431AA6FF">
      <w:pPr>
        <w:widowControl/>
        <w:jc w:val="left"/>
        <w:rPr>
          <w:bCs/>
          <w:kern w:val="44"/>
          <w:sz w:val="24"/>
        </w:rPr>
      </w:pPr>
      <w:r>
        <w:br w:type="page"/>
      </w:r>
    </w:p>
    <w:bookmarkEnd w:id="205"/>
    <w:p w14:paraId="70856C1D">
      <w:pPr>
        <w:spacing w:before="156" w:beforeLines="50"/>
        <w:jc w:val="center"/>
        <w:rPr>
          <w:rFonts w:hint="eastAsia" w:ascii="黑体" w:hAnsi="黑体" w:eastAsia="黑体"/>
          <w:spacing w:val="56"/>
          <w:sz w:val="28"/>
          <w:szCs w:val="28"/>
        </w:rPr>
      </w:pPr>
      <w:r>
        <w:rPr>
          <w:rFonts w:hint="eastAsia" w:ascii="黑体" w:hAnsi="黑体" w:eastAsia="黑体"/>
          <w:spacing w:val="56"/>
          <w:sz w:val="28"/>
          <w:szCs w:val="28"/>
        </w:rPr>
        <w:t>北京市地方标准</w:t>
      </w:r>
    </w:p>
    <w:p w14:paraId="499176D7">
      <w:pPr>
        <w:rPr>
          <w:rFonts w:eastAsia="黑体"/>
          <w:b/>
          <w:bCs/>
          <w:sz w:val="36"/>
          <w:szCs w:val="36"/>
        </w:rPr>
      </w:pPr>
    </w:p>
    <w:p w14:paraId="6C88FBEE">
      <w:pPr>
        <w:ind w:firstLine="480"/>
        <w:rPr>
          <w:szCs w:val="28"/>
        </w:rPr>
      </w:pPr>
    </w:p>
    <w:p w14:paraId="5E35D3E4">
      <w:pPr>
        <w:spacing w:line="360" w:lineRule="auto"/>
        <w:jc w:val="center"/>
        <w:rPr>
          <w:rFonts w:eastAsia="黑体"/>
          <w:sz w:val="44"/>
          <w:szCs w:val="44"/>
        </w:rPr>
      </w:pPr>
      <w:r>
        <w:rPr>
          <w:rFonts w:hint="eastAsia" w:ascii="黑体" w:eastAsia="黑体"/>
          <w:sz w:val="36"/>
          <w:szCs w:val="36"/>
        </w:rPr>
        <w:t>装配式工业厂房建设技术规程</w:t>
      </w:r>
    </w:p>
    <w:p w14:paraId="520ECA89">
      <w:pPr>
        <w:spacing w:line="360" w:lineRule="auto"/>
        <w:jc w:val="center"/>
        <w:rPr>
          <w:b/>
          <w:bCs/>
          <w:sz w:val="32"/>
          <w:szCs w:val="32"/>
        </w:rPr>
      </w:pPr>
      <w:r>
        <w:rPr>
          <w:rFonts w:hint="eastAsia" w:eastAsia="黑体"/>
          <w:b/>
          <w:bCs/>
          <w:sz w:val="32"/>
          <w:szCs w:val="32"/>
        </w:rPr>
        <w:t>Technical Specification for the Construction of Prefabricated Industrial Buildings</w:t>
      </w:r>
    </w:p>
    <w:p w14:paraId="1C7CDB83">
      <w:pPr>
        <w:jc w:val="center"/>
        <w:rPr>
          <w:sz w:val="44"/>
          <w:szCs w:val="44"/>
        </w:rPr>
      </w:pPr>
    </w:p>
    <w:p w14:paraId="7CFE0016">
      <w:pPr>
        <w:jc w:val="center"/>
        <w:rPr>
          <w:sz w:val="44"/>
          <w:szCs w:val="44"/>
        </w:rPr>
      </w:pPr>
    </w:p>
    <w:p w14:paraId="3756417B">
      <w:pPr>
        <w:tabs>
          <w:tab w:val="left" w:pos="2520"/>
        </w:tabs>
        <w:spacing w:line="360" w:lineRule="auto"/>
        <w:rPr>
          <w:b/>
          <w:bCs/>
          <w:sz w:val="28"/>
        </w:rPr>
      </w:pPr>
      <w:r>
        <w:rPr>
          <w:b/>
          <w:bCs/>
          <w:sz w:val="28"/>
        </w:rPr>
        <w:tab/>
      </w:r>
      <w:r>
        <w:rPr>
          <w:rFonts w:hint="eastAsia"/>
          <w:b/>
          <w:bCs/>
          <w:sz w:val="28"/>
        </w:rPr>
        <w:t>编  号：</w:t>
      </w:r>
      <w:r>
        <w:rPr>
          <w:b/>
          <w:bCs/>
          <w:sz w:val="28"/>
        </w:rPr>
        <w:t>DB</w:t>
      </w:r>
      <w:r>
        <w:rPr>
          <w:rFonts w:hint="eastAsia"/>
          <w:b/>
          <w:bCs/>
          <w:sz w:val="28"/>
        </w:rPr>
        <w:t>11</w:t>
      </w:r>
      <w:r>
        <w:rPr>
          <w:b/>
          <w:bCs/>
          <w:sz w:val="28"/>
        </w:rPr>
        <w:t>/</w:t>
      </w:r>
      <w:r>
        <w:rPr>
          <w:rFonts w:hint="eastAsia"/>
          <w:b/>
          <w:bCs/>
          <w:sz w:val="28"/>
        </w:rPr>
        <w:t>T</w:t>
      </w:r>
      <w:r>
        <w:rPr>
          <w:b/>
          <w:bCs/>
          <w:sz w:val="28"/>
        </w:rPr>
        <w:t xml:space="preserve"> </w:t>
      </w:r>
      <w:r>
        <w:rPr>
          <w:rFonts w:hint="eastAsia"/>
          <w:b/>
          <w:bCs/>
          <w:sz w:val="28"/>
        </w:rPr>
        <w:t>XXXX</w:t>
      </w:r>
      <w:r>
        <w:rPr>
          <w:b/>
          <w:bCs/>
          <w:sz w:val="28"/>
        </w:rPr>
        <w:t>-202</w:t>
      </w:r>
      <w:r>
        <w:rPr>
          <w:rFonts w:hint="eastAsia"/>
          <w:b/>
          <w:bCs/>
          <w:sz w:val="28"/>
        </w:rPr>
        <w:t>X</w:t>
      </w:r>
    </w:p>
    <w:p w14:paraId="031ADE55">
      <w:pPr>
        <w:tabs>
          <w:tab w:val="left" w:pos="2520"/>
        </w:tabs>
        <w:spacing w:line="360" w:lineRule="auto"/>
        <w:rPr>
          <w:b/>
          <w:bCs/>
          <w:sz w:val="28"/>
        </w:rPr>
      </w:pPr>
      <w:r>
        <w:rPr>
          <w:b/>
          <w:bCs/>
          <w:sz w:val="28"/>
        </w:rPr>
        <w:tab/>
      </w:r>
      <w:r>
        <w:rPr>
          <w:rFonts w:hint="eastAsia"/>
          <w:b/>
          <w:bCs/>
          <w:sz w:val="28"/>
        </w:rPr>
        <w:t>备案号：J10xxx-20</w:t>
      </w:r>
      <w:r>
        <w:rPr>
          <w:b/>
          <w:bCs/>
          <w:sz w:val="28"/>
        </w:rPr>
        <w:t>2</w:t>
      </w:r>
      <w:r>
        <w:rPr>
          <w:rFonts w:hint="eastAsia"/>
          <w:b/>
          <w:bCs/>
          <w:sz w:val="28"/>
        </w:rPr>
        <w:t>X</w:t>
      </w:r>
    </w:p>
    <w:p w14:paraId="38D023C4">
      <w:pPr>
        <w:jc w:val="center"/>
        <w:rPr>
          <w:sz w:val="44"/>
          <w:szCs w:val="44"/>
        </w:rPr>
      </w:pPr>
    </w:p>
    <w:p w14:paraId="23F8FB96">
      <w:pPr>
        <w:pStyle w:val="83"/>
        <w:rPr>
          <w:rFonts w:hint="eastAsia"/>
        </w:rPr>
      </w:pPr>
      <w:bookmarkStart w:id="206" w:name="_Toc170996619"/>
      <w:bookmarkStart w:id="207" w:name="_Toc187007109"/>
      <w:bookmarkStart w:id="208" w:name="_Toc149815254"/>
      <w:r>
        <w:t>条文说明</w:t>
      </w:r>
      <w:bookmarkEnd w:id="206"/>
      <w:bookmarkEnd w:id="207"/>
      <w:bookmarkEnd w:id="208"/>
      <w:bookmarkStart w:id="209" w:name="条文说明"/>
    </w:p>
    <w:bookmarkEnd w:id="209"/>
    <w:p w14:paraId="21D86AC2">
      <w:pPr>
        <w:jc w:val="center"/>
        <w:rPr>
          <w:sz w:val="44"/>
          <w:szCs w:val="44"/>
        </w:rPr>
      </w:pPr>
    </w:p>
    <w:p w14:paraId="06844FF9">
      <w:pPr>
        <w:jc w:val="center"/>
        <w:rPr>
          <w:sz w:val="44"/>
          <w:szCs w:val="44"/>
        </w:rPr>
      </w:pPr>
    </w:p>
    <w:p w14:paraId="1CFCBF7A">
      <w:pPr>
        <w:jc w:val="center"/>
        <w:rPr>
          <w:sz w:val="44"/>
          <w:szCs w:val="44"/>
        </w:rPr>
      </w:pPr>
    </w:p>
    <w:p w14:paraId="274A71C1">
      <w:pPr>
        <w:jc w:val="center"/>
        <w:rPr>
          <w:sz w:val="44"/>
          <w:szCs w:val="44"/>
        </w:rPr>
      </w:pPr>
    </w:p>
    <w:p w14:paraId="6DFAC90F">
      <w:pPr>
        <w:jc w:val="center"/>
        <w:rPr>
          <w:sz w:val="44"/>
          <w:szCs w:val="44"/>
        </w:rPr>
      </w:pPr>
    </w:p>
    <w:p w14:paraId="49003D62">
      <w:pPr>
        <w:jc w:val="center"/>
        <w:rPr>
          <w:b/>
          <w:sz w:val="28"/>
          <w:lang w:val="nl-NL"/>
        </w:rPr>
      </w:pPr>
      <w:r>
        <w:rPr>
          <w:rFonts w:hint="eastAsia" w:eastAsia="黑体"/>
          <w:b/>
          <w:sz w:val="28"/>
          <w:szCs w:val="28"/>
        </w:rPr>
        <w:t>20</w:t>
      </w:r>
      <w:r>
        <w:rPr>
          <w:rFonts w:eastAsia="黑体"/>
          <w:b/>
          <w:sz w:val="28"/>
          <w:szCs w:val="28"/>
        </w:rPr>
        <w:t>2</w:t>
      </w:r>
      <w:r>
        <w:rPr>
          <w:rFonts w:hint="eastAsia" w:eastAsia="黑体"/>
          <w:b/>
          <w:sz w:val="28"/>
          <w:szCs w:val="28"/>
        </w:rPr>
        <w:t>5  北  京</w:t>
      </w:r>
      <w:r>
        <w:rPr>
          <w:b/>
          <w:sz w:val="28"/>
          <w:lang w:val="nl-NL"/>
        </w:rPr>
        <w:br w:type="page"/>
      </w:r>
    </w:p>
    <w:sdt>
      <w:sdtPr>
        <w:rPr>
          <w:rFonts w:ascii="Times New Roman" w:hAnsi="Times New Roman" w:eastAsia="宋体" w:cs="Times New Roman"/>
          <w:color w:val="auto"/>
          <w:kern w:val="2"/>
          <w:sz w:val="21"/>
          <w:szCs w:val="24"/>
          <w:lang w:val="zh-CN"/>
        </w:rPr>
        <w:id w:val="-1588761244"/>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14:paraId="293FB909">
          <w:pPr>
            <w:pStyle w:val="122"/>
            <w:spacing w:before="0" w:line="240" w:lineRule="auto"/>
            <w:jc w:val="center"/>
            <w:rPr>
              <w:rFonts w:ascii="Times New Roman" w:hAnsi="Times New Roman" w:eastAsia="仿宋_GB2312" w:cs="Times New Roman"/>
              <w:bCs/>
              <w:color w:val="auto"/>
              <w:kern w:val="2"/>
              <w:sz w:val="36"/>
              <w:szCs w:val="24"/>
            </w:rPr>
          </w:pPr>
          <w:r>
            <w:rPr>
              <w:rFonts w:ascii="Times New Roman" w:hAnsi="Times New Roman" w:eastAsia="仿宋_GB2312" w:cs="Times New Roman"/>
              <w:bCs/>
              <w:color w:val="auto"/>
              <w:kern w:val="2"/>
              <w:sz w:val="36"/>
              <w:szCs w:val="24"/>
            </w:rPr>
            <w:t>目</w:t>
          </w:r>
          <w:r>
            <w:rPr>
              <w:rFonts w:hint="eastAsia" w:ascii="Times New Roman" w:hAnsi="Times New Roman" w:eastAsia="仿宋_GB2312" w:cs="Times New Roman"/>
              <w:bCs/>
              <w:color w:val="auto"/>
              <w:kern w:val="2"/>
              <w:sz w:val="36"/>
              <w:szCs w:val="24"/>
            </w:rPr>
            <w:t xml:space="preserve">   次</w:t>
          </w:r>
        </w:p>
        <w:p w14:paraId="0CAA5F58">
          <w:pPr>
            <w:pStyle w:val="20"/>
            <w:spacing w:line="480" w:lineRule="exact"/>
            <w:rPr>
              <w:rFonts w:hint="eastAsia" w:asciiTheme="minorHAnsi" w:hAnsiTheme="minorHAnsi" w:eastAsiaTheme="minorEastAsia" w:cstheme="minorBidi"/>
              <w:sz w:val="24"/>
              <w14:ligatures w14:val="standardContextual"/>
            </w:rPr>
          </w:pPr>
          <w:r>
            <w:rPr>
              <w:sz w:val="24"/>
            </w:rPr>
            <w:fldChar w:fldCharType="begin"/>
          </w:r>
          <w:r>
            <w:rPr>
              <w:sz w:val="24"/>
            </w:rPr>
            <w:instrText xml:space="preserve"> </w:instrText>
          </w:r>
          <w:r>
            <w:rPr>
              <w:rFonts w:hint="eastAsia"/>
              <w:sz w:val="24"/>
            </w:rPr>
            <w:instrText xml:space="preserve">TOC \o "1-2" \h \z \u</w:instrText>
          </w:r>
          <w:r>
            <w:rPr>
              <w:sz w:val="24"/>
            </w:rPr>
            <w:instrText xml:space="preserve"> </w:instrText>
          </w:r>
          <w:r>
            <w:rPr>
              <w:sz w:val="24"/>
            </w:rPr>
            <w:fldChar w:fldCharType="separate"/>
          </w:r>
          <w:r>
            <w:fldChar w:fldCharType="begin"/>
          </w:r>
          <w:r>
            <w:instrText xml:space="preserve"> HYPERLINK \l "_Toc225342104" </w:instrText>
          </w:r>
          <w:r>
            <w:fldChar w:fldCharType="separate"/>
          </w:r>
          <w:r>
            <w:rPr>
              <w:rStyle w:val="35"/>
              <w:b/>
              <w:color w:val="auto"/>
              <w:sz w:val="24"/>
            </w:rPr>
            <w:t>1</w:t>
          </w:r>
          <w:r>
            <w:rPr>
              <w:rStyle w:val="35"/>
              <w:color w:val="auto"/>
              <w:sz w:val="24"/>
            </w:rPr>
            <w:t xml:space="preserve"> </w:t>
          </w:r>
          <w:r>
            <w:rPr>
              <w:rStyle w:val="35"/>
              <w:rFonts w:hint="eastAsia"/>
              <w:color w:val="auto"/>
              <w:sz w:val="24"/>
            </w:rPr>
            <w:t xml:space="preserve"> 总则</w:t>
          </w:r>
          <w:r>
            <w:rPr>
              <w:sz w:val="24"/>
            </w:rPr>
            <w:tab/>
          </w:r>
          <w:r>
            <w:rPr>
              <w:rFonts w:hint="eastAsia"/>
              <w:sz w:val="24"/>
            </w:rPr>
            <w:t>32</w:t>
          </w:r>
          <w:r>
            <w:rPr>
              <w:rFonts w:hint="eastAsia"/>
              <w:sz w:val="24"/>
            </w:rPr>
            <w:fldChar w:fldCharType="end"/>
          </w:r>
        </w:p>
        <w:p w14:paraId="7F187AF9">
          <w:pPr>
            <w:pStyle w:val="20"/>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"_Toc225342106" </w:instrText>
          </w:r>
          <w:r>
            <w:fldChar w:fldCharType="separate"/>
          </w:r>
          <w:r>
            <w:rPr>
              <w:rStyle w:val="35"/>
              <w:b/>
              <w:color w:val="auto"/>
              <w:sz w:val="24"/>
            </w:rPr>
            <w:t>3</w:t>
          </w:r>
          <w:r>
            <w:rPr>
              <w:rStyle w:val="35"/>
              <w:color w:val="auto"/>
              <w:sz w:val="24"/>
            </w:rPr>
            <w:t xml:space="preserve"> </w:t>
          </w:r>
          <w:r>
            <w:rPr>
              <w:rStyle w:val="35"/>
              <w:rFonts w:hint="eastAsia"/>
              <w:color w:val="auto"/>
              <w:sz w:val="24"/>
            </w:rPr>
            <w:t xml:space="preserve"> 基本规定</w:t>
          </w:r>
          <w:r>
            <w:rPr>
              <w:sz w:val="24"/>
            </w:rPr>
            <w:tab/>
          </w:r>
          <w:r>
            <w:rPr>
              <w:rFonts w:hint="eastAsia"/>
              <w:sz w:val="24"/>
            </w:rPr>
            <w:t>33</w:t>
          </w:r>
          <w:r>
            <w:rPr>
              <w:rFonts w:hint="eastAsia"/>
              <w:sz w:val="24"/>
            </w:rPr>
            <w:fldChar w:fldCharType="end"/>
          </w:r>
        </w:p>
        <w:p w14:paraId="693291A6">
          <w:pPr>
            <w:pStyle w:val="20"/>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"_Toc225342107" </w:instrText>
          </w:r>
          <w:r>
            <w:fldChar w:fldCharType="separate"/>
          </w:r>
          <w:r>
            <w:rPr>
              <w:rStyle w:val="35"/>
              <w:b/>
              <w:color w:val="auto"/>
              <w:sz w:val="24"/>
            </w:rPr>
            <w:t>4</w:t>
          </w:r>
          <w:r>
            <w:rPr>
              <w:rStyle w:val="35"/>
              <w:color w:val="auto"/>
              <w:sz w:val="24"/>
            </w:rPr>
            <w:t xml:space="preserve"> </w:t>
          </w:r>
          <w:r>
            <w:rPr>
              <w:rStyle w:val="35"/>
              <w:rFonts w:hint="eastAsia"/>
              <w:color w:val="auto"/>
              <w:sz w:val="24"/>
            </w:rPr>
            <w:t xml:space="preserve"> 深化设计</w:t>
          </w:r>
          <w:r>
            <w:rPr>
              <w:sz w:val="24"/>
            </w:rPr>
            <w:tab/>
          </w:r>
          <w:r>
            <w:rPr>
              <w:rFonts w:hint="eastAsia"/>
              <w:sz w:val="24"/>
            </w:rPr>
            <w:t>34</w:t>
          </w:r>
          <w:r>
            <w:rPr>
              <w:rFonts w:hint="eastAsia"/>
              <w:sz w:val="24"/>
            </w:rPr>
            <w:fldChar w:fldCharType="end"/>
          </w:r>
        </w:p>
        <w:p w14:paraId="540A7C6C">
          <w:pPr>
            <w:pStyle w:val="23"/>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"_Toc225342108" </w:instrText>
          </w:r>
          <w:r>
            <w:fldChar w:fldCharType="separate"/>
          </w:r>
          <w:r>
            <w:rPr>
              <w:rStyle w:val="35"/>
              <w:b/>
              <w:color w:val="auto"/>
              <w:sz w:val="24"/>
            </w:rPr>
            <w:t>4.1</w:t>
          </w:r>
          <w:r>
            <w:rPr>
              <w:rStyle w:val="35"/>
              <w:color w:val="auto"/>
              <w:sz w:val="24"/>
            </w:rPr>
            <w:t xml:space="preserve"> </w:t>
          </w:r>
          <w:r>
            <w:rPr>
              <w:rStyle w:val="35"/>
              <w:rFonts w:hint="eastAsia"/>
              <w:color w:val="auto"/>
              <w:sz w:val="24"/>
            </w:rPr>
            <w:t xml:space="preserve"> 一般规定</w:t>
          </w:r>
          <w:r>
            <w:rPr>
              <w:sz w:val="24"/>
            </w:rPr>
            <w:tab/>
          </w:r>
          <w:r>
            <w:rPr>
              <w:rFonts w:hint="eastAsia"/>
              <w:sz w:val="24"/>
            </w:rPr>
            <w:t>34</w:t>
          </w:r>
          <w:r>
            <w:rPr>
              <w:rFonts w:hint="eastAsia"/>
              <w:sz w:val="24"/>
            </w:rPr>
            <w:fldChar w:fldCharType="end"/>
          </w:r>
        </w:p>
        <w:p w14:paraId="31542363">
          <w:pPr>
            <w:pStyle w:val="23"/>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"_Toc225342109" </w:instrText>
          </w:r>
          <w:r>
            <w:fldChar w:fldCharType="separate"/>
          </w:r>
          <w:r>
            <w:rPr>
              <w:rStyle w:val="35"/>
              <w:b/>
              <w:color w:val="auto"/>
              <w:sz w:val="24"/>
            </w:rPr>
            <w:t>4.2</w:t>
          </w:r>
          <w:r>
            <w:rPr>
              <w:rStyle w:val="35"/>
              <w:color w:val="auto"/>
              <w:sz w:val="24"/>
            </w:rPr>
            <w:t xml:space="preserve"> </w:t>
          </w:r>
          <w:r>
            <w:rPr>
              <w:rStyle w:val="35"/>
              <w:rFonts w:hint="eastAsia"/>
              <w:color w:val="auto"/>
              <w:sz w:val="24"/>
            </w:rPr>
            <w:t xml:space="preserve"> 构件设计</w:t>
          </w:r>
          <w:r>
            <w:rPr>
              <w:sz w:val="24"/>
            </w:rPr>
            <w:tab/>
          </w:r>
          <w:r>
            <w:rPr>
              <w:rFonts w:hint="eastAsia"/>
              <w:sz w:val="24"/>
            </w:rPr>
            <w:t>34</w:t>
          </w:r>
          <w:r>
            <w:rPr>
              <w:rFonts w:hint="eastAsia"/>
              <w:sz w:val="24"/>
            </w:rPr>
            <w:fldChar w:fldCharType="end"/>
          </w:r>
        </w:p>
        <w:p w14:paraId="03DE52E0">
          <w:pPr>
            <w:pStyle w:val="23"/>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"_Toc225342126" </w:instrText>
          </w:r>
          <w:r>
            <w:fldChar w:fldCharType="separate"/>
          </w:r>
          <w:r>
            <w:rPr>
              <w:rStyle w:val="35"/>
              <w:b/>
              <w:color w:val="auto"/>
              <w:sz w:val="24"/>
            </w:rPr>
            <w:t>4.3</w:t>
          </w:r>
          <w:r>
            <w:rPr>
              <w:rStyle w:val="35"/>
              <w:color w:val="auto"/>
              <w:sz w:val="24"/>
            </w:rPr>
            <w:t xml:space="preserve"> </w:t>
          </w:r>
          <w:r>
            <w:rPr>
              <w:rStyle w:val="35"/>
              <w:rFonts w:hint="eastAsia"/>
              <w:color w:val="auto"/>
              <w:sz w:val="24"/>
            </w:rPr>
            <w:t xml:space="preserve"> 连接设计</w:t>
          </w:r>
          <w:r>
            <w:rPr>
              <w:sz w:val="24"/>
            </w:rPr>
            <w:tab/>
          </w:r>
          <w:r>
            <w:rPr>
              <w:rFonts w:hint="eastAsia"/>
              <w:sz w:val="24"/>
            </w:rPr>
            <w:t>35</w:t>
          </w:r>
          <w:r>
            <w:rPr>
              <w:rFonts w:hint="eastAsia"/>
              <w:sz w:val="24"/>
            </w:rPr>
            <w:fldChar w:fldCharType="end"/>
          </w:r>
        </w:p>
        <w:p w14:paraId="031E20EA">
          <w:pPr>
            <w:pStyle w:val="20"/>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"_Toc225342127" </w:instrText>
          </w:r>
          <w:r>
            <w:fldChar w:fldCharType="separate"/>
          </w:r>
          <w:r>
            <w:rPr>
              <w:rStyle w:val="35"/>
              <w:b/>
              <w:color w:val="auto"/>
              <w:sz w:val="24"/>
            </w:rPr>
            <w:t>5</w:t>
          </w:r>
          <w:r>
            <w:rPr>
              <w:rStyle w:val="35"/>
              <w:color w:val="auto"/>
              <w:sz w:val="24"/>
            </w:rPr>
            <w:t xml:space="preserve"> </w:t>
          </w:r>
          <w:r>
            <w:rPr>
              <w:rStyle w:val="35"/>
              <w:rFonts w:hint="eastAsia"/>
              <w:color w:val="auto"/>
              <w:sz w:val="24"/>
            </w:rPr>
            <w:t xml:space="preserve"> 生产与运输</w:t>
          </w:r>
          <w:r>
            <w:rPr>
              <w:sz w:val="24"/>
            </w:rPr>
            <w:tab/>
          </w:r>
          <w:r>
            <w:rPr>
              <w:rFonts w:hint="eastAsia"/>
              <w:sz w:val="24"/>
            </w:rPr>
            <w:t>36</w:t>
          </w:r>
          <w:r>
            <w:rPr>
              <w:rFonts w:hint="eastAsia"/>
              <w:sz w:val="24"/>
            </w:rPr>
            <w:fldChar w:fldCharType="end"/>
          </w:r>
        </w:p>
        <w:p w14:paraId="35E153B3">
          <w:pPr>
            <w:pStyle w:val="23"/>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"_Toc225342130" </w:instrText>
          </w:r>
          <w:r>
            <w:fldChar w:fldCharType="separate"/>
          </w:r>
          <w:r>
            <w:rPr>
              <w:rStyle w:val="35"/>
              <w:b/>
              <w:color w:val="auto"/>
              <w:sz w:val="24"/>
            </w:rPr>
            <w:t>5.2</w:t>
          </w:r>
          <w:r>
            <w:rPr>
              <w:rStyle w:val="35"/>
              <w:color w:val="auto"/>
              <w:sz w:val="24"/>
            </w:rPr>
            <w:t xml:space="preserve"> </w:t>
          </w:r>
          <w:r>
            <w:rPr>
              <w:rStyle w:val="35"/>
              <w:rFonts w:hint="eastAsia"/>
              <w:color w:val="auto"/>
              <w:sz w:val="24"/>
            </w:rPr>
            <w:t xml:space="preserve"> 构件生产</w:t>
          </w:r>
          <w:r>
            <w:rPr>
              <w:sz w:val="24"/>
            </w:rPr>
            <w:tab/>
          </w:r>
          <w:r>
            <w:rPr>
              <w:rFonts w:hint="eastAsia"/>
              <w:sz w:val="24"/>
            </w:rPr>
            <w:t>36</w:t>
          </w:r>
          <w:r>
            <w:rPr>
              <w:rFonts w:hint="eastAsia"/>
              <w:sz w:val="24"/>
            </w:rPr>
            <w:fldChar w:fldCharType="end"/>
          </w:r>
        </w:p>
        <w:p w14:paraId="2054D7B1">
          <w:pPr>
            <w:pStyle w:val="20"/>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"_Toc225342165" </w:instrText>
          </w:r>
          <w:r>
            <w:fldChar w:fldCharType="separate"/>
          </w:r>
          <w:r>
            <w:rPr>
              <w:rStyle w:val="35"/>
              <w:b/>
              <w:color w:val="auto"/>
              <w:sz w:val="24"/>
            </w:rPr>
            <w:t>6</w:t>
          </w:r>
          <w:r>
            <w:rPr>
              <w:rStyle w:val="35"/>
              <w:color w:val="auto"/>
              <w:sz w:val="24"/>
            </w:rPr>
            <w:t xml:space="preserve"> </w:t>
          </w:r>
          <w:r>
            <w:rPr>
              <w:rStyle w:val="35"/>
              <w:rFonts w:hint="eastAsia"/>
              <w:color w:val="auto"/>
              <w:sz w:val="24"/>
            </w:rPr>
            <w:t xml:space="preserve"> 施工</w:t>
          </w:r>
          <w:r>
            <w:rPr>
              <w:sz w:val="24"/>
            </w:rPr>
            <w:tab/>
          </w:r>
          <w:r>
            <w:rPr>
              <w:rFonts w:hint="eastAsia"/>
              <w:sz w:val="24"/>
            </w:rPr>
            <w:t>37</w:t>
          </w:r>
          <w:r>
            <w:rPr>
              <w:rFonts w:hint="eastAsia"/>
              <w:sz w:val="24"/>
            </w:rPr>
            <w:fldChar w:fldCharType="end"/>
          </w:r>
        </w:p>
        <w:p w14:paraId="71E36DBA">
          <w:pPr>
            <w:pStyle w:val="23"/>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"_Toc225342166" </w:instrText>
          </w:r>
          <w:r>
            <w:fldChar w:fldCharType="separate"/>
          </w:r>
          <w:r>
            <w:rPr>
              <w:rStyle w:val="35"/>
              <w:b/>
              <w:color w:val="auto"/>
              <w:sz w:val="24"/>
            </w:rPr>
            <w:t>6.1</w:t>
          </w:r>
          <w:r>
            <w:rPr>
              <w:rStyle w:val="35"/>
              <w:rFonts w:hint="eastAsia"/>
              <w:b/>
              <w:color w:val="auto"/>
              <w:sz w:val="24"/>
            </w:rPr>
            <w:t xml:space="preserve"> </w:t>
          </w:r>
          <w:r>
            <w:rPr>
              <w:rStyle w:val="35"/>
              <w:color w:val="auto"/>
              <w:sz w:val="24"/>
            </w:rPr>
            <w:t xml:space="preserve"> </w:t>
          </w:r>
          <w:r>
            <w:rPr>
              <w:rStyle w:val="35"/>
              <w:rFonts w:hint="eastAsia"/>
              <w:color w:val="auto"/>
              <w:sz w:val="24"/>
            </w:rPr>
            <w:t>一般规定</w:t>
          </w:r>
          <w:r>
            <w:rPr>
              <w:sz w:val="24"/>
            </w:rPr>
            <w:tab/>
          </w:r>
          <w:r>
            <w:rPr>
              <w:rFonts w:hint="eastAsia"/>
              <w:sz w:val="24"/>
            </w:rPr>
            <w:t>37</w:t>
          </w:r>
          <w:r>
            <w:rPr>
              <w:rFonts w:hint="eastAsia"/>
              <w:sz w:val="24"/>
            </w:rPr>
            <w:fldChar w:fldCharType="end"/>
          </w:r>
        </w:p>
        <w:p w14:paraId="3CF55CE6">
          <w:pPr>
            <w:pStyle w:val="23"/>
            <w:spacing w:line="480" w:lineRule="exact"/>
            <w:rPr>
              <w:sz w:val="24"/>
            </w:rPr>
          </w:pPr>
          <w:r>
            <w:fldChar w:fldCharType="begin"/>
          </w:r>
          <w:r>
            <w:instrText xml:space="preserve"> HYPERLINK \l "_Toc225342175" </w:instrText>
          </w:r>
          <w:r>
            <w:fldChar w:fldCharType="separate"/>
          </w:r>
          <w:r>
            <w:rPr>
              <w:rStyle w:val="35"/>
              <w:b/>
              <w:color w:val="auto"/>
              <w:sz w:val="24"/>
            </w:rPr>
            <w:t>6.2</w:t>
          </w:r>
          <w:r>
            <w:rPr>
              <w:rStyle w:val="35"/>
              <w:color w:val="auto"/>
              <w:sz w:val="24"/>
            </w:rPr>
            <w:t xml:space="preserve"> </w:t>
          </w:r>
          <w:r>
            <w:rPr>
              <w:rStyle w:val="35"/>
              <w:rFonts w:hint="eastAsia"/>
              <w:color w:val="auto"/>
              <w:sz w:val="24"/>
            </w:rPr>
            <w:t xml:space="preserve"> 构件安装</w:t>
          </w:r>
          <w:r>
            <w:rPr>
              <w:sz w:val="24"/>
            </w:rPr>
            <w:tab/>
          </w:r>
          <w:r>
            <w:rPr>
              <w:rFonts w:hint="eastAsia"/>
              <w:sz w:val="24"/>
            </w:rPr>
            <w:t>37</w:t>
          </w:r>
          <w:r>
            <w:rPr>
              <w:rFonts w:hint="eastAsia"/>
              <w:sz w:val="24"/>
            </w:rPr>
            <w:fldChar w:fldCharType="end"/>
          </w:r>
        </w:p>
        <w:p w14:paraId="2BF9C5CA">
          <w:pPr>
            <w:pStyle w:val="23"/>
            <w:spacing w:line="480" w:lineRule="exact"/>
            <w:rPr>
              <w:sz w:val="24"/>
            </w:rPr>
          </w:pPr>
          <w:r>
            <w:fldChar w:fldCharType="begin"/>
          </w:r>
          <w:r>
            <w:instrText xml:space="preserve"> HYPERLINK \l "_Toc225342175" </w:instrText>
          </w:r>
          <w:r>
            <w:fldChar w:fldCharType="separate"/>
          </w:r>
          <w:r>
            <w:rPr>
              <w:rStyle w:val="35"/>
              <w:b/>
              <w:color w:val="auto"/>
              <w:sz w:val="24"/>
            </w:rPr>
            <w:t>6.</w:t>
          </w:r>
          <w:r>
            <w:rPr>
              <w:rStyle w:val="35"/>
              <w:rFonts w:hint="eastAsia"/>
              <w:b/>
              <w:color w:val="auto"/>
              <w:sz w:val="24"/>
            </w:rPr>
            <w:t>3</w:t>
          </w:r>
          <w:r>
            <w:rPr>
              <w:rStyle w:val="35"/>
              <w:color w:val="auto"/>
              <w:sz w:val="24"/>
            </w:rPr>
            <w:t xml:space="preserve"> </w:t>
          </w:r>
          <w:r>
            <w:rPr>
              <w:rStyle w:val="35"/>
              <w:rFonts w:hint="eastAsia"/>
              <w:color w:val="auto"/>
              <w:sz w:val="24"/>
            </w:rPr>
            <w:t xml:space="preserve"> 机电施工</w:t>
          </w:r>
          <w:r>
            <w:rPr>
              <w:sz w:val="24"/>
            </w:rPr>
            <w:tab/>
          </w:r>
          <w:r>
            <w:rPr>
              <w:rFonts w:hint="eastAsia"/>
              <w:sz w:val="24"/>
            </w:rPr>
            <w:t>37</w:t>
          </w:r>
          <w:r>
            <w:rPr>
              <w:rFonts w:hint="eastAsia"/>
              <w:sz w:val="24"/>
            </w:rPr>
            <w:fldChar w:fldCharType="end"/>
          </w:r>
        </w:p>
        <w:p w14:paraId="28258EE1">
          <w:pPr>
            <w:pStyle w:val="23"/>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"_Toc225342243" </w:instrText>
          </w:r>
          <w:r>
            <w:fldChar w:fldCharType="separate"/>
          </w:r>
          <w:r>
            <w:rPr>
              <w:rStyle w:val="35"/>
              <w:b/>
              <w:color w:val="auto"/>
              <w:sz w:val="24"/>
            </w:rPr>
            <w:t>6.</w:t>
          </w:r>
          <w:r>
            <w:rPr>
              <w:rStyle w:val="35"/>
              <w:rFonts w:hint="eastAsia"/>
              <w:b/>
              <w:color w:val="auto"/>
              <w:sz w:val="24"/>
            </w:rPr>
            <w:t>5</w:t>
          </w:r>
          <w:r>
            <w:rPr>
              <w:rStyle w:val="35"/>
              <w:color w:val="auto"/>
              <w:sz w:val="24"/>
            </w:rPr>
            <w:t xml:space="preserve"> </w:t>
          </w:r>
          <w:r>
            <w:rPr>
              <w:rStyle w:val="35"/>
              <w:rFonts w:hint="eastAsia"/>
              <w:color w:val="auto"/>
              <w:sz w:val="24"/>
            </w:rPr>
            <w:t xml:space="preserve"> 特殊工艺施工</w:t>
          </w:r>
          <w:r>
            <w:rPr>
              <w:sz w:val="24"/>
            </w:rPr>
            <w:tab/>
          </w:r>
          <w:r>
            <w:rPr>
              <w:rFonts w:hint="eastAsia"/>
              <w:sz w:val="24"/>
            </w:rPr>
            <w:t>38</w:t>
          </w:r>
          <w:r>
            <w:rPr>
              <w:rFonts w:hint="eastAsia"/>
              <w:sz w:val="24"/>
            </w:rPr>
            <w:fldChar w:fldCharType="end"/>
          </w:r>
        </w:p>
        <w:p w14:paraId="43E725EE">
          <w:pPr>
            <w:pStyle w:val="20"/>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"_Toc225342246" </w:instrText>
          </w:r>
          <w:r>
            <w:fldChar w:fldCharType="separate"/>
          </w:r>
          <w:r>
            <w:rPr>
              <w:rStyle w:val="35"/>
              <w:b/>
              <w:color w:val="auto"/>
              <w:sz w:val="24"/>
            </w:rPr>
            <w:t>7</w:t>
          </w:r>
          <w:r>
            <w:rPr>
              <w:rStyle w:val="35"/>
              <w:color w:val="auto"/>
              <w:sz w:val="24"/>
            </w:rPr>
            <w:t xml:space="preserve"> </w:t>
          </w:r>
          <w:r>
            <w:rPr>
              <w:rStyle w:val="35"/>
              <w:rFonts w:hint="eastAsia"/>
              <w:color w:val="auto"/>
              <w:sz w:val="24"/>
            </w:rPr>
            <w:t xml:space="preserve"> 质量验收</w:t>
          </w:r>
          <w:r>
            <w:rPr>
              <w:sz w:val="24"/>
            </w:rPr>
            <w:tab/>
          </w:r>
          <w:r>
            <w:rPr>
              <w:rFonts w:hint="eastAsia"/>
              <w:sz w:val="24"/>
            </w:rPr>
            <w:t>39</w:t>
          </w:r>
          <w:r>
            <w:rPr>
              <w:rFonts w:hint="eastAsia"/>
              <w:sz w:val="24"/>
            </w:rPr>
            <w:fldChar w:fldCharType="end"/>
          </w:r>
        </w:p>
        <w:p w14:paraId="15A6ED49">
          <w:pPr>
            <w:pStyle w:val="23"/>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"_Toc225342247" </w:instrText>
          </w:r>
          <w:r>
            <w:fldChar w:fldCharType="separate"/>
          </w:r>
          <w:r>
            <w:rPr>
              <w:rStyle w:val="35"/>
              <w:b/>
              <w:color w:val="auto"/>
              <w:sz w:val="24"/>
            </w:rPr>
            <w:t>7.1</w:t>
          </w:r>
          <w:r>
            <w:rPr>
              <w:rStyle w:val="35"/>
              <w:color w:val="auto"/>
              <w:sz w:val="24"/>
            </w:rPr>
            <w:t xml:space="preserve"> </w:t>
          </w:r>
          <w:r>
            <w:rPr>
              <w:rStyle w:val="35"/>
              <w:rFonts w:hint="eastAsia"/>
              <w:color w:val="auto"/>
              <w:sz w:val="24"/>
            </w:rPr>
            <w:t xml:space="preserve"> 一般规定</w:t>
          </w:r>
          <w:r>
            <w:rPr>
              <w:sz w:val="24"/>
            </w:rPr>
            <w:tab/>
          </w:r>
          <w:r>
            <w:rPr>
              <w:rFonts w:hint="eastAsia"/>
              <w:sz w:val="24"/>
            </w:rPr>
            <w:t>39</w:t>
          </w:r>
          <w:r>
            <w:rPr>
              <w:rFonts w:hint="eastAsia"/>
              <w:sz w:val="24"/>
            </w:rPr>
            <w:fldChar w:fldCharType="end"/>
          </w:r>
        </w:p>
        <w:p w14:paraId="3FE9CA7C">
          <w:pPr>
            <w:pStyle w:val="23"/>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"_Toc225342280" </w:instrText>
          </w:r>
          <w:r>
            <w:fldChar w:fldCharType="separate"/>
          </w:r>
          <w:r>
            <w:rPr>
              <w:rStyle w:val="35"/>
              <w:b/>
              <w:color w:val="auto"/>
              <w:sz w:val="24"/>
            </w:rPr>
            <w:t>7.2</w:t>
          </w:r>
          <w:r>
            <w:rPr>
              <w:rStyle w:val="35"/>
              <w:color w:val="auto"/>
              <w:sz w:val="24"/>
            </w:rPr>
            <w:t xml:space="preserve"> </w:t>
          </w:r>
          <w:r>
            <w:rPr>
              <w:rStyle w:val="35"/>
              <w:rFonts w:hint="eastAsia"/>
              <w:color w:val="auto"/>
              <w:sz w:val="24"/>
            </w:rPr>
            <w:t xml:space="preserve"> 构件进场验收</w:t>
          </w:r>
          <w:r>
            <w:rPr>
              <w:sz w:val="24"/>
            </w:rPr>
            <w:tab/>
          </w:r>
          <w:r>
            <w:rPr>
              <w:rFonts w:hint="eastAsia"/>
              <w:sz w:val="24"/>
            </w:rPr>
            <w:t>39</w:t>
          </w:r>
          <w:r>
            <w:rPr>
              <w:rFonts w:hint="eastAsia"/>
              <w:sz w:val="24"/>
            </w:rPr>
            <w:fldChar w:fldCharType="end"/>
          </w:r>
        </w:p>
        <w:p w14:paraId="0709BD09">
          <w:pPr>
            <w:pStyle w:val="23"/>
            <w:spacing w:line="480" w:lineRule="exact"/>
            <w:rPr>
              <w:rFonts w:hint="eastAsia" w:asciiTheme="minorHAnsi" w:hAnsiTheme="minorHAnsi" w:eastAsiaTheme="minorEastAsia" w:cstheme="minorBidi"/>
              <w:sz w:val="24"/>
              <w14:ligatures w14:val="standardContextual"/>
            </w:rPr>
          </w:pPr>
          <w:r>
            <w:fldChar w:fldCharType="begin"/>
          </w:r>
          <w:r>
            <w:instrText xml:space="preserve"> HYPERLINK \l "_Toc225342281" </w:instrText>
          </w:r>
          <w:r>
            <w:fldChar w:fldCharType="separate"/>
          </w:r>
          <w:r>
            <w:rPr>
              <w:rStyle w:val="35"/>
              <w:b/>
              <w:color w:val="auto"/>
              <w:sz w:val="24"/>
            </w:rPr>
            <w:t>7.3</w:t>
          </w:r>
          <w:r>
            <w:rPr>
              <w:rStyle w:val="35"/>
              <w:color w:val="auto"/>
              <w:sz w:val="24"/>
            </w:rPr>
            <w:t xml:space="preserve"> </w:t>
          </w:r>
          <w:r>
            <w:rPr>
              <w:rStyle w:val="35"/>
              <w:rFonts w:hint="eastAsia"/>
              <w:color w:val="auto"/>
              <w:sz w:val="24"/>
            </w:rPr>
            <w:t xml:space="preserve"> 施工安装验收</w:t>
          </w:r>
          <w:r>
            <w:rPr>
              <w:sz w:val="24"/>
            </w:rPr>
            <w:tab/>
          </w:r>
          <w:r>
            <w:rPr>
              <w:rFonts w:hint="eastAsia"/>
              <w:sz w:val="24"/>
            </w:rPr>
            <w:t>40</w:t>
          </w:r>
          <w:r>
            <w:rPr>
              <w:rFonts w:hint="eastAsia"/>
              <w:sz w:val="24"/>
            </w:rPr>
            <w:fldChar w:fldCharType="end"/>
          </w:r>
        </w:p>
        <w:p w14:paraId="1BA5A869">
          <w:pPr>
            <w:pStyle w:val="20"/>
            <w:spacing w:line="480" w:lineRule="exact"/>
            <w:rPr>
              <w:b/>
              <w:bCs/>
              <w:sz w:val="24"/>
              <w:lang w:val="zh-CN"/>
            </w:rPr>
          </w:pPr>
          <w:r>
            <w:fldChar w:fldCharType="end"/>
          </w:r>
        </w:p>
      </w:sdtContent>
    </w:sdt>
    <w:p w14:paraId="3D3A8914">
      <w:pPr>
        <w:widowControl/>
        <w:jc w:val="left"/>
        <w:rPr>
          <w:rFonts w:cs="黑体"/>
          <w:kern w:val="0"/>
          <w:sz w:val="44"/>
          <w:szCs w:val="44"/>
          <w:lang w:val="nl-NL"/>
        </w:rPr>
      </w:pPr>
      <w:r>
        <w:rPr>
          <w:rFonts w:cs="黑体"/>
          <w:kern w:val="0"/>
          <w:sz w:val="44"/>
          <w:szCs w:val="44"/>
          <w:lang w:val="nl-NL"/>
        </w:rPr>
        <w:br w:type="page"/>
      </w:r>
    </w:p>
    <w:p w14:paraId="09A9A24E">
      <w:pPr>
        <w:autoSpaceDE w:val="0"/>
        <w:autoSpaceDN w:val="0"/>
        <w:adjustRightInd w:val="0"/>
        <w:jc w:val="center"/>
        <w:rPr>
          <w:rFonts w:cs="黑体"/>
          <w:kern w:val="0"/>
          <w:sz w:val="44"/>
          <w:szCs w:val="44"/>
          <w:lang w:val="nl-NL"/>
        </w:rPr>
      </w:pPr>
      <w:bookmarkStart w:id="210" w:name="_Toc149815255"/>
      <w:bookmarkStart w:id="211" w:name="总则1"/>
      <w:r>
        <w:rPr>
          <w:b/>
          <w:bCs/>
          <w:snapToGrid w:val="0"/>
          <w:kern w:val="0"/>
          <w:sz w:val="30"/>
          <w:szCs w:val="30"/>
        </w:rPr>
        <w:t xml:space="preserve">1 </w:t>
      </w:r>
      <w:r>
        <w:rPr>
          <w:rFonts w:hint="eastAsia" w:ascii="黑体" w:hAnsi="黑体" w:eastAsia="黑体"/>
          <w:snapToGrid w:val="0"/>
          <w:kern w:val="0"/>
          <w:sz w:val="30"/>
          <w:szCs w:val="30"/>
        </w:rPr>
        <w:t>总</w:t>
      </w:r>
      <w:r>
        <w:rPr>
          <w:rFonts w:ascii="黑体" w:hAnsi="黑体" w:eastAsia="黑体"/>
          <w:snapToGrid w:val="0"/>
          <w:kern w:val="0"/>
          <w:sz w:val="30"/>
          <w:szCs w:val="30"/>
        </w:rPr>
        <w:t xml:space="preserve">  </w:t>
      </w:r>
      <w:r>
        <w:rPr>
          <w:rFonts w:hint="eastAsia" w:ascii="黑体" w:hAnsi="黑体" w:eastAsia="黑体"/>
          <w:snapToGrid w:val="0"/>
          <w:kern w:val="0"/>
          <w:sz w:val="30"/>
          <w:szCs w:val="30"/>
        </w:rPr>
        <w:t>则</w:t>
      </w:r>
      <w:bookmarkEnd w:id="210"/>
      <w:bookmarkEnd w:id="211"/>
    </w:p>
    <w:p w14:paraId="4BC43C3D">
      <w:pPr>
        <w:spacing w:line="360" w:lineRule="auto"/>
        <w:rPr>
          <w:bCs/>
          <w:snapToGrid w:val="0"/>
          <w:kern w:val="0"/>
          <w:sz w:val="24"/>
        </w:rPr>
      </w:pPr>
      <w:r>
        <w:rPr>
          <w:b/>
          <w:snapToGrid w:val="0"/>
          <w:kern w:val="0"/>
          <w:sz w:val="24"/>
        </w:rPr>
        <w:t>1.0.</w:t>
      </w:r>
      <w:r>
        <w:rPr>
          <w:rFonts w:hint="eastAsia"/>
          <w:b/>
          <w:snapToGrid w:val="0"/>
          <w:kern w:val="0"/>
          <w:sz w:val="24"/>
        </w:rPr>
        <w:t>1</w:t>
      </w:r>
      <w:r>
        <w:rPr>
          <w:rFonts w:hint="eastAsia"/>
          <w:bCs/>
          <w:snapToGrid w:val="0"/>
          <w:kern w:val="0"/>
          <w:sz w:val="24"/>
        </w:rPr>
        <w:t xml:space="preserve">  本条阐述了编制本规程的目的，是为了适应北京市装配式混凝土结构厂房建筑的发展需要，有效地规范装配式混凝土结构厂房建筑深化设计、施工和验收工作的实施，保证装配式混凝土结构厂房建筑的可持续发展。</w:t>
      </w:r>
    </w:p>
    <w:p w14:paraId="4247C8F3">
      <w:pPr>
        <w:spacing w:line="360" w:lineRule="auto"/>
        <w:rPr>
          <w:bCs/>
          <w:snapToGrid w:val="0"/>
          <w:kern w:val="0"/>
          <w:sz w:val="24"/>
        </w:rPr>
      </w:pPr>
      <w:r>
        <w:rPr>
          <w:rFonts w:hint="eastAsia"/>
          <w:b/>
          <w:snapToGrid w:val="0"/>
          <w:kern w:val="0"/>
          <w:sz w:val="24"/>
        </w:rPr>
        <w:t>1.0.3</w:t>
      </w:r>
      <w:r>
        <w:rPr>
          <w:rFonts w:hint="eastAsia"/>
          <w:bCs/>
          <w:snapToGrid w:val="0"/>
          <w:kern w:val="0"/>
          <w:sz w:val="24"/>
        </w:rPr>
        <w:t xml:space="preserve">  装配式混凝土结构厂房建设是多专业的综合应用工程，工业建筑涉及范围、内容广泛，并且不同行业有着自身较为特殊的工艺设计需求，很多专业与国家标准和其他行业标准交叉，某些行业因工艺、生产等方面具有较为特殊的需求，相关内容未在本规程中予以规定，为避免执行中可能出现的矛盾与误解，故作本条规定。</w:t>
      </w:r>
    </w:p>
    <w:p w14:paraId="56F4F57B">
      <w:pPr>
        <w:widowControl/>
        <w:jc w:val="left"/>
      </w:pPr>
      <w:r>
        <w:br w:type="page"/>
      </w:r>
    </w:p>
    <w:p w14:paraId="0E7A5C68">
      <w:pPr>
        <w:autoSpaceDE w:val="0"/>
        <w:autoSpaceDN w:val="0"/>
        <w:adjustRightInd w:val="0"/>
        <w:jc w:val="center"/>
        <w:rPr>
          <w:b/>
          <w:bCs/>
          <w:snapToGrid w:val="0"/>
          <w:kern w:val="0"/>
          <w:sz w:val="30"/>
          <w:szCs w:val="30"/>
        </w:rPr>
      </w:pPr>
      <w:bookmarkStart w:id="212" w:name="_Toc149815256"/>
      <w:r>
        <w:rPr>
          <w:b/>
          <w:bCs/>
          <w:snapToGrid w:val="0"/>
          <w:kern w:val="0"/>
          <w:sz w:val="30"/>
          <w:szCs w:val="30"/>
        </w:rPr>
        <w:t xml:space="preserve">3 </w:t>
      </w:r>
      <w:bookmarkStart w:id="213" w:name="基本规定3"/>
      <w:r>
        <w:rPr>
          <w:rFonts w:hint="eastAsia" w:ascii="黑体" w:hAnsi="黑体" w:eastAsia="黑体"/>
          <w:snapToGrid w:val="0"/>
          <w:kern w:val="0"/>
          <w:sz w:val="30"/>
          <w:szCs w:val="30"/>
        </w:rPr>
        <w:t>基本规定</w:t>
      </w:r>
      <w:bookmarkEnd w:id="212"/>
      <w:bookmarkEnd w:id="213"/>
    </w:p>
    <w:p w14:paraId="0737CAC4">
      <w:pPr>
        <w:spacing w:line="360" w:lineRule="auto"/>
        <w:rPr>
          <w:bCs/>
          <w:snapToGrid w:val="0"/>
          <w:kern w:val="0"/>
          <w:sz w:val="24"/>
        </w:rPr>
      </w:pPr>
      <w:r>
        <w:rPr>
          <w:rFonts w:hint="eastAsia"/>
          <w:b/>
          <w:snapToGrid w:val="0"/>
          <w:kern w:val="0"/>
          <w:sz w:val="24"/>
        </w:rPr>
        <w:t xml:space="preserve">3.0.2  </w:t>
      </w:r>
      <w:r>
        <w:rPr>
          <w:rFonts w:hint="eastAsia"/>
          <w:bCs/>
          <w:snapToGrid w:val="0"/>
          <w:kern w:val="0"/>
          <w:sz w:val="24"/>
        </w:rPr>
        <w:t>专项施工方案还应根据安装、支撑措施，进行相关施工验算，主要包含吊装索具、大型机械吊重复核、支撑措施的承载力、变形及稳定性等。</w:t>
      </w:r>
    </w:p>
    <w:p w14:paraId="026A7189">
      <w:pPr>
        <w:spacing w:line="360" w:lineRule="auto"/>
        <w:ind w:firstLine="480" w:firstLineChars="200"/>
        <w:rPr>
          <w:bCs/>
          <w:snapToGrid w:val="0"/>
          <w:kern w:val="0"/>
          <w:sz w:val="24"/>
        </w:rPr>
      </w:pPr>
      <w:r>
        <w:rPr>
          <w:rFonts w:hint="eastAsia"/>
          <w:bCs/>
          <w:snapToGrid w:val="0"/>
          <w:kern w:val="0"/>
          <w:sz w:val="24"/>
        </w:rPr>
        <w:t>预应力工程施工专业性强，材料性能、工艺流程和现场操作要求严格，承担预应力施工单位应具备与工程规模和技术难度相应的预应力工程施工能力和管理能力。</w:t>
      </w:r>
    </w:p>
    <w:p w14:paraId="48924E50">
      <w:pPr>
        <w:spacing w:line="360" w:lineRule="auto"/>
        <w:ind w:firstLine="480" w:firstLineChars="200"/>
        <w:rPr>
          <w:b/>
          <w:snapToGrid w:val="0"/>
          <w:kern w:val="0"/>
          <w:sz w:val="24"/>
        </w:rPr>
      </w:pPr>
      <w:r>
        <w:rPr>
          <w:rFonts w:hint="eastAsia"/>
          <w:bCs/>
          <w:snapToGrid w:val="0"/>
          <w:kern w:val="0"/>
          <w:sz w:val="24"/>
        </w:rPr>
        <w:t>预应力工程专项施工方案内容一般包括：施工顺序和工艺流程；预应力施工工艺，包括预应力筋制作、孔道预留、预应力筋安装、预应力筋张拉、孔道灌浆和封锚等；材料采购和检验、机具配备和张拉设备标定；施工进度和劳动力安排、材料供应计划；相关分项工程的配合要求；施工质量要求和质量保证措施；施工安全要求和安全保证措施；施工现场管理机构等。</w:t>
      </w:r>
    </w:p>
    <w:p w14:paraId="2FD34016">
      <w:pPr>
        <w:spacing w:line="360" w:lineRule="auto"/>
        <w:rPr>
          <w:bCs/>
          <w:snapToGrid w:val="0"/>
          <w:kern w:val="0"/>
          <w:sz w:val="24"/>
        </w:rPr>
      </w:pPr>
      <w:r>
        <w:rPr>
          <w:rFonts w:hint="eastAsia"/>
          <w:b/>
          <w:snapToGrid w:val="0"/>
          <w:kern w:val="0"/>
          <w:sz w:val="24"/>
        </w:rPr>
        <w:t>3.0.3</w:t>
      </w:r>
      <w:r>
        <w:rPr>
          <w:rFonts w:hint="eastAsia"/>
          <w:bCs/>
          <w:snapToGrid w:val="0"/>
          <w:kern w:val="0"/>
          <w:sz w:val="24"/>
        </w:rPr>
        <w:t xml:space="preserve">  进行技术交底的目的是保证管理与施工作业人员具备装配式混凝土结构厂房施工所需的基础知识和技能。</w:t>
      </w:r>
    </w:p>
    <w:p w14:paraId="564E617C">
      <w:pPr>
        <w:spacing w:line="360" w:lineRule="auto"/>
        <w:rPr>
          <w:bCs/>
          <w:snapToGrid w:val="0"/>
          <w:kern w:val="0"/>
          <w:sz w:val="24"/>
        </w:rPr>
      </w:pPr>
      <w:r>
        <w:rPr>
          <w:b/>
          <w:snapToGrid w:val="0"/>
          <w:kern w:val="0"/>
          <w:sz w:val="24"/>
        </w:rPr>
        <w:t>3.0.4</w:t>
      </w:r>
      <w:r>
        <w:rPr>
          <w:rFonts w:hint="eastAsia"/>
          <w:bCs/>
          <w:snapToGrid w:val="0"/>
          <w:kern w:val="0"/>
          <w:sz w:val="24"/>
        </w:rPr>
        <w:t xml:space="preserve">  预制构件为工厂化生产成品，擅自切割、开洞易削弱结构承载力、耐久性和连接可靠性，并可能破坏预埋件、钢筋和防护构造，故作本条规定。</w:t>
      </w:r>
    </w:p>
    <w:p w14:paraId="17FEB58E">
      <w:pPr>
        <w:widowControl/>
        <w:jc w:val="left"/>
        <w:rPr>
          <w:bCs/>
          <w:snapToGrid w:val="0"/>
          <w:kern w:val="0"/>
          <w:sz w:val="24"/>
        </w:rPr>
      </w:pPr>
      <w:r>
        <w:rPr>
          <w:bCs/>
          <w:snapToGrid w:val="0"/>
          <w:kern w:val="0"/>
          <w:sz w:val="24"/>
        </w:rPr>
        <w:br w:type="page"/>
      </w:r>
    </w:p>
    <w:p w14:paraId="2187C475">
      <w:pPr>
        <w:spacing w:line="360" w:lineRule="auto"/>
        <w:jc w:val="center"/>
        <w:rPr>
          <w:b/>
          <w:bCs/>
          <w:snapToGrid w:val="0"/>
          <w:kern w:val="0"/>
          <w:sz w:val="30"/>
          <w:szCs w:val="30"/>
        </w:rPr>
      </w:pPr>
      <w:r>
        <w:rPr>
          <w:rFonts w:hint="eastAsia"/>
          <w:b/>
          <w:bCs/>
          <w:snapToGrid w:val="0"/>
          <w:kern w:val="0"/>
          <w:sz w:val="30"/>
          <w:szCs w:val="30"/>
        </w:rPr>
        <w:t>4</w:t>
      </w:r>
      <w:r>
        <w:rPr>
          <w:b/>
          <w:bCs/>
          <w:snapToGrid w:val="0"/>
          <w:kern w:val="0"/>
          <w:sz w:val="30"/>
          <w:szCs w:val="30"/>
        </w:rPr>
        <w:t xml:space="preserve"> </w:t>
      </w:r>
      <w:r>
        <w:rPr>
          <w:rFonts w:hint="eastAsia" w:ascii="黑体" w:hAnsi="黑体" w:eastAsia="黑体"/>
          <w:snapToGrid w:val="0"/>
          <w:kern w:val="0"/>
          <w:sz w:val="30"/>
          <w:szCs w:val="30"/>
        </w:rPr>
        <w:t>深化设计</w:t>
      </w:r>
    </w:p>
    <w:p w14:paraId="708874FF">
      <w:pPr>
        <w:spacing w:line="360" w:lineRule="auto"/>
        <w:jc w:val="center"/>
        <w:rPr>
          <w:b/>
          <w:bCs/>
          <w:snapToGrid w:val="0"/>
          <w:kern w:val="0"/>
          <w:sz w:val="28"/>
          <w:szCs w:val="36"/>
        </w:rPr>
      </w:pPr>
      <w:bookmarkStart w:id="214" w:name="_Toc149815258"/>
      <w:r>
        <w:rPr>
          <w:rFonts w:hint="eastAsia"/>
          <w:b/>
          <w:bCs/>
          <w:snapToGrid w:val="0"/>
          <w:kern w:val="0"/>
          <w:sz w:val="28"/>
          <w:szCs w:val="36"/>
        </w:rPr>
        <w:t xml:space="preserve">4.1 </w:t>
      </w:r>
      <w:bookmarkStart w:id="215" w:name="一般规定41"/>
      <w:r>
        <w:rPr>
          <w:rFonts w:hint="eastAsia" w:ascii="黑体" w:hAnsi="黑体" w:eastAsia="黑体"/>
          <w:snapToGrid w:val="0"/>
          <w:kern w:val="0"/>
          <w:sz w:val="28"/>
          <w:szCs w:val="36"/>
        </w:rPr>
        <w:t>一般规定</w:t>
      </w:r>
      <w:bookmarkEnd w:id="214"/>
      <w:bookmarkEnd w:id="215"/>
    </w:p>
    <w:p w14:paraId="3DFD5931">
      <w:pPr>
        <w:spacing w:line="360" w:lineRule="auto"/>
        <w:rPr>
          <w:bCs/>
          <w:snapToGrid w:val="0"/>
          <w:kern w:val="0"/>
          <w:sz w:val="24"/>
        </w:rPr>
      </w:pPr>
      <w:r>
        <w:rPr>
          <w:rFonts w:hint="eastAsia"/>
          <w:b/>
          <w:snapToGrid w:val="0"/>
          <w:kern w:val="0"/>
          <w:sz w:val="24"/>
        </w:rPr>
        <w:t>4.1.2</w:t>
      </w:r>
      <w:r>
        <w:rPr>
          <w:rFonts w:hint="eastAsia"/>
          <w:bCs/>
          <w:snapToGrid w:val="0"/>
          <w:kern w:val="0"/>
          <w:sz w:val="24"/>
        </w:rPr>
        <w:t xml:space="preserve">  </w:t>
      </w:r>
      <w:r>
        <w:rPr>
          <w:bCs/>
          <w:snapToGrid w:val="0"/>
          <w:kern w:val="0"/>
          <w:sz w:val="24"/>
        </w:rPr>
        <w:t>预制构件的深化设计是对原设计图纸的细化与拆解过程。本条规定旨在明确该过程除了落实原设计确定的技术指标、结构安全及建筑性能外，还需统筹</w:t>
      </w:r>
      <w:r>
        <w:rPr>
          <w:rFonts w:hint="eastAsia"/>
          <w:bCs/>
          <w:snapToGrid w:val="0"/>
          <w:kern w:val="0"/>
          <w:sz w:val="24"/>
        </w:rPr>
        <w:t>考虑</w:t>
      </w:r>
      <w:r>
        <w:rPr>
          <w:bCs/>
          <w:snapToGrid w:val="0"/>
          <w:kern w:val="0"/>
          <w:sz w:val="24"/>
        </w:rPr>
        <w:t>构件从工厂预制到现场安装的全周期</w:t>
      </w:r>
      <w:r>
        <w:rPr>
          <w:rFonts w:hint="eastAsia"/>
          <w:bCs/>
          <w:snapToGrid w:val="0"/>
          <w:kern w:val="0"/>
          <w:sz w:val="24"/>
        </w:rPr>
        <w:t>的需求</w:t>
      </w:r>
      <w:r>
        <w:rPr>
          <w:bCs/>
          <w:snapToGrid w:val="0"/>
          <w:kern w:val="0"/>
          <w:sz w:val="24"/>
        </w:rPr>
        <w:t>。具体的统筹内容包括：模具制作与脱模时的受力工况、车辆装载尺寸限界与运输固定措施、</w:t>
      </w:r>
      <w:r>
        <w:rPr>
          <w:rFonts w:hint="eastAsia"/>
          <w:bCs/>
          <w:snapToGrid w:val="0"/>
          <w:kern w:val="0"/>
          <w:sz w:val="24"/>
        </w:rPr>
        <w:t>堆放场地</w:t>
      </w:r>
      <w:r>
        <w:rPr>
          <w:bCs/>
          <w:snapToGrid w:val="0"/>
          <w:kern w:val="0"/>
          <w:sz w:val="24"/>
        </w:rPr>
        <w:t>的设置，以及吊装时起重设备的吊距、吊重与构件重心的匹配关系</w:t>
      </w:r>
      <w:r>
        <w:rPr>
          <w:rFonts w:hint="eastAsia"/>
          <w:bCs/>
          <w:snapToGrid w:val="0"/>
          <w:kern w:val="0"/>
          <w:sz w:val="24"/>
        </w:rPr>
        <w:t>等</w:t>
      </w:r>
      <w:r>
        <w:rPr>
          <w:bCs/>
          <w:snapToGrid w:val="0"/>
          <w:kern w:val="0"/>
          <w:sz w:val="24"/>
        </w:rPr>
        <w:t>。</w:t>
      </w:r>
    </w:p>
    <w:p w14:paraId="3B537EB3">
      <w:pPr>
        <w:spacing w:line="360" w:lineRule="auto"/>
        <w:rPr>
          <w:bCs/>
          <w:snapToGrid w:val="0"/>
          <w:kern w:val="0"/>
          <w:sz w:val="24"/>
        </w:rPr>
      </w:pPr>
      <w:r>
        <w:rPr>
          <w:rFonts w:hint="eastAsia"/>
          <w:b/>
          <w:snapToGrid w:val="0"/>
          <w:kern w:val="0"/>
          <w:sz w:val="24"/>
        </w:rPr>
        <w:t xml:space="preserve">4.1.5 </w:t>
      </w:r>
      <w:r>
        <w:rPr>
          <w:rFonts w:hint="eastAsia"/>
          <w:bCs/>
          <w:snapToGrid w:val="0"/>
          <w:kern w:val="0"/>
          <w:sz w:val="24"/>
        </w:rPr>
        <w:t xml:space="preserve"> 免支撑指通过预制构件专项设计，使楼板或梁等水平预制构件在施工过程中不设临时支撑体系，而是通过结构自身刚度、预制构件承载能力或新型技术手段完成施工的方式。对于施工中局部跨度超过设计免支撑跨度，通过在预制构件端部设置支撑减少免撑跨度并符合设计要求的情况，也属于免支撑。</w:t>
      </w:r>
    </w:p>
    <w:p w14:paraId="0D3060F6">
      <w:pPr>
        <w:spacing w:line="360" w:lineRule="auto"/>
        <w:ind w:firstLine="480" w:firstLineChars="200"/>
        <w:rPr>
          <w:bCs/>
          <w:snapToGrid w:val="0"/>
          <w:kern w:val="0"/>
          <w:sz w:val="24"/>
        </w:rPr>
      </w:pPr>
      <w:r>
        <w:rPr>
          <w:rFonts w:hint="eastAsia"/>
          <w:bCs/>
          <w:snapToGrid w:val="0"/>
          <w:kern w:val="0"/>
          <w:sz w:val="24"/>
        </w:rPr>
        <w:t>工业厂房建筑有着标准化程度高、层高大、体量大等特征，免支撑施工更有利于高效、节能、环保的需求，以实现高效建造与性能保障的平衡，推动工业化建造技术的进步与应用。</w:t>
      </w:r>
    </w:p>
    <w:p w14:paraId="14047F3B">
      <w:pPr>
        <w:spacing w:line="360" w:lineRule="auto"/>
        <w:jc w:val="center"/>
        <w:rPr>
          <w:b/>
          <w:bCs/>
          <w:snapToGrid w:val="0"/>
          <w:kern w:val="0"/>
          <w:sz w:val="28"/>
          <w:szCs w:val="36"/>
        </w:rPr>
      </w:pPr>
      <w:r>
        <w:rPr>
          <w:rFonts w:hint="eastAsia"/>
          <w:b/>
          <w:bCs/>
          <w:snapToGrid w:val="0"/>
          <w:kern w:val="0"/>
          <w:sz w:val="28"/>
          <w:szCs w:val="36"/>
        </w:rPr>
        <w:t>4.2</w:t>
      </w:r>
      <w:r>
        <w:rPr>
          <w:rFonts w:ascii="黑体" w:hAnsi="黑体" w:eastAsia="黑体"/>
          <w:snapToGrid w:val="0"/>
          <w:kern w:val="0"/>
          <w:sz w:val="28"/>
          <w:szCs w:val="36"/>
        </w:rPr>
        <w:t xml:space="preserve"> </w:t>
      </w:r>
      <w:r>
        <w:rPr>
          <w:rFonts w:hint="eastAsia" w:ascii="黑体" w:hAnsi="黑体" w:eastAsia="黑体"/>
          <w:snapToGrid w:val="0"/>
          <w:kern w:val="0"/>
          <w:sz w:val="28"/>
          <w:szCs w:val="36"/>
        </w:rPr>
        <w:t>构件设计</w:t>
      </w:r>
    </w:p>
    <w:p w14:paraId="0B91C750">
      <w:pPr>
        <w:spacing w:line="360" w:lineRule="auto"/>
        <w:rPr>
          <w:bCs/>
          <w:snapToGrid w:val="0"/>
          <w:kern w:val="0"/>
          <w:sz w:val="24"/>
        </w:rPr>
      </w:pPr>
      <w:r>
        <w:rPr>
          <w:rFonts w:hint="eastAsia"/>
          <w:b/>
          <w:snapToGrid w:val="0"/>
          <w:kern w:val="0"/>
          <w:sz w:val="24"/>
        </w:rPr>
        <w:t>4.2.3</w:t>
      </w:r>
      <w:r>
        <w:rPr>
          <w:rFonts w:hint="eastAsia"/>
          <w:bCs/>
          <w:snapToGrid w:val="0"/>
          <w:kern w:val="0"/>
          <w:sz w:val="24"/>
        </w:rPr>
        <w:t xml:space="preserve">  预制构件深化设计验算的工况主要包括：脱模、翻转、堆放、运输、吊装及预应力构件放张等。</w:t>
      </w:r>
    </w:p>
    <w:p w14:paraId="72980979">
      <w:pPr>
        <w:spacing w:line="360" w:lineRule="auto"/>
        <w:rPr>
          <w:b/>
          <w:bCs/>
          <w:snapToGrid w:val="0"/>
          <w:kern w:val="0"/>
          <w:sz w:val="28"/>
          <w:szCs w:val="36"/>
        </w:rPr>
      </w:pPr>
      <w:r>
        <w:rPr>
          <w:rFonts w:hint="eastAsia"/>
          <w:b/>
          <w:snapToGrid w:val="0"/>
          <w:kern w:val="0"/>
          <w:sz w:val="24"/>
        </w:rPr>
        <w:t>4.2.5</w:t>
      </w:r>
      <w:r>
        <w:rPr>
          <w:rFonts w:hint="eastAsia"/>
          <w:bCs/>
          <w:snapToGrid w:val="0"/>
          <w:kern w:val="0"/>
          <w:sz w:val="24"/>
        </w:rPr>
        <w:t xml:space="preserve">  预制柱柱顶设置牛腿是为了满足预制梁在无临时支撑条件下的支承要求。预制梁侧面设置挑耳是为了满足预制板安装所需的支承长度，当采用挑耳时，应进行预制梁单侧受力防倾覆设计。预制梁也可采用加大保护层厚度的方式形成搭置空间。</w:t>
      </w:r>
    </w:p>
    <w:p w14:paraId="4DB056C0">
      <w:pPr>
        <w:spacing w:line="360" w:lineRule="auto"/>
        <w:rPr>
          <w:bCs/>
          <w:snapToGrid w:val="0"/>
          <w:kern w:val="0"/>
          <w:sz w:val="24"/>
        </w:rPr>
      </w:pPr>
      <w:r>
        <w:rPr>
          <w:rFonts w:hint="eastAsia"/>
          <w:b/>
          <w:snapToGrid w:val="0"/>
          <w:kern w:val="0"/>
          <w:sz w:val="24"/>
        </w:rPr>
        <w:t>4.2.8</w:t>
      </w:r>
      <w:r>
        <w:rPr>
          <w:rFonts w:hint="eastAsia"/>
          <w:bCs/>
          <w:snapToGrid w:val="0"/>
          <w:kern w:val="0"/>
          <w:sz w:val="24"/>
        </w:rPr>
        <w:t xml:space="preserve">  横向密拼缝施工效率更高。预制预应力技术有利于满足底板施工阶段性能目标，并具有更好的经济性。</w:t>
      </w:r>
    </w:p>
    <w:p w14:paraId="00FCDDE5">
      <w:pPr>
        <w:spacing w:line="360" w:lineRule="auto"/>
        <w:rPr>
          <w:bCs/>
          <w:snapToGrid w:val="0"/>
          <w:kern w:val="0"/>
          <w:sz w:val="24"/>
        </w:rPr>
      </w:pPr>
      <w:r>
        <w:rPr>
          <w:rFonts w:hint="eastAsia"/>
          <w:b/>
          <w:snapToGrid w:val="0"/>
          <w:kern w:val="0"/>
          <w:sz w:val="24"/>
        </w:rPr>
        <w:t>4.2.9</w:t>
      </w:r>
      <w:r>
        <w:rPr>
          <w:rFonts w:hint="eastAsia"/>
          <w:bCs/>
          <w:snapToGrid w:val="0"/>
          <w:kern w:val="0"/>
          <w:sz w:val="24"/>
        </w:rPr>
        <w:t xml:space="preserve">  叠合构件预制底板、底梁受力分为施工阶段、使用阶段两个阶段，设计应考虑两阶段荷载与构件刚度变化对混凝土、钢筋应力的影响。对于使用阶段挠度，应充分考虑施工阶段简支、使用阶段固端情况下对于挠度计算的影响。</w:t>
      </w:r>
    </w:p>
    <w:p w14:paraId="7FD93B02">
      <w:pPr>
        <w:spacing w:line="360" w:lineRule="auto"/>
        <w:ind w:firstLine="480" w:firstLineChars="200"/>
        <w:rPr>
          <w:bCs/>
          <w:snapToGrid w:val="0"/>
          <w:kern w:val="0"/>
          <w:sz w:val="24"/>
        </w:rPr>
      </w:pPr>
      <w:r>
        <w:rPr>
          <w:rFonts w:hint="eastAsia"/>
          <w:bCs/>
          <w:snapToGrid w:val="0"/>
          <w:kern w:val="0"/>
          <w:sz w:val="24"/>
        </w:rPr>
        <w:t>根据编制组单位完成的实验研究与工程经验，对允许开裂的叠合底板钢筋应力提出了具体要求。实际应用中，脱模、吊装、运输、施工各阶段混凝土强度很可能达不到设计强度，此时混凝土抗拉强度标准值、抗压强度标准值、弹性模量应与各环节的混凝土立方体抗压强度相匹配，可采用按设计强度进行折减。</w:t>
      </w:r>
    </w:p>
    <w:p w14:paraId="4BB9AAFF">
      <w:pPr>
        <w:spacing w:line="360" w:lineRule="auto"/>
        <w:jc w:val="center"/>
        <w:rPr>
          <w:b/>
          <w:bCs/>
          <w:snapToGrid w:val="0"/>
          <w:kern w:val="0"/>
          <w:sz w:val="28"/>
          <w:szCs w:val="36"/>
        </w:rPr>
      </w:pPr>
      <w:r>
        <w:rPr>
          <w:rFonts w:hint="eastAsia"/>
          <w:b/>
          <w:bCs/>
          <w:snapToGrid w:val="0"/>
          <w:kern w:val="0"/>
          <w:sz w:val="28"/>
          <w:szCs w:val="36"/>
        </w:rPr>
        <w:t>4.3</w:t>
      </w:r>
      <w:r>
        <w:rPr>
          <w:rFonts w:ascii="黑体" w:hAnsi="黑体" w:eastAsia="黑体"/>
          <w:snapToGrid w:val="0"/>
          <w:kern w:val="0"/>
          <w:sz w:val="28"/>
          <w:szCs w:val="36"/>
        </w:rPr>
        <w:t xml:space="preserve"> </w:t>
      </w:r>
      <w:r>
        <w:rPr>
          <w:rFonts w:hint="eastAsia" w:ascii="黑体" w:hAnsi="黑体" w:eastAsia="黑体"/>
          <w:snapToGrid w:val="0"/>
          <w:kern w:val="0"/>
          <w:sz w:val="28"/>
          <w:szCs w:val="36"/>
        </w:rPr>
        <w:t>连接设计</w:t>
      </w:r>
    </w:p>
    <w:p w14:paraId="2CE1D3FA">
      <w:pPr>
        <w:spacing w:line="360" w:lineRule="auto"/>
        <w:rPr>
          <w:bCs/>
          <w:snapToGrid w:val="0"/>
          <w:kern w:val="0"/>
          <w:sz w:val="24"/>
        </w:rPr>
      </w:pPr>
      <w:r>
        <w:rPr>
          <w:rFonts w:hint="eastAsia"/>
          <w:b/>
          <w:snapToGrid w:val="0"/>
          <w:kern w:val="0"/>
          <w:sz w:val="24"/>
        </w:rPr>
        <w:t>4.3.2</w:t>
      </w:r>
      <w:r>
        <w:rPr>
          <w:rFonts w:hint="eastAsia"/>
          <w:bCs/>
          <w:snapToGrid w:val="0"/>
          <w:kern w:val="0"/>
          <w:sz w:val="24"/>
        </w:rPr>
        <w:t xml:space="preserve">  预制构件内部及外部存在较多钢筋交叉需要避让的情况，特别是伸出构件外部的钢筋，上述钢筋在现浇节点区会出现与其他构件外伸钢筋或现浇钢筋交叉情况，热轧带肋钢筋上横肋也会导致实际安装过程中钢筋碰撞问题，因此预制构件深化设计时，需要考虑钢筋避让问题。</w:t>
      </w:r>
    </w:p>
    <w:p w14:paraId="6E8DE167">
      <w:pPr>
        <w:spacing w:line="360" w:lineRule="auto"/>
        <w:rPr>
          <w:bCs/>
          <w:snapToGrid w:val="0"/>
          <w:kern w:val="0"/>
          <w:sz w:val="24"/>
        </w:rPr>
      </w:pPr>
      <w:r>
        <w:rPr>
          <w:rFonts w:hint="eastAsia"/>
          <w:b/>
          <w:snapToGrid w:val="0"/>
          <w:kern w:val="0"/>
          <w:sz w:val="24"/>
        </w:rPr>
        <w:t>4.3.4</w:t>
      </w:r>
      <w:r>
        <w:rPr>
          <w:rFonts w:hint="eastAsia"/>
          <w:bCs/>
          <w:snapToGrid w:val="0"/>
          <w:kern w:val="0"/>
          <w:sz w:val="24"/>
        </w:rPr>
        <w:t xml:space="preserve">  注浆管在直径不小于</w:t>
      </w:r>
      <w:r>
        <w:rPr>
          <w:bCs/>
          <w:snapToGrid w:val="0"/>
          <w:kern w:val="0"/>
          <w:sz w:val="24"/>
        </w:rPr>
        <w:t>30mm</w:t>
      </w:r>
      <w:r>
        <w:rPr>
          <w:rFonts w:hint="eastAsia"/>
          <w:bCs/>
          <w:snapToGrid w:val="0"/>
          <w:kern w:val="0"/>
          <w:sz w:val="24"/>
        </w:rPr>
        <w:t>的灌浆管，管口一端置于竖向钢筋套筒群的底部连通腔内，管口另一端开口于预制构件表面且高于套筒出浆孔约</w:t>
      </w:r>
      <w:r>
        <w:rPr>
          <w:bCs/>
          <w:snapToGrid w:val="0"/>
          <w:kern w:val="0"/>
          <w:sz w:val="24"/>
        </w:rPr>
        <w:t>300mm</w:t>
      </w:r>
      <w:r>
        <w:rPr>
          <w:rFonts w:hint="eastAsia"/>
          <w:bCs/>
          <w:snapToGrid w:val="0"/>
          <w:kern w:val="0"/>
          <w:sz w:val="24"/>
        </w:rPr>
        <w:t>处</w:t>
      </w:r>
      <w:r>
        <w:rPr>
          <w:bCs/>
          <w:snapToGrid w:val="0"/>
          <w:kern w:val="0"/>
          <w:sz w:val="24"/>
        </w:rPr>
        <w:t>;</w:t>
      </w:r>
      <w:r>
        <w:rPr>
          <w:rFonts w:hint="eastAsia"/>
          <w:bCs/>
          <w:snapToGrid w:val="0"/>
          <w:kern w:val="0"/>
          <w:sz w:val="24"/>
        </w:rPr>
        <w:t>柱内排气管与灌浆管相邻设置，但排气管在预制柱表面的出口应高于灌浆管管口约</w:t>
      </w:r>
      <w:r>
        <w:rPr>
          <w:bCs/>
          <w:snapToGrid w:val="0"/>
          <w:kern w:val="0"/>
          <w:sz w:val="24"/>
        </w:rPr>
        <w:t>100mm</w:t>
      </w:r>
      <w:r>
        <w:rPr>
          <w:rFonts w:hint="eastAsia"/>
          <w:bCs/>
          <w:snapToGrid w:val="0"/>
          <w:kern w:val="0"/>
          <w:sz w:val="24"/>
        </w:rPr>
        <w:t>，灌浆作业时可通过灌浆管进行集中注浆，待套筒出浆孔均出浆且排气孔出浆后即可进行封堵，该工艺可提升灌浆作业效率，保证套筒灌浆饱满度。</w:t>
      </w:r>
    </w:p>
    <w:p w14:paraId="540D267A">
      <w:pPr>
        <w:widowControl/>
        <w:jc w:val="left"/>
        <w:rPr>
          <w:bCs/>
          <w:snapToGrid w:val="0"/>
          <w:kern w:val="0"/>
          <w:sz w:val="24"/>
        </w:rPr>
      </w:pPr>
      <w:r>
        <w:rPr>
          <w:bCs/>
          <w:snapToGrid w:val="0"/>
          <w:kern w:val="0"/>
          <w:sz w:val="24"/>
        </w:rPr>
        <w:br w:type="page"/>
      </w:r>
    </w:p>
    <w:p w14:paraId="1789EC1E">
      <w:pPr>
        <w:spacing w:line="360" w:lineRule="auto"/>
        <w:jc w:val="center"/>
        <w:rPr>
          <w:b/>
          <w:bCs/>
          <w:snapToGrid w:val="0"/>
          <w:kern w:val="0"/>
          <w:sz w:val="30"/>
          <w:szCs w:val="30"/>
        </w:rPr>
      </w:pPr>
      <w:r>
        <w:rPr>
          <w:rFonts w:hint="eastAsia"/>
          <w:b/>
          <w:bCs/>
          <w:snapToGrid w:val="0"/>
          <w:kern w:val="0"/>
          <w:sz w:val="30"/>
          <w:szCs w:val="30"/>
        </w:rPr>
        <w:t>5</w:t>
      </w:r>
      <w:r>
        <w:rPr>
          <w:b/>
          <w:bCs/>
          <w:snapToGrid w:val="0"/>
          <w:kern w:val="0"/>
          <w:sz w:val="30"/>
          <w:szCs w:val="30"/>
        </w:rPr>
        <w:t xml:space="preserve"> </w:t>
      </w:r>
      <w:r>
        <w:rPr>
          <w:rFonts w:hint="eastAsia" w:ascii="黑体" w:hAnsi="黑体" w:eastAsia="黑体"/>
          <w:snapToGrid w:val="0"/>
          <w:kern w:val="0"/>
          <w:sz w:val="30"/>
          <w:szCs w:val="30"/>
        </w:rPr>
        <w:t>生产与运输</w:t>
      </w:r>
    </w:p>
    <w:p w14:paraId="2133ED8D">
      <w:pPr>
        <w:spacing w:line="360" w:lineRule="auto"/>
        <w:jc w:val="center"/>
        <w:rPr>
          <w:b/>
          <w:bCs/>
          <w:snapToGrid w:val="0"/>
          <w:kern w:val="0"/>
          <w:sz w:val="28"/>
          <w:szCs w:val="36"/>
        </w:rPr>
      </w:pPr>
      <w:r>
        <w:rPr>
          <w:rFonts w:hint="eastAsia"/>
          <w:b/>
          <w:bCs/>
          <w:snapToGrid w:val="0"/>
          <w:kern w:val="0"/>
          <w:sz w:val="28"/>
          <w:szCs w:val="36"/>
        </w:rPr>
        <w:t>5.2</w:t>
      </w:r>
      <w:r>
        <w:rPr>
          <w:rFonts w:ascii="黑体" w:hAnsi="黑体" w:eastAsia="黑体"/>
          <w:snapToGrid w:val="0"/>
          <w:kern w:val="0"/>
          <w:sz w:val="28"/>
          <w:szCs w:val="36"/>
        </w:rPr>
        <w:t xml:space="preserve"> </w:t>
      </w:r>
      <w:r>
        <w:rPr>
          <w:rFonts w:hint="eastAsia" w:ascii="黑体" w:hAnsi="黑体" w:eastAsia="黑体"/>
          <w:snapToGrid w:val="0"/>
          <w:kern w:val="0"/>
          <w:sz w:val="28"/>
          <w:szCs w:val="36"/>
        </w:rPr>
        <w:t>构件生产</w:t>
      </w:r>
    </w:p>
    <w:p w14:paraId="602D0BF8">
      <w:pPr>
        <w:spacing w:line="360" w:lineRule="auto"/>
        <w:rPr>
          <w:bCs/>
          <w:snapToGrid w:val="0"/>
          <w:kern w:val="0"/>
          <w:sz w:val="24"/>
        </w:rPr>
      </w:pPr>
      <w:r>
        <w:rPr>
          <w:rFonts w:hint="eastAsia"/>
          <w:b/>
          <w:snapToGrid w:val="0"/>
          <w:kern w:val="0"/>
          <w:sz w:val="24"/>
        </w:rPr>
        <w:t>5.2.1</w:t>
      </w:r>
      <w:r>
        <w:rPr>
          <w:rFonts w:hint="eastAsia"/>
          <w:bCs/>
          <w:snapToGrid w:val="0"/>
          <w:kern w:val="0"/>
          <w:sz w:val="24"/>
        </w:rPr>
        <w:t xml:space="preserve">  采取定位和加固措施的目的是为了防止钢筋骨架在制作、吊运和浇筑过程中发生变形。</w:t>
      </w:r>
    </w:p>
    <w:p w14:paraId="3B310974">
      <w:pPr>
        <w:spacing w:line="360" w:lineRule="auto"/>
        <w:rPr>
          <w:bCs/>
          <w:snapToGrid w:val="0"/>
          <w:kern w:val="0"/>
          <w:sz w:val="24"/>
        </w:rPr>
      </w:pPr>
      <w:r>
        <w:rPr>
          <w:rFonts w:hint="eastAsia"/>
          <w:b/>
          <w:snapToGrid w:val="0"/>
          <w:kern w:val="0"/>
          <w:sz w:val="24"/>
        </w:rPr>
        <w:t>5.2.5</w:t>
      </w:r>
      <w:r>
        <w:rPr>
          <w:rFonts w:hint="eastAsia"/>
          <w:bCs/>
          <w:snapToGrid w:val="0"/>
          <w:kern w:val="0"/>
          <w:sz w:val="24"/>
        </w:rPr>
        <w:t xml:space="preserve">  蒸汽养护时，养护棚顶部冷凝形成的水滴可能落到预制构件表面。当混凝土尚未终凝时，滴水易破坏表层浆体，形成水泥浆膜，浆膜干燥后易产生起皮、脱皮现象。为保护构件表面质量，蒸汽养护时可在预制构件表面覆盖塑料薄膜。</w:t>
      </w:r>
    </w:p>
    <w:p w14:paraId="6344713E">
      <w:pPr>
        <w:widowControl/>
        <w:jc w:val="left"/>
        <w:rPr>
          <w:b/>
          <w:bCs/>
          <w:snapToGrid w:val="0"/>
          <w:kern w:val="0"/>
          <w:sz w:val="28"/>
          <w:szCs w:val="36"/>
        </w:rPr>
      </w:pPr>
      <w:r>
        <w:rPr>
          <w:b/>
          <w:bCs/>
          <w:snapToGrid w:val="0"/>
          <w:kern w:val="0"/>
          <w:sz w:val="28"/>
          <w:szCs w:val="36"/>
        </w:rPr>
        <w:br w:type="page"/>
      </w:r>
    </w:p>
    <w:p w14:paraId="53B94A03">
      <w:pPr>
        <w:spacing w:line="360" w:lineRule="auto"/>
        <w:jc w:val="center"/>
        <w:rPr>
          <w:b/>
          <w:bCs/>
          <w:snapToGrid w:val="0"/>
          <w:kern w:val="0"/>
          <w:sz w:val="30"/>
          <w:szCs w:val="30"/>
        </w:rPr>
      </w:pPr>
      <w:r>
        <w:rPr>
          <w:rFonts w:hint="eastAsia"/>
          <w:b/>
          <w:bCs/>
          <w:snapToGrid w:val="0"/>
          <w:kern w:val="0"/>
          <w:sz w:val="30"/>
          <w:szCs w:val="30"/>
        </w:rPr>
        <w:t>6</w:t>
      </w:r>
      <w:r>
        <w:rPr>
          <w:b/>
          <w:bCs/>
          <w:snapToGrid w:val="0"/>
          <w:kern w:val="0"/>
          <w:sz w:val="30"/>
          <w:szCs w:val="30"/>
        </w:rPr>
        <w:t xml:space="preserve"> </w:t>
      </w:r>
      <w:r>
        <w:rPr>
          <w:rFonts w:hint="eastAsia" w:ascii="黑体" w:hAnsi="黑体" w:eastAsia="黑体"/>
          <w:snapToGrid w:val="0"/>
          <w:kern w:val="0"/>
          <w:sz w:val="30"/>
          <w:szCs w:val="30"/>
        </w:rPr>
        <w:t>施工</w:t>
      </w:r>
    </w:p>
    <w:p w14:paraId="065943EA">
      <w:pPr>
        <w:spacing w:line="360" w:lineRule="auto"/>
        <w:jc w:val="center"/>
        <w:rPr>
          <w:b/>
          <w:bCs/>
          <w:snapToGrid w:val="0"/>
          <w:kern w:val="0"/>
          <w:sz w:val="28"/>
          <w:szCs w:val="36"/>
        </w:rPr>
      </w:pPr>
      <w:r>
        <w:rPr>
          <w:rFonts w:hint="eastAsia"/>
          <w:b/>
          <w:bCs/>
          <w:snapToGrid w:val="0"/>
          <w:kern w:val="0"/>
          <w:sz w:val="28"/>
          <w:szCs w:val="36"/>
        </w:rPr>
        <w:t>6.1</w:t>
      </w:r>
      <w:r>
        <w:rPr>
          <w:rFonts w:ascii="黑体" w:hAnsi="黑体" w:eastAsia="黑体"/>
          <w:snapToGrid w:val="0"/>
          <w:kern w:val="0"/>
          <w:sz w:val="28"/>
          <w:szCs w:val="36"/>
        </w:rPr>
        <w:t xml:space="preserve"> </w:t>
      </w:r>
      <w:r>
        <w:rPr>
          <w:rFonts w:hint="eastAsia" w:ascii="黑体" w:hAnsi="黑体" w:eastAsia="黑体"/>
          <w:snapToGrid w:val="0"/>
          <w:kern w:val="0"/>
          <w:sz w:val="28"/>
          <w:szCs w:val="36"/>
        </w:rPr>
        <w:t>一般规定</w:t>
      </w:r>
    </w:p>
    <w:p w14:paraId="298F0DEC">
      <w:pPr>
        <w:spacing w:line="360" w:lineRule="auto"/>
        <w:rPr>
          <w:bCs/>
          <w:snapToGrid w:val="0"/>
          <w:kern w:val="0"/>
          <w:sz w:val="24"/>
        </w:rPr>
      </w:pPr>
      <w:r>
        <w:rPr>
          <w:rFonts w:hint="eastAsia"/>
          <w:b/>
          <w:snapToGrid w:val="0"/>
          <w:kern w:val="0"/>
          <w:sz w:val="24"/>
        </w:rPr>
        <w:t>6.1.1</w:t>
      </w:r>
      <w:r>
        <w:rPr>
          <w:rFonts w:hint="eastAsia"/>
          <w:bCs/>
          <w:snapToGrid w:val="0"/>
          <w:kern w:val="0"/>
          <w:sz w:val="24"/>
        </w:rPr>
        <w:t xml:space="preserve">  标准化的产品是指装配式构件吊装、安装过程中所用的工具化、标准化吊具、支撑架体等产品，包括标准化堆放架、模数化通用吊梁、框式吊梁、起吊装置、吊钩吊具、斜支撑、支撑体系等，外围护系统常用的工具式吊篮、悬臂车、升降平台车等产品。</w:t>
      </w:r>
    </w:p>
    <w:p w14:paraId="7015ED20">
      <w:pPr>
        <w:spacing w:line="360" w:lineRule="auto"/>
        <w:jc w:val="center"/>
        <w:rPr>
          <w:b/>
          <w:bCs/>
          <w:snapToGrid w:val="0"/>
          <w:kern w:val="0"/>
          <w:sz w:val="28"/>
          <w:szCs w:val="36"/>
        </w:rPr>
      </w:pPr>
      <w:r>
        <w:rPr>
          <w:rFonts w:hint="eastAsia"/>
          <w:b/>
          <w:bCs/>
          <w:snapToGrid w:val="0"/>
          <w:kern w:val="0"/>
          <w:sz w:val="28"/>
          <w:szCs w:val="36"/>
        </w:rPr>
        <w:t>6.2</w:t>
      </w:r>
      <w:r>
        <w:rPr>
          <w:rFonts w:ascii="黑体" w:hAnsi="黑体" w:eastAsia="黑体"/>
          <w:snapToGrid w:val="0"/>
          <w:kern w:val="0"/>
          <w:sz w:val="28"/>
          <w:szCs w:val="36"/>
        </w:rPr>
        <w:t xml:space="preserve"> </w:t>
      </w:r>
      <w:r>
        <w:rPr>
          <w:rFonts w:hint="eastAsia" w:ascii="黑体" w:hAnsi="黑体" w:eastAsia="黑体"/>
          <w:snapToGrid w:val="0"/>
          <w:kern w:val="0"/>
          <w:sz w:val="28"/>
          <w:szCs w:val="36"/>
        </w:rPr>
        <w:t>构件安装</w:t>
      </w:r>
    </w:p>
    <w:p w14:paraId="1436CF07">
      <w:pPr>
        <w:spacing w:line="360" w:lineRule="auto"/>
        <w:rPr>
          <w:bCs/>
          <w:snapToGrid w:val="0"/>
          <w:kern w:val="0"/>
          <w:sz w:val="24"/>
        </w:rPr>
      </w:pPr>
      <w:r>
        <w:rPr>
          <w:rFonts w:hint="eastAsia"/>
          <w:b/>
          <w:snapToGrid w:val="0"/>
          <w:kern w:val="0"/>
          <w:sz w:val="24"/>
        </w:rPr>
        <w:t>6.2.2</w:t>
      </w:r>
      <w:r>
        <w:rPr>
          <w:rFonts w:hint="eastAsia"/>
          <w:bCs/>
          <w:snapToGrid w:val="0"/>
          <w:kern w:val="0"/>
          <w:sz w:val="24"/>
        </w:rPr>
        <w:t xml:space="preserve">  超重预制构件指起重量</w:t>
      </w:r>
      <w:r>
        <w:rPr>
          <w:bCs/>
          <w:snapToGrid w:val="0"/>
          <w:kern w:val="0"/>
          <w:sz w:val="24"/>
        </w:rPr>
        <w:t>300kN</w:t>
      </w:r>
      <w:r>
        <w:rPr>
          <w:rFonts w:hint="eastAsia"/>
          <w:bCs/>
          <w:snapToGrid w:val="0"/>
          <w:kern w:val="0"/>
          <w:sz w:val="24"/>
        </w:rPr>
        <w:t>及以上的预制构件。</w:t>
      </w:r>
    </w:p>
    <w:p w14:paraId="15B0F053">
      <w:pPr>
        <w:spacing w:line="360" w:lineRule="auto"/>
        <w:rPr>
          <w:bCs/>
          <w:snapToGrid w:val="0"/>
          <w:kern w:val="0"/>
          <w:sz w:val="24"/>
        </w:rPr>
      </w:pPr>
      <w:r>
        <w:rPr>
          <w:rFonts w:hint="eastAsia"/>
          <w:b/>
          <w:snapToGrid w:val="0"/>
          <w:kern w:val="0"/>
          <w:sz w:val="24"/>
        </w:rPr>
        <w:t>6.2.9</w:t>
      </w:r>
      <w:r>
        <w:rPr>
          <w:rFonts w:hint="eastAsia"/>
          <w:bCs/>
          <w:snapToGrid w:val="0"/>
          <w:kern w:val="0"/>
          <w:sz w:val="24"/>
        </w:rPr>
        <w:t xml:space="preserve">  免支撑构件在施工过程中，对已安装完成的构件上材料的堆放加强管控，如施工过程中出现集中荷载时，经设计单位复核后，在该部位增加临时支撑措施。</w:t>
      </w:r>
    </w:p>
    <w:p w14:paraId="40005D25">
      <w:pPr>
        <w:spacing w:line="360" w:lineRule="auto"/>
        <w:jc w:val="center"/>
        <w:rPr>
          <w:b/>
          <w:bCs/>
          <w:snapToGrid w:val="0"/>
          <w:kern w:val="0"/>
          <w:sz w:val="28"/>
          <w:szCs w:val="36"/>
        </w:rPr>
      </w:pPr>
      <w:r>
        <w:rPr>
          <w:rFonts w:hint="eastAsia"/>
          <w:b/>
          <w:bCs/>
          <w:snapToGrid w:val="0"/>
          <w:kern w:val="0"/>
          <w:sz w:val="28"/>
          <w:szCs w:val="36"/>
        </w:rPr>
        <w:t>6.3</w:t>
      </w:r>
      <w:r>
        <w:rPr>
          <w:rFonts w:ascii="黑体" w:hAnsi="黑体" w:eastAsia="黑体"/>
          <w:snapToGrid w:val="0"/>
          <w:kern w:val="0"/>
          <w:sz w:val="28"/>
          <w:szCs w:val="36"/>
        </w:rPr>
        <w:t xml:space="preserve"> </w:t>
      </w:r>
      <w:r>
        <w:rPr>
          <w:rFonts w:hint="eastAsia" w:ascii="黑体" w:hAnsi="黑体" w:eastAsia="黑体"/>
          <w:snapToGrid w:val="0"/>
          <w:kern w:val="0"/>
          <w:sz w:val="28"/>
          <w:szCs w:val="36"/>
        </w:rPr>
        <w:t>机电施工</w:t>
      </w:r>
    </w:p>
    <w:p w14:paraId="690228BC">
      <w:pPr>
        <w:spacing w:line="360" w:lineRule="auto"/>
        <w:rPr>
          <w:bCs/>
          <w:snapToGrid w:val="0"/>
          <w:kern w:val="0"/>
          <w:sz w:val="24"/>
        </w:rPr>
      </w:pPr>
      <w:r>
        <w:rPr>
          <w:rFonts w:hint="eastAsia"/>
          <w:b/>
          <w:snapToGrid w:val="0"/>
          <w:kern w:val="0"/>
          <w:sz w:val="24"/>
        </w:rPr>
        <w:t>6.3.5</w:t>
      </w:r>
      <w:r>
        <w:rPr>
          <w:rFonts w:hint="eastAsia"/>
          <w:bCs/>
          <w:snapToGrid w:val="0"/>
          <w:kern w:val="0"/>
          <w:sz w:val="24"/>
        </w:rPr>
        <w:t xml:space="preserve">  </w:t>
      </w:r>
      <w:r>
        <w:rPr>
          <w:bCs/>
          <w:snapToGrid w:val="0"/>
          <w:kern w:val="0"/>
          <w:sz w:val="24"/>
        </w:rPr>
        <w:t>相关质量证明文件</w:t>
      </w:r>
      <w:r>
        <w:rPr>
          <w:rFonts w:hint="eastAsia"/>
          <w:bCs/>
          <w:snapToGrid w:val="0"/>
          <w:kern w:val="0"/>
          <w:sz w:val="24"/>
        </w:rPr>
        <w:t>主要包括</w:t>
      </w:r>
      <w:r>
        <w:rPr>
          <w:bCs/>
          <w:snapToGrid w:val="0"/>
          <w:kern w:val="0"/>
          <w:sz w:val="24"/>
        </w:rPr>
        <w:t>洁净产品认证、清洁度检测报告、型式试验报告</w:t>
      </w:r>
      <w:r>
        <w:rPr>
          <w:rFonts w:hint="eastAsia"/>
          <w:bCs/>
          <w:snapToGrid w:val="0"/>
          <w:kern w:val="0"/>
          <w:sz w:val="24"/>
        </w:rPr>
        <w:t>等。</w:t>
      </w:r>
    </w:p>
    <w:p w14:paraId="12E19B67">
      <w:pPr>
        <w:spacing w:line="360" w:lineRule="auto"/>
        <w:jc w:val="center"/>
        <w:rPr>
          <w:b/>
          <w:bCs/>
          <w:snapToGrid w:val="0"/>
          <w:kern w:val="0"/>
          <w:sz w:val="28"/>
          <w:szCs w:val="36"/>
        </w:rPr>
      </w:pPr>
      <w:r>
        <w:rPr>
          <w:rFonts w:hint="eastAsia"/>
          <w:b/>
          <w:bCs/>
          <w:snapToGrid w:val="0"/>
          <w:kern w:val="0"/>
          <w:sz w:val="28"/>
          <w:szCs w:val="36"/>
        </w:rPr>
        <w:t xml:space="preserve">6.5 </w:t>
      </w:r>
      <w:r>
        <w:rPr>
          <w:rFonts w:hint="eastAsia" w:ascii="黑体" w:hAnsi="黑体" w:eastAsia="黑体"/>
          <w:snapToGrid w:val="0"/>
          <w:kern w:val="0"/>
          <w:sz w:val="28"/>
          <w:szCs w:val="36"/>
        </w:rPr>
        <w:t>特殊工艺施工</w:t>
      </w:r>
    </w:p>
    <w:p w14:paraId="74136F7E">
      <w:pPr>
        <w:spacing w:line="360" w:lineRule="auto"/>
        <w:jc w:val="center"/>
        <w:rPr>
          <w:rFonts w:hint="eastAsia" w:ascii="黑体" w:hAnsi="黑体" w:eastAsia="黑体"/>
          <w:snapToGrid w:val="0"/>
          <w:kern w:val="0"/>
          <w:sz w:val="28"/>
          <w:szCs w:val="36"/>
        </w:rPr>
      </w:pPr>
      <w:r>
        <w:rPr>
          <w:b/>
          <w:bCs/>
          <w:snapToGrid w:val="0"/>
          <w:kern w:val="0"/>
          <w:sz w:val="28"/>
          <w:szCs w:val="36"/>
        </w:rPr>
        <w:t>Ⅰ</w:t>
      </w:r>
      <w:r>
        <w:rPr>
          <w:rFonts w:ascii="黑体" w:hAnsi="黑体" w:eastAsia="黑体"/>
          <w:snapToGrid w:val="0"/>
          <w:kern w:val="0"/>
          <w:sz w:val="28"/>
          <w:szCs w:val="36"/>
        </w:rPr>
        <w:t xml:space="preserve"> </w:t>
      </w:r>
      <w:r>
        <w:rPr>
          <w:rFonts w:hint="eastAsia" w:ascii="黑体" w:hAnsi="黑体" w:eastAsia="黑体"/>
          <w:snapToGrid w:val="0"/>
          <w:kern w:val="0"/>
          <w:sz w:val="28"/>
          <w:szCs w:val="36"/>
        </w:rPr>
        <w:t>微振动控制施工</w:t>
      </w:r>
    </w:p>
    <w:p w14:paraId="28A93401">
      <w:pPr>
        <w:spacing w:line="360" w:lineRule="auto"/>
        <w:rPr>
          <w:bCs/>
          <w:snapToGrid w:val="0"/>
          <w:kern w:val="0"/>
          <w:sz w:val="24"/>
        </w:rPr>
      </w:pPr>
      <w:r>
        <w:rPr>
          <w:rFonts w:hint="eastAsia"/>
          <w:b/>
          <w:snapToGrid w:val="0"/>
          <w:kern w:val="0"/>
          <w:sz w:val="24"/>
        </w:rPr>
        <w:t>6.5.1</w:t>
      </w:r>
      <w:r>
        <w:rPr>
          <w:rFonts w:hint="eastAsia"/>
          <w:bCs/>
          <w:snapToGrid w:val="0"/>
          <w:kern w:val="0"/>
          <w:sz w:val="24"/>
        </w:rPr>
        <w:t xml:space="preserve">  构件分段与拼缝数量直接影响结构整体刚度与振动传递特性，减少分段与拼缝可降低振动响应。叠合板现浇层厚度与叠合面质量是保证楼盖刚度、控制微振动的关键环节，应严格控制。</w:t>
      </w:r>
    </w:p>
    <w:p w14:paraId="7E3CCE52">
      <w:pPr>
        <w:spacing w:line="360" w:lineRule="auto"/>
        <w:rPr>
          <w:bCs/>
          <w:snapToGrid w:val="0"/>
          <w:kern w:val="0"/>
          <w:sz w:val="24"/>
        </w:rPr>
      </w:pPr>
      <w:r>
        <w:rPr>
          <w:rFonts w:hint="eastAsia"/>
          <w:b/>
          <w:snapToGrid w:val="0"/>
          <w:kern w:val="0"/>
          <w:sz w:val="24"/>
        </w:rPr>
        <w:t>6.5.2</w:t>
      </w:r>
      <w:r>
        <w:rPr>
          <w:rFonts w:hint="eastAsia"/>
          <w:bCs/>
          <w:snapToGrid w:val="0"/>
          <w:kern w:val="0"/>
          <w:sz w:val="24"/>
        </w:rPr>
        <w:t xml:space="preserve">  叠合面粘结性能直接决定叠合构件整体刚度，界面处理不足易产生滑移、分离，加剧微振动响应，增加界面剂可以保证叠合构件整体工作性能。</w:t>
      </w:r>
    </w:p>
    <w:p w14:paraId="7DC41652">
      <w:pPr>
        <w:spacing w:line="360" w:lineRule="auto"/>
        <w:rPr>
          <w:b/>
          <w:bCs/>
          <w:snapToGrid w:val="0"/>
          <w:kern w:val="0"/>
          <w:sz w:val="28"/>
          <w:szCs w:val="36"/>
        </w:rPr>
      </w:pPr>
      <w:r>
        <w:rPr>
          <w:rFonts w:hint="eastAsia"/>
          <w:b/>
          <w:snapToGrid w:val="0"/>
          <w:kern w:val="0"/>
          <w:sz w:val="24"/>
        </w:rPr>
        <w:t>6.5.3</w:t>
      </w:r>
      <w:r>
        <w:rPr>
          <w:rFonts w:hint="eastAsia"/>
          <w:bCs/>
          <w:snapToGrid w:val="0"/>
          <w:kern w:val="0"/>
          <w:sz w:val="24"/>
        </w:rPr>
        <w:t xml:space="preserve">  结构梁柱、梁板、板柱各构件间如采用支撑连接（柱支撑梁、梁支撑板、柱支撑板），因各支撑构件承压面不能保证完全平整，在支撑构件和被支撑构件接触面间会有空隙，影响结构的阻尼，进而影响结构的动刚度，从而影响结构的微振动控制能力，故要求各构件之间应采用环氧砂浆、结构胶等材料填充密实。</w:t>
      </w:r>
    </w:p>
    <w:p w14:paraId="669955C7">
      <w:pPr>
        <w:spacing w:line="360" w:lineRule="auto"/>
        <w:jc w:val="center"/>
        <w:rPr>
          <w:b/>
          <w:bCs/>
          <w:snapToGrid w:val="0"/>
          <w:kern w:val="0"/>
          <w:sz w:val="28"/>
          <w:szCs w:val="36"/>
        </w:rPr>
      </w:pPr>
      <w:r>
        <w:rPr>
          <w:rFonts w:hint="eastAsia"/>
          <w:b/>
          <w:bCs/>
          <w:snapToGrid w:val="0"/>
          <w:kern w:val="0"/>
          <w:sz w:val="28"/>
          <w:szCs w:val="36"/>
        </w:rPr>
        <w:t>Ⅲ</w:t>
      </w:r>
      <w:r>
        <w:rPr>
          <w:rFonts w:ascii="黑体" w:hAnsi="黑体" w:eastAsia="黑体"/>
          <w:snapToGrid w:val="0"/>
          <w:kern w:val="0"/>
          <w:sz w:val="28"/>
          <w:szCs w:val="36"/>
        </w:rPr>
        <w:t xml:space="preserve"> </w:t>
      </w:r>
      <w:r>
        <w:rPr>
          <w:rFonts w:hint="eastAsia" w:ascii="黑体" w:hAnsi="黑体" w:eastAsia="黑体"/>
          <w:snapToGrid w:val="0"/>
          <w:kern w:val="0"/>
          <w:sz w:val="28"/>
          <w:szCs w:val="36"/>
        </w:rPr>
        <w:t>预应力施工</w:t>
      </w:r>
    </w:p>
    <w:p w14:paraId="237C953A">
      <w:pPr>
        <w:spacing w:line="360" w:lineRule="auto"/>
        <w:rPr>
          <w:bCs/>
          <w:snapToGrid w:val="0"/>
          <w:kern w:val="0"/>
          <w:sz w:val="24"/>
        </w:rPr>
      </w:pPr>
      <w:r>
        <w:rPr>
          <w:rFonts w:hint="eastAsia"/>
          <w:b/>
          <w:snapToGrid w:val="0"/>
          <w:kern w:val="0"/>
          <w:sz w:val="24"/>
        </w:rPr>
        <w:t>6.5.11</w:t>
      </w:r>
      <w:r>
        <w:rPr>
          <w:rFonts w:hint="eastAsia"/>
          <w:bCs/>
          <w:snapToGrid w:val="0"/>
          <w:kern w:val="0"/>
          <w:sz w:val="24"/>
        </w:rPr>
        <w:t xml:space="preserve">  装配式混凝土结构厂房层高和跨度往往较大，为减少现场非实体性材料用量，提高施工效率，在保证预应力作业安全条件下建议优先采用与竖向构件可靠固定的工具式平台。</w:t>
      </w:r>
    </w:p>
    <w:p w14:paraId="7D75950E">
      <w:pPr>
        <w:spacing w:line="360" w:lineRule="auto"/>
        <w:rPr>
          <w:bCs/>
          <w:snapToGrid w:val="0"/>
          <w:kern w:val="0"/>
          <w:sz w:val="24"/>
        </w:rPr>
      </w:pPr>
      <w:r>
        <w:rPr>
          <w:rFonts w:hint="eastAsia"/>
          <w:b/>
          <w:snapToGrid w:val="0"/>
          <w:kern w:val="0"/>
          <w:sz w:val="24"/>
        </w:rPr>
        <w:t>6.5.12</w:t>
      </w:r>
      <w:r>
        <w:rPr>
          <w:rFonts w:hint="eastAsia"/>
          <w:bCs/>
          <w:snapToGrid w:val="0"/>
          <w:kern w:val="0"/>
          <w:sz w:val="24"/>
        </w:rPr>
        <w:t xml:space="preserve">  装配式混凝土结构厂房采用后张法预应力时，常需要在预制梁、预制柱构件间施加预应力。在预应力筋张拉前对构件间接缝进行检查并用灌浆料灌实，可保证预应力有效施加至预制构件上。</w:t>
      </w:r>
    </w:p>
    <w:p w14:paraId="22E422C3">
      <w:pPr>
        <w:spacing w:line="360" w:lineRule="auto"/>
        <w:ind w:firstLine="480" w:firstLineChars="200"/>
        <w:rPr>
          <w:bCs/>
          <w:snapToGrid w:val="0"/>
          <w:kern w:val="0"/>
          <w:sz w:val="24"/>
        </w:rPr>
      </w:pPr>
      <w:r>
        <w:rPr>
          <w:rFonts w:hint="eastAsia"/>
          <w:bCs/>
          <w:snapToGrid w:val="0"/>
          <w:kern w:val="0"/>
          <w:sz w:val="24"/>
        </w:rPr>
        <w:t>预应力筋张拉伸长值偏差的限值与国家现行标准相同，伸长值的计算可按国家现行标准《混凝土结构工程施工规范》</w:t>
      </w:r>
      <w:r>
        <w:rPr>
          <w:bCs/>
          <w:snapToGrid w:val="0"/>
          <w:kern w:val="0"/>
          <w:sz w:val="24"/>
        </w:rPr>
        <w:t>GB 50666</w:t>
      </w:r>
      <w:r>
        <w:rPr>
          <w:rFonts w:hint="eastAsia"/>
          <w:bCs/>
          <w:snapToGrid w:val="0"/>
          <w:kern w:val="0"/>
          <w:sz w:val="24"/>
        </w:rPr>
        <w:t>和《无粘结预应力混凝土结构技术规程》</w:t>
      </w:r>
      <w:r>
        <w:rPr>
          <w:bCs/>
          <w:snapToGrid w:val="0"/>
          <w:kern w:val="0"/>
          <w:sz w:val="24"/>
        </w:rPr>
        <w:t>JGJ 92</w:t>
      </w:r>
      <w:r>
        <w:rPr>
          <w:rFonts w:hint="eastAsia"/>
          <w:bCs/>
          <w:snapToGrid w:val="0"/>
          <w:kern w:val="0"/>
          <w:sz w:val="24"/>
        </w:rPr>
        <w:t>执行。</w:t>
      </w:r>
    </w:p>
    <w:p w14:paraId="2516633D">
      <w:pPr>
        <w:widowControl/>
        <w:jc w:val="left"/>
        <w:rPr>
          <w:bCs/>
          <w:snapToGrid w:val="0"/>
          <w:kern w:val="0"/>
          <w:sz w:val="24"/>
        </w:rPr>
      </w:pPr>
      <w:r>
        <w:rPr>
          <w:bCs/>
          <w:snapToGrid w:val="0"/>
          <w:kern w:val="0"/>
          <w:sz w:val="24"/>
        </w:rPr>
        <w:br w:type="page"/>
      </w:r>
    </w:p>
    <w:p w14:paraId="66E9F12D">
      <w:pPr>
        <w:spacing w:line="360" w:lineRule="auto"/>
        <w:jc w:val="center"/>
        <w:rPr>
          <w:b/>
          <w:bCs/>
          <w:snapToGrid w:val="0"/>
          <w:kern w:val="0"/>
          <w:sz w:val="30"/>
          <w:szCs w:val="30"/>
        </w:rPr>
      </w:pPr>
      <w:r>
        <w:rPr>
          <w:rFonts w:hint="eastAsia"/>
          <w:b/>
          <w:bCs/>
          <w:snapToGrid w:val="0"/>
          <w:kern w:val="0"/>
          <w:sz w:val="30"/>
          <w:szCs w:val="30"/>
        </w:rPr>
        <w:t>7</w:t>
      </w:r>
      <w:r>
        <w:rPr>
          <w:b/>
          <w:bCs/>
          <w:snapToGrid w:val="0"/>
          <w:kern w:val="0"/>
          <w:sz w:val="30"/>
          <w:szCs w:val="30"/>
        </w:rPr>
        <w:t xml:space="preserve"> </w:t>
      </w:r>
      <w:r>
        <w:rPr>
          <w:rFonts w:hint="eastAsia" w:ascii="黑体" w:hAnsi="黑体" w:eastAsia="黑体"/>
          <w:snapToGrid w:val="0"/>
          <w:kern w:val="0"/>
          <w:sz w:val="30"/>
          <w:szCs w:val="30"/>
        </w:rPr>
        <w:t>质量验收</w:t>
      </w:r>
    </w:p>
    <w:p w14:paraId="37D63945">
      <w:pPr>
        <w:spacing w:line="360" w:lineRule="auto"/>
        <w:jc w:val="center"/>
        <w:rPr>
          <w:b/>
          <w:bCs/>
          <w:snapToGrid w:val="0"/>
          <w:kern w:val="0"/>
          <w:sz w:val="28"/>
          <w:szCs w:val="36"/>
        </w:rPr>
      </w:pPr>
      <w:r>
        <w:rPr>
          <w:rFonts w:hint="eastAsia"/>
          <w:b/>
          <w:bCs/>
          <w:snapToGrid w:val="0"/>
          <w:kern w:val="0"/>
          <w:sz w:val="28"/>
          <w:szCs w:val="36"/>
        </w:rPr>
        <w:t>7.1</w:t>
      </w:r>
      <w:r>
        <w:rPr>
          <w:rFonts w:ascii="黑体" w:hAnsi="黑体" w:eastAsia="黑体"/>
          <w:snapToGrid w:val="0"/>
          <w:kern w:val="0"/>
          <w:sz w:val="28"/>
          <w:szCs w:val="36"/>
        </w:rPr>
        <w:t xml:space="preserve"> </w:t>
      </w:r>
      <w:r>
        <w:rPr>
          <w:rFonts w:hint="eastAsia" w:ascii="黑体" w:hAnsi="黑体" w:eastAsia="黑体"/>
          <w:snapToGrid w:val="0"/>
          <w:kern w:val="0"/>
          <w:sz w:val="28"/>
          <w:szCs w:val="36"/>
        </w:rPr>
        <w:t>一般规定</w:t>
      </w:r>
    </w:p>
    <w:p w14:paraId="305FD174">
      <w:pPr>
        <w:spacing w:line="360" w:lineRule="auto"/>
        <w:rPr>
          <w:b/>
          <w:bCs/>
          <w:snapToGrid w:val="0"/>
          <w:kern w:val="0"/>
          <w:sz w:val="30"/>
          <w:szCs w:val="30"/>
        </w:rPr>
      </w:pPr>
      <w:r>
        <w:rPr>
          <w:rFonts w:hint="eastAsia"/>
          <w:b/>
          <w:snapToGrid w:val="0"/>
          <w:kern w:val="0"/>
          <w:sz w:val="24"/>
        </w:rPr>
        <w:t>7.1.2</w:t>
      </w:r>
      <w:r>
        <w:rPr>
          <w:rFonts w:hint="eastAsia"/>
          <w:bCs/>
          <w:snapToGrid w:val="0"/>
          <w:kern w:val="0"/>
          <w:sz w:val="24"/>
        </w:rPr>
        <w:t xml:space="preserve">  采用套筒灌浆连接及叠合体系的连接等不同结构体系的连接均需要满足相应结构体系的设计要求。</w:t>
      </w:r>
    </w:p>
    <w:p w14:paraId="66F30A42">
      <w:pPr>
        <w:spacing w:line="360" w:lineRule="auto"/>
        <w:rPr>
          <w:bCs/>
          <w:snapToGrid w:val="0"/>
          <w:kern w:val="0"/>
          <w:sz w:val="24"/>
        </w:rPr>
      </w:pPr>
      <w:r>
        <w:rPr>
          <w:rFonts w:hint="eastAsia"/>
          <w:b/>
          <w:snapToGrid w:val="0"/>
          <w:kern w:val="0"/>
          <w:sz w:val="24"/>
        </w:rPr>
        <w:t>7.1.3</w:t>
      </w:r>
      <w:r>
        <w:rPr>
          <w:rFonts w:hint="eastAsia"/>
          <w:bCs/>
          <w:snapToGrid w:val="0"/>
          <w:kern w:val="0"/>
          <w:sz w:val="24"/>
        </w:rPr>
        <w:t xml:space="preserve">  原材料、部品部件、构配件需要具有出厂检验合格证、质量保证书和使用说明书等附件。</w:t>
      </w:r>
    </w:p>
    <w:p w14:paraId="14DD6BE2">
      <w:pPr>
        <w:spacing w:line="360" w:lineRule="auto"/>
        <w:rPr>
          <w:bCs/>
          <w:snapToGrid w:val="0"/>
          <w:kern w:val="0"/>
          <w:sz w:val="24"/>
        </w:rPr>
      </w:pPr>
      <w:r>
        <w:rPr>
          <w:rFonts w:hint="eastAsia"/>
          <w:b/>
          <w:snapToGrid w:val="0"/>
          <w:kern w:val="0"/>
          <w:sz w:val="24"/>
        </w:rPr>
        <w:t>7.1.4</w:t>
      </w:r>
      <w:r>
        <w:rPr>
          <w:rFonts w:hint="eastAsia"/>
          <w:bCs/>
          <w:snapToGrid w:val="0"/>
          <w:kern w:val="0"/>
          <w:sz w:val="24"/>
        </w:rPr>
        <w:t xml:space="preserve">  本条对装配式混凝土结构厂房的预制构件安装施工及浇筑混凝土前应进行的隐蔽项目现场验收作了规定，其它隐蔽项目验收可依据设计和有关技术标准执行。</w:t>
      </w:r>
    </w:p>
    <w:p w14:paraId="0D8071C8">
      <w:pPr>
        <w:spacing w:line="360" w:lineRule="auto"/>
        <w:rPr>
          <w:bCs/>
          <w:snapToGrid w:val="0"/>
          <w:kern w:val="0"/>
          <w:sz w:val="24"/>
        </w:rPr>
      </w:pPr>
      <w:r>
        <w:rPr>
          <w:rFonts w:hint="eastAsia"/>
          <w:b/>
          <w:snapToGrid w:val="0"/>
          <w:kern w:val="0"/>
          <w:sz w:val="24"/>
        </w:rPr>
        <w:t>7.1.7</w:t>
      </w:r>
      <w:r>
        <w:rPr>
          <w:rFonts w:hint="eastAsia"/>
          <w:bCs/>
          <w:snapToGrid w:val="0"/>
          <w:kern w:val="0"/>
          <w:sz w:val="24"/>
        </w:rPr>
        <w:t xml:space="preserve">  本条对装配式混凝土结构厂房质量验收时应提交的文件与记录作了具体规定，可以配合《混凝土结构工程施工质量验收规范》GB 50204、《建筑工程资料管理规程》DB11/T 695使用。</w:t>
      </w:r>
    </w:p>
    <w:p w14:paraId="1399AD5F">
      <w:pPr>
        <w:spacing w:line="360" w:lineRule="auto"/>
        <w:jc w:val="center"/>
        <w:rPr>
          <w:b/>
          <w:bCs/>
          <w:snapToGrid w:val="0"/>
          <w:kern w:val="0"/>
          <w:sz w:val="28"/>
          <w:szCs w:val="36"/>
        </w:rPr>
      </w:pPr>
      <w:r>
        <w:rPr>
          <w:rFonts w:hint="eastAsia"/>
          <w:b/>
          <w:bCs/>
          <w:snapToGrid w:val="0"/>
          <w:kern w:val="0"/>
          <w:sz w:val="28"/>
          <w:szCs w:val="36"/>
        </w:rPr>
        <w:t>7.2</w:t>
      </w:r>
      <w:r>
        <w:rPr>
          <w:rFonts w:ascii="黑体" w:hAnsi="黑体" w:eastAsia="黑体"/>
          <w:snapToGrid w:val="0"/>
          <w:kern w:val="0"/>
          <w:sz w:val="28"/>
          <w:szCs w:val="36"/>
        </w:rPr>
        <w:t xml:space="preserve"> </w:t>
      </w:r>
      <w:r>
        <w:rPr>
          <w:rFonts w:hint="eastAsia" w:ascii="黑体" w:hAnsi="黑体" w:eastAsia="黑体"/>
          <w:snapToGrid w:val="0"/>
          <w:kern w:val="0"/>
          <w:sz w:val="28"/>
          <w:szCs w:val="36"/>
        </w:rPr>
        <w:t>构件进场验收</w:t>
      </w:r>
    </w:p>
    <w:p w14:paraId="099CD355">
      <w:pPr>
        <w:spacing w:line="360" w:lineRule="auto"/>
        <w:jc w:val="center"/>
        <w:rPr>
          <w:rFonts w:hint="eastAsia" w:ascii="黑体" w:hAnsi="黑体" w:eastAsia="黑体"/>
          <w:snapToGrid w:val="0"/>
          <w:kern w:val="0"/>
          <w:sz w:val="28"/>
          <w:szCs w:val="36"/>
        </w:rPr>
      </w:pPr>
      <w:r>
        <w:rPr>
          <w:rFonts w:hint="eastAsia" w:ascii="黑体" w:hAnsi="黑体" w:eastAsia="黑体"/>
          <w:snapToGrid w:val="0"/>
          <w:kern w:val="0"/>
          <w:sz w:val="28"/>
          <w:szCs w:val="36"/>
        </w:rPr>
        <w:t>主控项目</w:t>
      </w:r>
    </w:p>
    <w:p w14:paraId="606411BC">
      <w:pPr>
        <w:spacing w:line="360" w:lineRule="auto"/>
        <w:rPr>
          <w:bCs/>
          <w:snapToGrid w:val="0"/>
          <w:kern w:val="0"/>
          <w:sz w:val="24"/>
        </w:rPr>
      </w:pPr>
      <w:r>
        <w:rPr>
          <w:rFonts w:hint="eastAsia"/>
          <w:b/>
          <w:snapToGrid w:val="0"/>
          <w:kern w:val="0"/>
          <w:sz w:val="24"/>
        </w:rPr>
        <w:t>7.2.1</w:t>
      </w:r>
      <w:r>
        <w:rPr>
          <w:rFonts w:hint="eastAsia"/>
          <w:bCs/>
          <w:snapToGrid w:val="0"/>
          <w:kern w:val="0"/>
          <w:sz w:val="24"/>
        </w:rPr>
        <w:t xml:space="preserve">  本条对工厂生产的预制构件进场质量证明文件和表面标识进行了规定。</w:t>
      </w:r>
    </w:p>
    <w:p w14:paraId="7A09396D">
      <w:pPr>
        <w:spacing w:line="360" w:lineRule="auto"/>
        <w:ind w:firstLine="480" w:firstLineChars="200"/>
        <w:rPr>
          <w:bCs/>
          <w:snapToGrid w:val="0"/>
          <w:kern w:val="0"/>
          <w:sz w:val="24"/>
        </w:rPr>
      </w:pPr>
      <w:r>
        <w:rPr>
          <w:rFonts w:hint="eastAsia"/>
          <w:bCs/>
          <w:snapToGrid w:val="0"/>
          <w:kern w:val="0"/>
          <w:sz w:val="24"/>
        </w:rPr>
        <w:t>对专业企业生产的预制构件应具有出厂合格证及相关质量证明文件，根据不同预制构件的类型与特点，分别包括：混凝土强度报告、钢筋复试报告、水泥复试报告、保温连接件拉拔试验报告、钢筋套筒灌浆接头复试报告、保温材料复试报告、面砖及石材拉拔试验、结构性能检验报告等相关文件。</w:t>
      </w:r>
    </w:p>
    <w:p w14:paraId="4EED0C86">
      <w:pPr>
        <w:spacing w:line="360" w:lineRule="auto"/>
        <w:ind w:firstLine="480" w:firstLineChars="200"/>
        <w:rPr>
          <w:bCs/>
          <w:snapToGrid w:val="0"/>
          <w:kern w:val="0"/>
          <w:sz w:val="24"/>
        </w:rPr>
      </w:pPr>
      <w:r>
        <w:rPr>
          <w:rFonts w:hint="eastAsia"/>
          <w:bCs/>
          <w:snapToGrid w:val="0"/>
          <w:kern w:val="0"/>
          <w:sz w:val="24"/>
        </w:rPr>
        <w:t>对总承包单位制作的预制构件，没有“进场”的验收环节，其材料和制作质量应按本标准各章的规定进行验收。对构件的验收方式为检查构件制作中的质量验收记录。</w:t>
      </w:r>
    </w:p>
    <w:p w14:paraId="77064951">
      <w:pPr>
        <w:spacing w:line="360" w:lineRule="auto"/>
        <w:rPr>
          <w:bCs/>
          <w:snapToGrid w:val="0"/>
          <w:kern w:val="0"/>
          <w:sz w:val="24"/>
        </w:rPr>
      </w:pPr>
      <w:r>
        <w:rPr>
          <w:rFonts w:hint="eastAsia"/>
          <w:b/>
          <w:snapToGrid w:val="0"/>
          <w:kern w:val="0"/>
          <w:sz w:val="24"/>
        </w:rPr>
        <w:t xml:space="preserve">7.2.2 </w:t>
      </w:r>
      <w:r>
        <w:rPr>
          <w:rFonts w:hint="eastAsia"/>
          <w:bCs/>
          <w:snapToGrid w:val="0"/>
          <w:kern w:val="0"/>
          <w:sz w:val="24"/>
        </w:rPr>
        <w:t xml:space="preserve"> </w:t>
      </w:r>
      <w:r>
        <w:rPr>
          <w:bCs/>
          <w:snapToGrid w:val="0"/>
          <w:kern w:val="0"/>
          <w:sz w:val="24"/>
        </w:rPr>
        <w:t>抽取预制构件时，</w:t>
      </w:r>
      <w:r>
        <w:rPr>
          <w:rFonts w:hint="eastAsia"/>
          <w:bCs/>
          <w:snapToGrid w:val="0"/>
          <w:kern w:val="0"/>
          <w:sz w:val="24"/>
        </w:rPr>
        <w:t>应</w:t>
      </w:r>
      <w:r>
        <w:rPr>
          <w:bCs/>
          <w:snapToGrid w:val="0"/>
          <w:kern w:val="0"/>
          <w:sz w:val="24"/>
        </w:rPr>
        <w:t>从设计荷载最大、受力最不利或生产数量最多的预制构件中抽取。</w:t>
      </w:r>
    </w:p>
    <w:p w14:paraId="4737A40F">
      <w:pPr>
        <w:spacing w:line="360" w:lineRule="auto"/>
        <w:rPr>
          <w:bCs/>
          <w:snapToGrid w:val="0"/>
          <w:kern w:val="0"/>
          <w:sz w:val="24"/>
        </w:rPr>
      </w:pPr>
      <w:r>
        <w:rPr>
          <w:rFonts w:hint="eastAsia"/>
          <w:b/>
          <w:snapToGrid w:val="0"/>
          <w:kern w:val="0"/>
          <w:sz w:val="24"/>
        </w:rPr>
        <w:t>7.2.3</w:t>
      </w:r>
      <w:r>
        <w:rPr>
          <w:rFonts w:hint="eastAsia"/>
          <w:bCs/>
          <w:snapToGrid w:val="0"/>
          <w:kern w:val="0"/>
          <w:sz w:val="24"/>
        </w:rPr>
        <w:t xml:space="preserve">  对于出现的外观质量严重缺陷、影响结构性能和安装、使用功能的尺寸偏差，以及拉结件类别、数量和位置有不符合设计要求的情形应作退场处理。如经设计同意可以进行修理使用，则应制定处理方案并获得监理确认后，预制构件生产单位应按技术处理方案处理，修理后应重新组织验收。外观质量的严重缺陷根据《混凝土结构工程施工规范》GB 50666判定。</w:t>
      </w:r>
    </w:p>
    <w:p w14:paraId="3C9DA233">
      <w:pPr>
        <w:spacing w:line="360" w:lineRule="auto"/>
        <w:jc w:val="center"/>
        <w:rPr>
          <w:rFonts w:hint="eastAsia" w:ascii="黑体" w:hAnsi="黑体" w:eastAsia="黑体"/>
          <w:snapToGrid w:val="0"/>
          <w:kern w:val="0"/>
          <w:sz w:val="28"/>
          <w:szCs w:val="36"/>
        </w:rPr>
      </w:pPr>
      <w:r>
        <w:rPr>
          <w:rFonts w:hint="eastAsia" w:ascii="黑体" w:hAnsi="黑体" w:eastAsia="黑体"/>
          <w:snapToGrid w:val="0"/>
          <w:kern w:val="0"/>
          <w:sz w:val="28"/>
          <w:szCs w:val="36"/>
        </w:rPr>
        <w:t>一般项目</w:t>
      </w:r>
    </w:p>
    <w:p w14:paraId="066454B3">
      <w:pPr>
        <w:spacing w:line="360" w:lineRule="auto"/>
        <w:rPr>
          <w:bCs/>
          <w:snapToGrid w:val="0"/>
          <w:kern w:val="0"/>
          <w:sz w:val="24"/>
        </w:rPr>
      </w:pPr>
      <w:r>
        <w:rPr>
          <w:rFonts w:hint="eastAsia"/>
          <w:b/>
          <w:snapToGrid w:val="0"/>
          <w:kern w:val="0"/>
          <w:sz w:val="24"/>
        </w:rPr>
        <w:t>7.2.6</w:t>
      </w:r>
      <w:r>
        <w:rPr>
          <w:rFonts w:hint="eastAsia"/>
          <w:bCs/>
          <w:snapToGrid w:val="0"/>
          <w:kern w:val="0"/>
          <w:sz w:val="24"/>
        </w:rPr>
        <w:t xml:space="preserve">  本条给出的预制构件尺寸偏差是预制构件基本要求，如具体工程要求提出高于本条规定时，按设计要求或合同规定执行。</w:t>
      </w:r>
    </w:p>
    <w:p w14:paraId="52120628">
      <w:pPr>
        <w:spacing w:line="360" w:lineRule="auto"/>
        <w:rPr>
          <w:bCs/>
          <w:snapToGrid w:val="0"/>
          <w:kern w:val="0"/>
          <w:sz w:val="24"/>
        </w:rPr>
      </w:pPr>
      <w:r>
        <w:rPr>
          <w:rFonts w:hint="eastAsia"/>
          <w:b/>
          <w:snapToGrid w:val="0"/>
          <w:kern w:val="0"/>
          <w:sz w:val="24"/>
        </w:rPr>
        <w:t>7.2.9</w:t>
      </w:r>
      <w:r>
        <w:rPr>
          <w:rFonts w:hint="eastAsia"/>
          <w:bCs/>
          <w:snapToGrid w:val="0"/>
          <w:kern w:val="0"/>
          <w:sz w:val="24"/>
        </w:rPr>
        <w:t xml:space="preserve">  要求</w:t>
      </w:r>
      <w:r>
        <w:rPr>
          <w:bCs/>
          <w:snapToGrid w:val="0"/>
          <w:kern w:val="0"/>
          <w:sz w:val="24"/>
        </w:rPr>
        <w:t>预制构件的预留、预埋件等在进场时按设计要求对每件预制构件产品全数检查</w:t>
      </w:r>
      <w:r>
        <w:rPr>
          <w:rFonts w:hint="eastAsia"/>
          <w:bCs/>
          <w:snapToGrid w:val="0"/>
          <w:kern w:val="0"/>
          <w:sz w:val="24"/>
        </w:rPr>
        <w:t>并</w:t>
      </w:r>
      <w:r>
        <w:rPr>
          <w:bCs/>
          <w:snapToGrid w:val="0"/>
          <w:kern w:val="0"/>
          <w:sz w:val="24"/>
        </w:rPr>
        <w:t>合格后方可使用，</w:t>
      </w:r>
      <w:r>
        <w:rPr>
          <w:rFonts w:hint="eastAsia"/>
          <w:bCs/>
          <w:snapToGrid w:val="0"/>
          <w:kern w:val="0"/>
          <w:sz w:val="24"/>
        </w:rPr>
        <w:t>是为了</w:t>
      </w:r>
      <w:r>
        <w:rPr>
          <w:bCs/>
          <w:snapToGrid w:val="0"/>
          <w:kern w:val="0"/>
          <w:sz w:val="24"/>
        </w:rPr>
        <w:t>避免在构件安装时发现问题造成不必要的损失。</w:t>
      </w:r>
    </w:p>
    <w:p w14:paraId="1883100A">
      <w:pPr>
        <w:spacing w:line="360" w:lineRule="auto"/>
        <w:jc w:val="center"/>
        <w:rPr>
          <w:b/>
          <w:bCs/>
          <w:snapToGrid w:val="0"/>
          <w:kern w:val="0"/>
          <w:sz w:val="28"/>
          <w:szCs w:val="36"/>
        </w:rPr>
      </w:pPr>
      <w:r>
        <w:rPr>
          <w:rFonts w:hint="eastAsia"/>
          <w:b/>
          <w:bCs/>
          <w:snapToGrid w:val="0"/>
          <w:kern w:val="0"/>
          <w:sz w:val="28"/>
          <w:szCs w:val="36"/>
        </w:rPr>
        <w:t>7.3</w:t>
      </w:r>
      <w:r>
        <w:rPr>
          <w:rFonts w:ascii="黑体" w:hAnsi="黑体" w:eastAsia="黑体"/>
          <w:snapToGrid w:val="0"/>
          <w:kern w:val="0"/>
          <w:sz w:val="28"/>
          <w:szCs w:val="36"/>
        </w:rPr>
        <w:t xml:space="preserve"> </w:t>
      </w:r>
      <w:r>
        <w:rPr>
          <w:rFonts w:hint="eastAsia" w:ascii="黑体" w:hAnsi="黑体" w:eastAsia="黑体"/>
          <w:snapToGrid w:val="0"/>
          <w:kern w:val="0"/>
          <w:sz w:val="28"/>
          <w:szCs w:val="36"/>
        </w:rPr>
        <w:t>施工安装验收</w:t>
      </w:r>
    </w:p>
    <w:p w14:paraId="770B0B7F">
      <w:pPr>
        <w:spacing w:line="360" w:lineRule="auto"/>
        <w:jc w:val="center"/>
        <w:rPr>
          <w:rFonts w:hint="eastAsia" w:ascii="黑体" w:hAnsi="黑体" w:eastAsia="黑体"/>
          <w:snapToGrid w:val="0"/>
          <w:kern w:val="0"/>
          <w:sz w:val="28"/>
          <w:szCs w:val="36"/>
        </w:rPr>
      </w:pPr>
      <w:r>
        <w:rPr>
          <w:rFonts w:hint="eastAsia" w:ascii="黑体" w:hAnsi="黑体" w:eastAsia="黑体"/>
          <w:snapToGrid w:val="0"/>
          <w:kern w:val="0"/>
          <w:sz w:val="28"/>
          <w:szCs w:val="36"/>
        </w:rPr>
        <w:t>主控项目</w:t>
      </w:r>
    </w:p>
    <w:p w14:paraId="7DC50C5B">
      <w:pPr>
        <w:spacing w:line="360" w:lineRule="auto"/>
        <w:rPr>
          <w:bCs/>
          <w:snapToGrid w:val="0"/>
          <w:kern w:val="0"/>
          <w:sz w:val="24"/>
        </w:rPr>
      </w:pPr>
      <w:r>
        <w:rPr>
          <w:rFonts w:hint="eastAsia"/>
          <w:b/>
          <w:snapToGrid w:val="0"/>
          <w:kern w:val="0"/>
          <w:sz w:val="24"/>
        </w:rPr>
        <w:t>7.3.1</w:t>
      </w:r>
      <w:r>
        <w:rPr>
          <w:rFonts w:hint="eastAsia"/>
          <w:bCs/>
          <w:snapToGrid w:val="0"/>
          <w:kern w:val="0"/>
          <w:sz w:val="24"/>
        </w:rPr>
        <w:t xml:space="preserve">  </w:t>
      </w:r>
      <w:r>
        <w:rPr>
          <w:bCs/>
          <w:snapToGrid w:val="0"/>
          <w:kern w:val="0"/>
          <w:sz w:val="24"/>
        </w:rPr>
        <w:t>预制构件临时安装支撑对</w:t>
      </w:r>
      <w:r>
        <w:rPr>
          <w:rFonts w:hint="eastAsia"/>
          <w:bCs/>
          <w:snapToGrid w:val="0"/>
          <w:kern w:val="0"/>
          <w:sz w:val="24"/>
        </w:rPr>
        <w:t>构件</w:t>
      </w:r>
      <w:r>
        <w:rPr>
          <w:bCs/>
          <w:snapToGrid w:val="0"/>
          <w:kern w:val="0"/>
          <w:sz w:val="24"/>
        </w:rPr>
        <w:t>安装质量有直接</w:t>
      </w:r>
      <w:r>
        <w:rPr>
          <w:rFonts w:hint="eastAsia"/>
          <w:bCs/>
          <w:snapToGrid w:val="0"/>
          <w:kern w:val="0"/>
          <w:sz w:val="24"/>
        </w:rPr>
        <w:t>影响</w:t>
      </w:r>
      <w:r>
        <w:rPr>
          <w:bCs/>
          <w:snapToGrid w:val="0"/>
          <w:kern w:val="0"/>
          <w:sz w:val="24"/>
        </w:rPr>
        <w:t>，保证构件稳定的临时固定措施对现场防范施工安全事故的发生</w:t>
      </w:r>
      <w:r>
        <w:rPr>
          <w:rFonts w:hint="eastAsia"/>
          <w:bCs/>
          <w:snapToGrid w:val="0"/>
          <w:kern w:val="0"/>
          <w:sz w:val="24"/>
        </w:rPr>
        <w:t>也</w:t>
      </w:r>
      <w:r>
        <w:rPr>
          <w:bCs/>
          <w:snapToGrid w:val="0"/>
          <w:kern w:val="0"/>
          <w:sz w:val="24"/>
        </w:rPr>
        <w:t>起着十分重要的作用。</w:t>
      </w:r>
    </w:p>
    <w:p w14:paraId="0B77FDC4">
      <w:pPr>
        <w:spacing w:line="360" w:lineRule="auto"/>
      </w:pPr>
      <w:r>
        <w:rPr>
          <w:rFonts w:hint="eastAsia"/>
          <w:b/>
          <w:snapToGrid w:val="0"/>
          <w:kern w:val="0"/>
          <w:sz w:val="24"/>
        </w:rPr>
        <w:t xml:space="preserve">7.3.4  </w:t>
      </w:r>
      <w:r>
        <w:rPr>
          <w:rFonts w:hint="eastAsia"/>
          <w:bCs/>
          <w:snapToGrid w:val="0"/>
          <w:kern w:val="0"/>
          <w:sz w:val="24"/>
        </w:rPr>
        <w:t>钢筋采用机械连接时，需要按现行行业标准《钢筋机械连接技术规程》JGJ 107的有关规定进行验收。平行加工试件应与实际钢筋连接接头的施工环境相似，并宜在工程结构附近制作。对于直螺纹机械连接接头，应按有关标准规定检验螺纹接头拧紧扭矩和挤压接头压痕直径。对于冷挤压套筒机械连接接头，其接头质量也应符合国家现行有关标准的规定。</w:t>
      </w:r>
    </w:p>
    <w:p w14:paraId="154F01AD">
      <w:pPr>
        <w:spacing w:line="360" w:lineRule="auto"/>
        <w:rPr>
          <w:bCs/>
          <w:snapToGrid w:val="0"/>
          <w:kern w:val="0"/>
          <w:sz w:val="24"/>
        </w:rPr>
      </w:pPr>
      <w:r>
        <w:rPr>
          <w:rFonts w:hint="eastAsia"/>
          <w:b/>
          <w:snapToGrid w:val="0"/>
          <w:kern w:val="0"/>
          <w:sz w:val="24"/>
        </w:rPr>
        <w:t>7.3.7</w:t>
      </w:r>
      <w:r>
        <w:rPr>
          <w:rFonts w:hint="eastAsia"/>
          <w:bCs/>
          <w:snapToGrid w:val="0"/>
          <w:kern w:val="0"/>
          <w:sz w:val="24"/>
        </w:rPr>
        <w:t xml:space="preserve">  为保证钢筋套筒灌浆质量，灌浆施工工序较为关键，全程留存影像资料，记录出浆孔溢浆状态及灌浆压力数据，影像资料作为验收附件存档。可参照《钢筋套筒灌浆连接技术规程》DB11/T 1470的相关规定进行灌浆饱满度检查。</w:t>
      </w:r>
    </w:p>
    <w:p w14:paraId="1300098A">
      <w:pPr>
        <w:spacing w:line="360" w:lineRule="auto"/>
        <w:rPr>
          <w:bCs/>
          <w:snapToGrid w:val="0"/>
          <w:kern w:val="0"/>
          <w:sz w:val="24"/>
        </w:rPr>
      </w:pPr>
      <w:r>
        <w:rPr>
          <w:rFonts w:hint="eastAsia"/>
          <w:b/>
          <w:snapToGrid w:val="0"/>
          <w:kern w:val="0"/>
          <w:sz w:val="24"/>
        </w:rPr>
        <w:t>7.3.9</w:t>
      </w:r>
      <w:r>
        <w:rPr>
          <w:rFonts w:hint="eastAsia"/>
          <w:bCs/>
          <w:snapToGrid w:val="0"/>
          <w:kern w:val="0"/>
          <w:sz w:val="24"/>
        </w:rPr>
        <w:t xml:space="preserve">  本条款主要针对装配式混凝土结构厂房用于外围护系统的预制构件或部品与主体结构之间的连接采用焊接连接时的质量验收规定。</w:t>
      </w:r>
    </w:p>
    <w:p w14:paraId="037AB5C0">
      <w:pPr>
        <w:spacing w:line="360" w:lineRule="auto"/>
        <w:ind w:firstLine="480" w:firstLineChars="200"/>
        <w:rPr>
          <w:bCs/>
          <w:snapToGrid w:val="0"/>
          <w:kern w:val="0"/>
          <w:sz w:val="24"/>
        </w:rPr>
      </w:pPr>
      <w:r>
        <w:rPr>
          <w:bCs/>
          <w:snapToGrid w:val="0"/>
          <w:kern w:val="0"/>
          <w:sz w:val="24"/>
        </w:rPr>
        <w:t>当钢筋或型钢采用焊接连接时，钢筋或型钢的焊接质量是保证结构传力的关键主控项目，应由具备资格的焊工进行操作，并应按国家现行标准《钢结构工程施工质量验收标准》GB 50205和《钢筋焊接及验收规程》JGJ</w:t>
      </w:r>
      <w:r>
        <w:rPr>
          <w:rFonts w:hint="eastAsia"/>
          <w:bCs/>
          <w:snapToGrid w:val="0"/>
          <w:kern w:val="0"/>
          <w:sz w:val="24"/>
        </w:rPr>
        <w:t xml:space="preserve"> </w:t>
      </w:r>
      <w:r>
        <w:rPr>
          <w:bCs/>
          <w:snapToGrid w:val="0"/>
          <w:kern w:val="0"/>
          <w:sz w:val="24"/>
        </w:rPr>
        <w:t>18的有关规定进行验收。考虑到结构中钢筋或型钢焊接连接的特殊性，很难做到连接试件原位截取，故要求制作平行加工试件。平行加工试件应与实际钢筋连接接头的施工环境相似，并宜在工程结构附近制作。</w:t>
      </w:r>
    </w:p>
    <w:p w14:paraId="159B2639">
      <w:pPr>
        <w:spacing w:line="360" w:lineRule="auto"/>
        <w:rPr>
          <w:bCs/>
          <w:snapToGrid w:val="0"/>
          <w:kern w:val="0"/>
          <w:sz w:val="24"/>
        </w:rPr>
      </w:pPr>
      <w:r>
        <w:rPr>
          <w:rFonts w:hint="eastAsia"/>
          <w:b/>
          <w:snapToGrid w:val="0"/>
          <w:kern w:val="0"/>
          <w:sz w:val="24"/>
        </w:rPr>
        <w:t>7.3.10</w:t>
      </w:r>
      <w:r>
        <w:rPr>
          <w:rFonts w:hint="eastAsia"/>
          <w:bCs/>
          <w:snapToGrid w:val="0"/>
          <w:kern w:val="0"/>
          <w:sz w:val="24"/>
        </w:rPr>
        <w:t xml:space="preserve">  </w:t>
      </w:r>
      <w:r>
        <w:rPr>
          <w:bCs/>
          <w:snapToGrid w:val="0"/>
          <w:kern w:val="0"/>
          <w:sz w:val="24"/>
        </w:rPr>
        <w:t>装配式混凝土结构厂房结构采用螺栓连接时，螺栓、螺母、垫片等材料的进场验收应符合现行国家标准《钢结构工程施工质量验收标准》GB 50205的有关规定。施工时应分批逐个检查螺栓的拧紧力矩，并做好施工记录。</w:t>
      </w:r>
    </w:p>
    <w:p w14:paraId="7C161745">
      <w:pPr>
        <w:spacing w:line="360" w:lineRule="auto"/>
        <w:rPr>
          <w:b/>
          <w:snapToGrid w:val="0"/>
          <w:kern w:val="0"/>
          <w:sz w:val="24"/>
        </w:rPr>
      </w:pPr>
    </w:p>
    <w:sectPr>
      <w:pgSz w:w="11906" w:h="16838"/>
      <w:pgMar w:top="1440" w:right="1418" w:bottom="1276" w:left="1701" w:header="737" w:footer="680"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80AF3E-7A0F-4EF2-9DBC-2519B1A229B6}"/>
  </w:font>
  <w:font w:name="Arial">
    <w:panose1 w:val="020B0604020202020204"/>
    <w:charset w:val="01"/>
    <w:family w:val="swiss"/>
    <w:pitch w:val="default"/>
    <w:sig w:usb0="E0002EFF" w:usb1="C000785B" w:usb2="00000009" w:usb3="00000000" w:csb0="400001FF" w:csb1="FFFF0000"/>
    <w:embedRegular r:id="rId2" w:fontKey="{6146D7C9-AC07-4D70-B89D-45E81B01E3B2}"/>
  </w:font>
  <w:font w:name="黑体">
    <w:panose1 w:val="02010609060101010101"/>
    <w:charset w:val="86"/>
    <w:family w:val="auto"/>
    <w:pitch w:val="default"/>
    <w:sig w:usb0="800002BF" w:usb1="38CF7CFA" w:usb2="00000016" w:usb3="00000000" w:csb0="00040001" w:csb1="00000000"/>
    <w:embedRegular r:id="rId3" w:fontKey="{609B80F6-8213-40BD-8A4F-B03E462DFB6C}"/>
  </w:font>
  <w:font w:name="Courier New">
    <w:panose1 w:val="02070309020205020404"/>
    <w:charset w:val="01"/>
    <w:family w:val="modern"/>
    <w:pitch w:val="default"/>
    <w:sig w:usb0="E0002EFF" w:usb1="C0007843" w:usb2="00000009" w:usb3="00000000" w:csb0="400001FF" w:csb1="FFFF0000"/>
    <w:embedRegular r:id="rId4" w:fontKey="{ABF9EB66-5EF7-4377-A3BD-F99B7BAB1FB2}"/>
  </w:font>
  <w:font w:name="Symbol">
    <w:panose1 w:val="05050102010706020507"/>
    <w:charset w:val="02"/>
    <w:family w:val="roman"/>
    <w:pitch w:val="default"/>
    <w:sig w:usb0="00000000" w:usb1="00000000" w:usb2="00000000" w:usb3="00000000" w:csb0="80000000" w:csb1="00000000"/>
    <w:embedRegular r:id="rId5" w:fontKey="{A264AC96-D2BD-4F84-ACF0-1DA6755EADB9}"/>
  </w:font>
  <w:font w:name="Calibri">
    <w:panose1 w:val="020F0502020204030204"/>
    <w:charset w:val="00"/>
    <w:family w:val="swiss"/>
    <w:pitch w:val="default"/>
    <w:sig w:usb0="E4002EFF" w:usb1="C000247B" w:usb2="00000009" w:usb3="00000000" w:csb0="200001FF" w:csb1="00000000"/>
    <w:embedRegular r:id="rId6" w:fontKey="{B7D12FB7-80E8-4B0E-85D8-A228243F76D1}"/>
  </w:font>
  <w:font w:name="等线">
    <w:panose1 w:val="02010600030101010101"/>
    <w:charset w:val="86"/>
    <w:family w:val="auto"/>
    <w:pitch w:val="default"/>
    <w:sig w:usb0="A00002BF" w:usb1="38CF7CFA" w:usb2="00000016" w:usb3="00000000" w:csb0="0004000F" w:csb1="00000000"/>
    <w:embedRegular r:id="rId7" w:fontKey="{EB1FAA26-4D7F-433F-AF52-93D8C461A661}"/>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embedRegular r:id="rId8" w:fontKey="{B59C967D-016E-48C6-AE9D-E76B899B229B}"/>
  </w:font>
  <w:font w:name="楷体">
    <w:panose1 w:val="02010609060101010101"/>
    <w:charset w:val="86"/>
    <w:family w:val="modern"/>
    <w:pitch w:val="default"/>
    <w:sig w:usb0="800002BF" w:usb1="38CF7CFA" w:usb2="00000016" w:usb3="00000000" w:csb0="00040001" w:csb1="00000000"/>
  </w:font>
  <w:font w:name="方正黑体_GBK">
    <w:panose1 w:val="02000000000000000000"/>
    <w:charset w:val="86"/>
    <w:family w:val="auto"/>
    <w:pitch w:val="default"/>
    <w:sig w:usb0="A00002BF" w:usb1="38CF7CFA" w:usb2="00082016" w:usb3="00000000" w:csb0="00040001" w:csb1="00000000"/>
    <w:embedRegular r:id="rId9" w:fontKey="{8A8303C7-D650-46E9-815A-9D1655C0E521}"/>
  </w:font>
  <w:font w:name="仿宋">
    <w:panose1 w:val="02010609060101010101"/>
    <w:charset w:val="86"/>
    <w:family w:val="modern"/>
    <w:pitch w:val="default"/>
    <w:sig w:usb0="800002BF" w:usb1="38CF7CFA" w:usb2="00000016" w:usb3="00000000" w:csb0="00040001" w:csb1="00000000"/>
    <w:embedRegular r:id="rId10" w:fontKey="{F1EB4D46-7954-42D3-BA87-F49011C73E71}"/>
  </w:font>
  <w:font w:name="仿宋_GB2312">
    <w:panose1 w:val="02010609030101010101"/>
    <w:charset w:val="86"/>
    <w:family w:val="modern"/>
    <w:pitch w:val="default"/>
    <w:sig w:usb0="00000001" w:usb1="080E0000" w:usb2="00000000" w:usb3="00000000" w:csb0="00040000" w:csb1="00000000"/>
    <w:embedRegular r:id="rId11" w:fontKey="{8E43E49E-4E4F-4275-B1C3-1707AE5B5A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7728812"/>
    </w:sdtPr>
    <w:sdtContent>
      <w:p w14:paraId="783DEBD3">
        <w:pPr>
          <w:pStyle w:val="18"/>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C788A">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9439502"/>
    </w:sdtPr>
    <w:sdtContent>
      <w:p w14:paraId="67186D4A">
        <w:pPr>
          <w:pStyle w:val="18"/>
          <w:jc w:val="right"/>
        </w:pPr>
        <w:r>
          <w:fldChar w:fldCharType="begin"/>
        </w:r>
        <w:r>
          <w:instrText xml:space="preserve">PAGE   \* MERGEFORMAT</w:instrText>
        </w:r>
        <w:r>
          <w:fldChar w:fldCharType="separate"/>
        </w:r>
        <w:r>
          <w:rPr>
            <w:lang w:val="zh-CN"/>
          </w:rPr>
          <w:t>2</w:t>
        </w:r>
        <w:r>
          <w:fldChar w:fldCharType="end"/>
        </w:r>
      </w:p>
    </w:sdtContent>
  </w:sdt>
  <w:p w14:paraId="2F25AD64">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5400104"/>
    </w:sdtPr>
    <w:sdtContent>
      <w:p w14:paraId="7BA6F44B">
        <w:pPr>
          <w:pStyle w:val="18"/>
          <w:jc w:val="right"/>
        </w:pPr>
        <w:r>
          <w:fldChar w:fldCharType="begin"/>
        </w:r>
        <w:r>
          <w:instrText xml:space="preserve">PAGE   \* MERGEFORMAT</w:instrText>
        </w:r>
        <w:r>
          <w:fldChar w:fldCharType="separate"/>
        </w:r>
        <w:r>
          <w:rPr>
            <w:lang w:val="zh-CN"/>
          </w:rPr>
          <w:t>2</w:t>
        </w:r>
        <w:r>
          <w:fldChar w:fldCharType="end"/>
        </w:r>
      </w:p>
    </w:sdtContent>
  </w:sdt>
  <w:p w14:paraId="4EF6DE00">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67BF5">
    <w:pPr>
      <w:pStyle w:val="19"/>
      <w:pBdr>
        <w:bottom w:val="none" w:color="auto" w:sz="0" w:space="0"/>
      </w:pBdr>
      <w:adjustRightInd w:val="0"/>
      <w:jc w:val="right"/>
    </w:pPr>
    <w:r>
      <w:t>DB</w:t>
    </w:r>
    <w:r>
      <w:rPr>
        <w:rFonts w:hint="eastAsia"/>
      </w:rPr>
      <w:t>11/T XXX-202x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1FFEC">
    <w:pPr>
      <w:pStyle w:val="19"/>
      <w:pBdr>
        <w:bottom w:val="none" w:color="auto" w:sz="0" w:space="0"/>
      </w:pBdr>
      <w:adjustRightInd w:val="0"/>
      <w:jc w:val="right"/>
    </w:pPr>
    <w:r>
      <w:t>DB</w:t>
    </w:r>
    <w:r>
      <w:rPr>
        <w:rFonts w:hint="eastAsia"/>
      </w:rPr>
      <w:t>11/T XXX-202x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F23CE8"/>
    <w:multiLevelType w:val="multilevel"/>
    <w:tmpl w:val="09F23CE8"/>
    <w:lvl w:ilvl="0" w:tentative="0">
      <w:start w:val="1"/>
      <w:numFmt w:val="decimal"/>
      <w:suff w:val="space"/>
      <w:lvlText w:val="%1) "/>
      <w:lvlJc w:val="left"/>
      <w:pPr>
        <w:ind w:left="0" w:firstLine="454"/>
      </w:pPr>
      <w:rPr>
        <w:rFonts w:hint="eastAsia"/>
        <w:b/>
        <w:bCs/>
      </w:rPr>
    </w:lvl>
    <w:lvl w:ilvl="1" w:tentative="0">
      <w:start w:val="1"/>
      <w:numFmt w:val="lowerLetter"/>
      <w:lvlText w:val="%2)"/>
      <w:lvlJc w:val="left"/>
      <w:pPr>
        <w:ind w:left="1260" w:hanging="420"/>
      </w:pPr>
      <w:rPr>
        <w:rFonts w:hint="eastAsia"/>
      </w:rPr>
    </w:lvl>
    <w:lvl w:ilvl="2" w:tentative="0">
      <w:start w:val="1"/>
      <w:numFmt w:val="decimal"/>
      <w:lvlText w:val="%3) "/>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decimal"/>
      <w:pStyle w:val="98"/>
      <w:suff w:val="space"/>
      <w:lvlText w:val="%5) "/>
      <w:lvlJc w:val="left"/>
      <w:pPr>
        <w:ind w:left="0" w:firstLine="454"/>
      </w:pPr>
      <w:rPr>
        <w:rFonts w:hint="default" w:ascii="Times New Roman" w:hAnsi="Times New Roman"/>
        <w:b/>
        <w:i w:val="0"/>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
    <w:nsid w:val="14DB3EEF"/>
    <w:multiLevelType w:val="multilevel"/>
    <w:tmpl w:val="14DB3EEF"/>
    <w:lvl w:ilvl="0" w:tentative="0">
      <w:start w:val="1"/>
      <w:numFmt w:val="decimal"/>
      <w:pStyle w:val="102"/>
      <w:lvlText w:val="%1"/>
      <w:lvlJc w:val="left"/>
      <w:pPr>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0BA103C"/>
    <w:multiLevelType w:val="multilevel"/>
    <w:tmpl w:val="30BA103C"/>
    <w:lvl w:ilvl="0" w:tentative="0">
      <w:start w:val="1"/>
      <w:numFmt w:val="decimal"/>
      <w:suff w:val="space"/>
      <w:lvlText w:val="%1 "/>
      <w:lvlJc w:val="center"/>
      <w:pPr>
        <w:ind w:left="0" w:firstLine="0"/>
      </w:pPr>
      <w:rPr>
        <w:rFonts w:hint="default" w:ascii="Times New Roman" w:hAnsi="Times New Roman" w:eastAsia="宋体"/>
        <w:b/>
        <w:i w:val="0"/>
        <w:sz w:val="30"/>
        <w:szCs w:val="18"/>
      </w:rPr>
    </w:lvl>
    <w:lvl w:ilvl="1" w:tentative="0">
      <w:start w:val="1"/>
      <w:numFmt w:val="lowerLetter"/>
      <w:lvlText w:val="（%2）"/>
      <w:lvlJc w:val="left"/>
      <w:pPr>
        <w:ind w:left="720" w:hanging="720"/>
      </w:pPr>
      <w:rPr>
        <w:rFonts w:hint="default"/>
      </w:rPr>
    </w:lvl>
    <w:lvl w:ilvl="2" w:tentative="0">
      <w:start w:val="1"/>
      <w:numFmt w:val="decimal"/>
      <w:suff w:val="space"/>
      <w:lvlText w:val="%1.0.%3 "/>
      <w:lvlJc w:val="left"/>
      <w:pPr>
        <w:ind w:left="0" w:firstLine="0"/>
      </w:pPr>
      <w:rPr>
        <w:rFonts w:hint="default" w:ascii="Times New Roman" w:hAnsi="Times New Roman"/>
        <w:b/>
        <w:i w:val="0"/>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39180713"/>
    <w:multiLevelType w:val="multilevel"/>
    <w:tmpl w:val="39180713"/>
    <w:lvl w:ilvl="0" w:tentative="0">
      <w:start w:val="1"/>
      <w:numFmt w:val="upperLetter"/>
      <w:pStyle w:val="81"/>
      <w:suff w:val="space"/>
      <w:lvlText w:val="附录%1 "/>
      <w:lvlJc w:val="center"/>
      <w:pPr>
        <w:ind w:left="0" w:firstLine="0"/>
      </w:pPr>
      <w:rPr>
        <w:rFonts w:hint="default" w:ascii="Times New Roman" w:hAnsi="Times New Roman" w:eastAsia="宋体"/>
        <w:b/>
        <w:i w:val="0"/>
        <w:sz w:val="30"/>
        <w:szCs w:val="18"/>
      </w:rPr>
    </w:lvl>
    <w:lvl w:ilvl="1" w:tentative="0">
      <w:start w:val="1"/>
      <w:numFmt w:val="decimal"/>
      <w:suff w:val="space"/>
      <w:lvlText w:val="%1.%2 "/>
      <w:lvlJc w:val="center"/>
      <w:pPr>
        <w:ind w:left="0" w:firstLine="0"/>
      </w:pPr>
      <w:rPr>
        <w:rFonts w:hint="default" w:ascii="Times New Roman" w:hAnsi="Times New Roman" w:eastAsia="宋体"/>
        <w:b/>
        <w:i w:val="0"/>
        <w:sz w:val="28"/>
      </w:rPr>
    </w:lvl>
    <w:lvl w:ilvl="2" w:tentative="0">
      <w:start w:val="1"/>
      <w:numFmt w:val="decimal"/>
      <w:lvlRestart w:val="1"/>
      <w:suff w:val="space"/>
      <w:lvlText w:val="%1.0.%3 "/>
      <w:lvlJc w:val="left"/>
      <w:pPr>
        <w:ind w:left="0" w:firstLine="0"/>
      </w:pPr>
      <w:rPr>
        <w:rFonts w:hint="default" w:ascii="Times New Roman" w:hAnsi="Times New Roman"/>
        <w:b/>
        <w:i w:val="0"/>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510876C2"/>
    <w:multiLevelType w:val="multilevel"/>
    <w:tmpl w:val="510876C2"/>
    <w:lvl w:ilvl="0" w:tentative="0">
      <w:start w:val="3"/>
      <w:numFmt w:val="decimal"/>
      <w:suff w:val="space"/>
      <w:lvlText w:val="%1 "/>
      <w:lvlJc w:val="center"/>
      <w:pPr>
        <w:ind w:left="0" w:firstLine="0"/>
      </w:pPr>
      <w:rPr>
        <w:rFonts w:hint="default" w:ascii="Times New Roman" w:hAnsi="Times New Roman" w:eastAsia="宋体"/>
        <w:b/>
        <w:i w:val="0"/>
        <w:sz w:val="30"/>
        <w:szCs w:val="18"/>
      </w:rPr>
    </w:lvl>
    <w:lvl w:ilvl="1" w:tentative="0">
      <w:start w:val="1"/>
      <w:numFmt w:val="decimal"/>
      <w:suff w:val="space"/>
      <w:lvlText w:val="%1.%2 "/>
      <w:lvlJc w:val="center"/>
      <w:pPr>
        <w:ind w:left="0" w:firstLine="0"/>
      </w:pPr>
      <w:rPr>
        <w:rFonts w:hint="default" w:ascii="Times New Roman" w:hAnsi="Times New Roman" w:eastAsia="宋体"/>
        <w:b/>
        <w:i w:val="0"/>
        <w:sz w:val="28"/>
      </w:rPr>
    </w:lvl>
    <w:lvl w:ilvl="2" w:tentative="0">
      <w:start w:val="1"/>
      <w:numFmt w:val="decimal"/>
      <w:lvlRestart w:val="1"/>
      <w:pStyle w:val="86"/>
      <w:suff w:val="space"/>
      <w:lvlText w:val="%1.0.%3 "/>
      <w:lvlJc w:val="left"/>
      <w:pPr>
        <w:ind w:left="0" w:firstLine="0"/>
      </w:pPr>
      <w:rPr>
        <w:rFonts w:hint="default" w:ascii="Times New Roman" w:hAnsi="Times New Roman"/>
        <w:b/>
        <w:i w:val="0"/>
        <w:color w:val="auto"/>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5F575963"/>
    <w:multiLevelType w:val="multilevel"/>
    <w:tmpl w:val="5F575963"/>
    <w:lvl w:ilvl="0" w:tentative="0">
      <w:start w:val="4"/>
      <w:numFmt w:val="decimal"/>
      <w:pStyle w:val="115"/>
      <w:suff w:val="space"/>
      <w:lvlText w:val="%1"/>
      <w:lvlJc w:val="center"/>
      <w:pPr>
        <w:ind w:left="0" w:firstLine="0"/>
      </w:pPr>
      <w:rPr>
        <w:rFonts w:hint="eastAsia"/>
      </w:rPr>
    </w:lvl>
    <w:lvl w:ilvl="1" w:tentative="0">
      <w:start w:val="1"/>
      <w:numFmt w:val="decimal"/>
      <w:pStyle w:val="116"/>
      <w:suff w:val="space"/>
      <w:lvlText w:val="%1.%2"/>
      <w:lvlJc w:val="left"/>
      <w:pPr>
        <w:ind w:left="3120" w:firstLine="0"/>
      </w:pPr>
      <w:rPr>
        <w:rFonts w:hint="default" w:ascii="Times New Roman" w:hAnsi="Times New Roman" w:cs="Times New Roman"/>
        <w:b w:val="0"/>
        <w:bCs w:val="0"/>
      </w:rPr>
    </w:lvl>
    <w:lvl w:ilvl="2" w:tentative="0">
      <w:start w:val="1"/>
      <w:numFmt w:val="decimal"/>
      <w:pStyle w:val="117"/>
      <w:suff w:val="space"/>
      <w:lvlText w:val="%1.%2.%3"/>
      <w:lvlJc w:val="left"/>
      <w:pPr>
        <w:ind w:left="0" w:firstLine="0"/>
      </w:pPr>
      <w:rPr>
        <w:rFonts w:hint="default" w:ascii="Times New Roman" w:hAnsi="Times New Roman" w:cs="Times New Roman"/>
        <w:color w:val="auto"/>
      </w:rPr>
    </w:lvl>
    <w:lvl w:ilvl="3" w:tentative="0">
      <w:start w:val="1"/>
      <w:numFmt w:val="decimal"/>
      <w:pStyle w:val="118"/>
      <w:suff w:val="space"/>
      <w:lvlText w:val="%1.%2.%3.%4"/>
      <w:lvlJc w:val="left"/>
      <w:pPr>
        <w:ind w:left="284" w:firstLine="0"/>
      </w:pPr>
      <w:rPr>
        <w:rFonts w:hint="default" w:ascii="Times New Roman" w:hAnsi="Times New Roman" w:cs="Times New Roman"/>
        <w:b w:val="0"/>
        <w:i w:val="0"/>
        <w:sz w:val="24"/>
        <w:szCs w:val="24"/>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661909BA"/>
    <w:multiLevelType w:val="multilevel"/>
    <w:tmpl w:val="661909BA"/>
    <w:lvl w:ilvl="0" w:tentative="0">
      <w:start w:val="1"/>
      <w:numFmt w:val="decimal"/>
      <w:pStyle w:val="79"/>
      <w:suff w:val="space"/>
      <w:lvlText w:val="%1 "/>
      <w:lvlJc w:val="center"/>
      <w:pPr>
        <w:ind w:left="0" w:firstLine="0"/>
      </w:pPr>
      <w:rPr>
        <w:rFonts w:hint="default" w:ascii="Times New Roman" w:hAnsi="Times New Roman" w:eastAsia="宋体"/>
        <w:b/>
        <w:i w:val="0"/>
        <w:sz w:val="30"/>
        <w:szCs w:val="18"/>
      </w:rPr>
    </w:lvl>
    <w:lvl w:ilvl="1" w:tentative="0">
      <w:start w:val="1"/>
      <w:numFmt w:val="decimal"/>
      <w:pStyle w:val="85"/>
      <w:suff w:val="space"/>
      <w:lvlText w:val="%1.%2 "/>
      <w:lvlJc w:val="center"/>
      <w:pPr>
        <w:ind w:left="0" w:firstLine="0"/>
      </w:pPr>
      <w:rPr>
        <w:rFonts w:hint="default" w:ascii="Times New Roman" w:hAnsi="Times New Roman" w:eastAsia="宋体"/>
        <w:b/>
        <w:i w:val="0"/>
        <w:sz w:val="28"/>
      </w:rPr>
    </w:lvl>
    <w:lvl w:ilvl="2" w:tentative="0">
      <w:start w:val="1"/>
      <w:numFmt w:val="decimal"/>
      <w:pStyle w:val="90"/>
      <w:suff w:val="space"/>
      <w:lvlText w:val="%1.%2.%3 "/>
      <w:lvlJc w:val="left"/>
      <w:pPr>
        <w:ind w:left="0" w:firstLine="0"/>
      </w:pPr>
      <w:rPr>
        <w:rFonts w:hint="default" w:ascii="Times New Roman" w:hAnsi="Times New Roman"/>
        <w:b/>
        <w:bCs/>
        <w:i w:val="0"/>
        <w:strike w:val="0"/>
        <w:color w:val="auto"/>
      </w:rPr>
    </w:lvl>
    <w:lvl w:ilvl="3" w:tentative="0">
      <w:start w:val="1"/>
      <w:numFmt w:val="decimal"/>
      <w:pStyle w:val="93"/>
      <w:suff w:val="space"/>
      <w:lvlText w:val="%4 "/>
      <w:lvlJc w:val="left"/>
      <w:pPr>
        <w:ind w:left="114" w:firstLine="454"/>
      </w:pPr>
      <w:rPr>
        <w:b/>
        <w:bCs/>
        <w:color w:val="auto"/>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6"/>
  </w:num>
  <w:num w:numId="2">
    <w:abstractNumId w:val="3"/>
  </w:num>
  <w:num w:numId="3">
    <w:abstractNumId w:val="4"/>
  </w:num>
  <w:num w:numId="4">
    <w:abstractNumId w:val="2"/>
    <w:lvlOverride w:ilvl="0">
      <w:lvl w:ilvl="0" w:tentative="1">
        <w:start w:val="1"/>
        <w:numFmt w:val="decimal"/>
        <w:suff w:val="space"/>
        <w:lvlText w:val="%1 "/>
        <w:lvlJc w:val="center"/>
        <w:pPr>
          <w:ind w:left="0" w:firstLine="0"/>
        </w:pPr>
        <w:rPr>
          <w:rFonts w:hint="default" w:ascii="Times New Roman" w:hAnsi="Times New Roman" w:eastAsia="宋体"/>
          <w:b/>
          <w:i w:val="0"/>
          <w:sz w:val="30"/>
          <w:szCs w:val="18"/>
        </w:rPr>
      </w:lvl>
    </w:lvlOverride>
    <w:lvlOverride w:ilvl="1">
      <w:lvl w:ilvl="1" w:tentative="1">
        <w:start w:val="1"/>
        <w:numFmt w:val="decimal"/>
        <w:lvlRestart w:val="0"/>
        <w:suff w:val="space"/>
        <w:lvlText w:val="%1.%2 "/>
        <w:lvlJc w:val="center"/>
        <w:pPr>
          <w:ind w:left="0" w:firstLine="0"/>
        </w:pPr>
        <w:rPr>
          <w:rFonts w:hint="default" w:ascii="Times New Roman" w:hAnsi="Times New Roman" w:eastAsia="宋体"/>
          <w:b/>
          <w:i w:val="0"/>
          <w:sz w:val="28"/>
        </w:rPr>
      </w:lvl>
    </w:lvlOverride>
    <w:lvlOverride w:ilvl="2">
      <w:lvl w:ilvl="2" w:tentative="1">
        <w:start w:val="1"/>
        <w:numFmt w:val="decimal"/>
        <w:lvlRestart w:val="1"/>
        <w:pStyle w:val="91"/>
        <w:suff w:val="space"/>
        <w:lvlText w:val="%1.0.%3 "/>
        <w:lvlJc w:val="left"/>
        <w:pPr>
          <w:ind w:left="0" w:firstLine="0"/>
        </w:pPr>
        <w:rPr>
          <w:rFonts w:hint="default" w:ascii="Times New Roman" w:hAnsi="Times New Roman"/>
          <w:b/>
          <w:i w:val="0"/>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D1F"/>
    <w:rsid w:val="00000870"/>
    <w:rsid w:val="00002896"/>
    <w:rsid w:val="00004A21"/>
    <w:rsid w:val="00005C7E"/>
    <w:rsid w:val="000062AD"/>
    <w:rsid w:val="0000769E"/>
    <w:rsid w:val="00007DC9"/>
    <w:rsid w:val="00011EA2"/>
    <w:rsid w:val="000149D4"/>
    <w:rsid w:val="00014A9E"/>
    <w:rsid w:val="00015625"/>
    <w:rsid w:val="000170B1"/>
    <w:rsid w:val="00023497"/>
    <w:rsid w:val="00024ACD"/>
    <w:rsid w:val="00024F78"/>
    <w:rsid w:val="0002561E"/>
    <w:rsid w:val="00026120"/>
    <w:rsid w:val="00033DF7"/>
    <w:rsid w:val="00041FBD"/>
    <w:rsid w:val="00042EA1"/>
    <w:rsid w:val="000440FB"/>
    <w:rsid w:val="00044C3F"/>
    <w:rsid w:val="00045540"/>
    <w:rsid w:val="0004627F"/>
    <w:rsid w:val="0004638D"/>
    <w:rsid w:val="000473C0"/>
    <w:rsid w:val="000502D1"/>
    <w:rsid w:val="00052AB5"/>
    <w:rsid w:val="000543A4"/>
    <w:rsid w:val="000545E5"/>
    <w:rsid w:val="00054ACB"/>
    <w:rsid w:val="00055B40"/>
    <w:rsid w:val="00056312"/>
    <w:rsid w:val="000563AB"/>
    <w:rsid w:val="0006106A"/>
    <w:rsid w:val="000643C5"/>
    <w:rsid w:val="00064400"/>
    <w:rsid w:val="000671D0"/>
    <w:rsid w:val="00067618"/>
    <w:rsid w:val="00067775"/>
    <w:rsid w:val="00070CE1"/>
    <w:rsid w:val="000731E0"/>
    <w:rsid w:val="00073D67"/>
    <w:rsid w:val="0007548C"/>
    <w:rsid w:val="00077556"/>
    <w:rsid w:val="0008070E"/>
    <w:rsid w:val="000808DF"/>
    <w:rsid w:val="00080CAB"/>
    <w:rsid w:val="000825EB"/>
    <w:rsid w:val="00082624"/>
    <w:rsid w:val="0008327C"/>
    <w:rsid w:val="000850C4"/>
    <w:rsid w:val="00085925"/>
    <w:rsid w:val="00087592"/>
    <w:rsid w:val="000905F8"/>
    <w:rsid w:val="00090C24"/>
    <w:rsid w:val="00092C92"/>
    <w:rsid w:val="000949B6"/>
    <w:rsid w:val="0009527E"/>
    <w:rsid w:val="00095900"/>
    <w:rsid w:val="000A1382"/>
    <w:rsid w:val="000A4068"/>
    <w:rsid w:val="000A633F"/>
    <w:rsid w:val="000B0B5E"/>
    <w:rsid w:val="000B0E56"/>
    <w:rsid w:val="000B172D"/>
    <w:rsid w:val="000B2466"/>
    <w:rsid w:val="000B2AE4"/>
    <w:rsid w:val="000B391A"/>
    <w:rsid w:val="000B3E14"/>
    <w:rsid w:val="000B5327"/>
    <w:rsid w:val="000B62DD"/>
    <w:rsid w:val="000C0339"/>
    <w:rsid w:val="000C0E6E"/>
    <w:rsid w:val="000C177B"/>
    <w:rsid w:val="000C2ADE"/>
    <w:rsid w:val="000C3886"/>
    <w:rsid w:val="000C4FEA"/>
    <w:rsid w:val="000D15BA"/>
    <w:rsid w:val="000D3057"/>
    <w:rsid w:val="000D3A80"/>
    <w:rsid w:val="000D4BF6"/>
    <w:rsid w:val="000D5385"/>
    <w:rsid w:val="000D7606"/>
    <w:rsid w:val="000D7CD3"/>
    <w:rsid w:val="000E1700"/>
    <w:rsid w:val="000E2DAC"/>
    <w:rsid w:val="000E2DE2"/>
    <w:rsid w:val="000E48F7"/>
    <w:rsid w:val="000E51FF"/>
    <w:rsid w:val="000E6A92"/>
    <w:rsid w:val="000E6D6D"/>
    <w:rsid w:val="000F0C86"/>
    <w:rsid w:val="000F1626"/>
    <w:rsid w:val="000F3674"/>
    <w:rsid w:val="000F38B3"/>
    <w:rsid w:val="00100146"/>
    <w:rsid w:val="001005EB"/>
    <w:rsid w:val="00100716"/>
    <w:rsid w:val="00100FE1"/>
    <w:rsid w:val="00104CD5"/>
    <w:rsid w:val="0010513F"/>
    <w:rsid w:val="00107B93"/>
    <w:rsid w:val="00107DEE"/>
    <w:rsid w:val="00112C68"/>
    <w:rsid w:val="001143E5"/>
    <w:rsid w:val="0011571D"/>
    <w:rsid w:val="00115DD5"/>
    <w:rsid w:val="00120151"/>
    <w:rsid w:val="00121386"/>
    <w:rsid w:val="001215BF"/>
    <w:rsid w:val="00121EC5"/>
    <w:rsid w:val="0012232C"/>
    <w:rsid w:val="00125A82"/>
    <w:rsid w:val="00127369"/>
    <w:rsid w:val="00131F03"/>
    <w:rsid w:val="00132D80"/>
    <w:rsid w:val="001355AB"/>
    <w:rsid w:val="00136152"/>
    <w:rsid w:val="00137523"/>
    <w:rsid w:val="00140573"/>
    <w:rsid w:val="00140730"/>
    <w:rsid w:val="001409CB"/>
    <w:rsid w:val="00142808"/>
    <w:rsid w:val="00144198"/>
    <w:rsid w:val="001447C7"/>
    <w:rsid w:val="0014644D"/>
    <w:rsid w:val="001467FC"/>
    <w:rsid w:val="00146CEF"/>
    <w:rsid w:val="00147B82"/>
    <w:rsid w:val="00150315"/>
    <w:rsid w:val="001505C9"/>
    <w:rsid w:val="0015181F"/>
    <w:rsid w:val="00151F3F"/>
    <w:rsid w:val="00152682"/>
    <w:rsid w:val="001534F1"/>
    <w:rsid w:val="0015400E"/>
    <w:rsid w:val="001549C5"/>
    <w:rsid w:val="00154BBB"/>
    <w:rsid w:val="00154C1C"/>
    <w:rsid w:val="00154FDA"/>
    <w:rsid w:val="00157378"/>
    <w:rsid w:val="00160E3C"/>
    <w:rsid w:val="00162ACB"/>
    <w:rsid w:val="00163793"/>
    <w:rsid w:val="001641D5"/>
    <w:rsid w:val="00164A11"/>
    <w:rsid w:val="0016546B"/>
    <w:rsid w:val="00166EA5"/>
    <w:rsid w:val="0016784F"/>
    <w:rsid w:val="00171659"/>
    <w:rsid w:val="00171D0B"/>
    <w:rsid w:val="0017212D"/>
    <w:rsid w:val="00172A3E"/>
    <w:rsid w:val="00172AB9"/>
    <w:rsid w:val="001743B2"/>
    <w:rsid w:val="00174547"/>
    <w:rsid w:val="001747BA"/>
    <w:rsid w:val="00175082"/>
    <w:rsid w:val="0017596D"/>
    <w:rsid w:val="001766DB"/>
    <w:rsid w:val="00176925"/>
    <w:rsid w:val="001771F3"/>
    <w:rsid w:val="00183445"/>
    <w:rsid w:val="001839E2"/>
    <w:rsid w:val="00185F0E"/>
    <w:rsid w:val="00186F83"/>
    <w:rsid w:val="00187A25"/>
    <w:rsid w:val="00191239"/>
    <w:rsid w:val="001925E9"/>
    <w:rsid w:val="00192651"/>
    <w:rsid w:val="001932E5"/>
    <w:rsid w:val="00193A05"/>
    <w:rsid w:val="00195BC9"/>
    <w:rsid w:val="00195DCD"/>
    <w:rsid w:val="00196239"/>
    <w:rsid w:val="00196929"/>
    <w:rsid w:val="001A1483"/>
    <w:rsid w:val="001A20CB"/>
    <w:rsid w:val="001A2E7F"/>
    <w:rsid w:val="001A33A2"/>
    <w:rsid w:val="001A51DD"/>
    <w:rsid w:val="001A52A5"/>
    <w:rsid w:val="001A6878"/>
    <w:rsid w:val="001B0ACB"/>
    <w:rsid w:val="001B3FEB"/>
    <w:rsid w:val="001B66B2"/>
    <w:rsid w:val="001B77F6"/>
    <w:rsid w:val="001C0626"/>
    <w:rsid w:val="001C0FAC"/>
    <w:rsid w:val="001C5219"/>
    <w:rsid w:val="001C5CCE"/>
    <w:rsid w:val="001C6325"/>
    <w:rsid w:val="001C6EC0"/>
    <w:rsid w:val="001C7A60"/>
    <w:rsid w:val="001D3565"/>
    <w:rsid w:val="001D378A"/>
    <w:rsid w:val="001D4DCC"/>
    <w:rsid w:val="001E021A"/>
    <w:rsid w:val="001E12B8"/>
    <w:rsid w:val="001E2053"/>
    <w:rsid w:val="001E243C"/>
    <w:rsid w:val="001E35D1"/>
    <w:rsid w:val="001E5165"/>
    <w:rsid w:val="001E6067"/>
    <w:rsid w:val="001E6E98"/>
    <w:rsid w:val="001E7727"/>
    <w:rsid w:val="001F0E75"/>
    <w:rsid w:val="001F1338"/>
    <w:rsid w:val="001F2BA7"/>
    <w:rsid w:val="001F4877"/>
    <w:rsid w:val="001F530F"/>
    <w:rsid w:val="001F7C70"/>
    <w:rsid w:val="001F7FC1"/>
    <w:rsid w:val="002026AE"/>
    <w:rsid w:val="00204A9A"/>
    <w:rsid w:val="00204BD4"/>
    <w:rsid w:val="00207361"/>
    <w:rsid w:val="00210BD4"/>
    <w:rsid w:val="00215208"/>
    <w:rsid w:val="00215601"/>
    <w:rsid w:val="00215BFA"/>
    <w:rsid w:val="002168DC"/>
    <w:rsid w:val="00216B12"/>
    <w:rsid w:val="00217071"/>
    <w:rsid w:val="00217FB0"/>
    <w:rsid w:val="00220141"/>
    <w:rsid w:val="00220B25"/>
    <w:rsid w:val="002211AF"/>
    <w:rsid w:val="002225B7"/>
    <w:rsid w:val="002240C1"/>
    <w:rsid w:val="00224D5C"/>
    <w:rsid w:val="00225863"/>
    <w:rsid w:val="00226FA0"/>
    <w:rsid w:val="0022730C"/>
    <w:rsid w:val="002277BD"/>
    <w:rsid w:val="00231388"/>
    <w:rsid w:val="00231479"/>
    <w:rsid w:val="002322DF"/>
    <w:rsid w:val="002323BB"/>
    <w:rsid w:val="00235C1D"/>
    <w:rsid w:val="00237564"/>
    <w:rsid w:val="00237959"/>
    <w:rsid w:val="00240199"/>
    <w:rsid w:val="00240620"/>
    <w:rsid w:val="002407F4"/>
    <w:rsid w:val="002416D4"/>
    <w:rsid w:val="0024271C"/>
    <w:rsid w:val="00250425"/>
    <w:rsid w:val="00252164"/>
    <w:rsid w:val="0025291E"/>
    <w:rsid w:val="002533DC"/>
    <w:rsid w:val="00256D90"/>
    <w:rsid w:val="0025706A"/>
    <w:rsid w:val="002601B1"/>
    <w:rsid w:val="002611A5"/>
    <w:rsid w:val="0026244E"/>
    <w:rsid w:val="00263FB2"/>
    <w:rsid w:val="00265AE2"/>
    <w:rsid w:val="0026617B"/>
    <w:rsid w:val="0026658C"/>
    <w:rsid w:val="00266B0E"/>
    <w:rsid w:val="00267C04"/>
    <w:rsid w:val="00267DE3"/>
    <w:rsid w:val="0027100B"/>
    <w:rsid w:val="0027155E"/>
    <w:rsid w:val="00271DCC"/>
    <w:rsid w:val="002722AD"/>
    <w:rsid w:val="0027304E"/>
    <w:rsid w:val="00273675"/>
    <w:rsid w:val="00275E75"/>
    <w:rsid w:val="00277722"/>
    <w:rsid w:val="002825FF"/>
    <w:rsid w:val="00283179"/>
    <w:rsid w:val="0028326D"/>
    <w:rsid w:val="00286850"/>
    <w:rsid w:val="0029194B"/>
    <w:rsid w:val="002928D0"/>
    <w:rsid w:val="00293263"/>
    <w:rsid w:val="002A0CAF"/>
    <w:rsid w:val="002A626E"/>
    <w:rsid w:val="002A68FF"/>
    <w:rsid w:val="002A7373"/>
    <w:rsid w:val="002A77D9"/>
    <w:rsid w:val="002B0F3E"/>
    <w:rsid w:val="002B21E5"/>
    <w:rsid w:val="002B2924"/>
    <w:rsid w:val="002B2F0F"/>
    <w:rsid w:val="002B6127"/>
    <w:rsid w:val="002B663F"/>
    <w:rsid w:val="002C064A"/>
    <w:rsid w:val="002C4BCA"/>
    <w:rsid w:val="002C55F7"/>
    <w:rsid w:val="002C5679"/>
    <w:rsid w:val="002C5CF4"/>
    <w:rsid w:val="002C626C"/>
    <w:rsid w:val="002D0501"/>
    <w:rsid w:val="002D084D"/>
    <w:rsid w:val="002D0936"/>
    <w:rsid w:val="002D0A4C"/>
    <w:rsid w:val="002D31BA"/>
    <w:rsid w:val="002D44FC"/>
    <w:rsid w:val="002D49A2"/>
    <w:rsid w:val="002D64B6"/>
    <w:rsid w:val="002D65CA"/>
    <w:rsid w:val="002D665D"/>
    <w:rsid w:val="002E174F"/>
    <w:rsid w:val="002E1E3B"/>
    <w:rsid w:val="002E2382"/>
    <w:rsid w:val="002E3E94"/>
    <w:rsid w:val="002E408C"/>
    <w:rsid w:val="002E55E8"/>
    <w:rsid w:val="002E6446"/>
    <w:rsid w:val="002E65C7"/>
    <w:rsid w:val="002E6AF0"/>
    <w:rsid w:val="002E7542"/>
    <w:rsid w:val="002F0531"/>
    <w:rsid w:val="002F1057"/>
    <w:rsid w:val="002F1E40"/>
    <w:rsid w:val="002F3733"/>
    <w:rsid w:val="002F39DF"/>
    <w:rsid w:val="002F5A16"/>
    <w:rsid w:val="002F6420"/>
    <w:rsid w:val="002F68B8"/>
    <w:rsid w:val="003018DA"/>
    <w:rsid w:val="00302591"/>
    <w:rsid w:val="00304357"/>
    <w:rsid w:val="003064B2"/>
    <w:rsid w:val="003073AC"/>
    <w:rsid w:val="00310661"/>
    <w:rsid w:val="003116A6"/>
    <w:rsid w:val="00312E0A"/>
    <w:rsid w:val="00313224"/>
    <w:rsid w:val="00313282"/>
    <w:rsid w:val="003146FA"/>
    <w:rsid w:val="00314FB8"/>
    <w:rsid w:val="0031657F"/>
    <w:rsid w:val="00316675"/>
    <w:rsid w:val="00316D51"/>
    <w:rsid w:val="0031770A"/>
    <w:rsid w:val="003211D7"/>
    <w:rsid w:val="00327083"/>
    <w:rsid w:val="0032768F"/>
    <w:rsid w:val="00327A8C"/>
    <w:rsid w:val="003301BB"/>
    <w:rsid w:val="00332949"/>
    <w:rsid w:val="00333AA4"/>
    <w:rsid w:val="0033459B"/>
    <w:rsid w:val="00336779"/>
    <w:rsid w:val="00336CD2"/>
    <w:rsid w:val="00341F7A"/>
    <w:rsid w:val="00346D1F"/>
    <w:rsid w:val="003476A2"/>
    <w:rsid w:val="003554B4"/>
    <w:rsid w:val="00356DC3"/>
    <w:rsid w:val="00357290"/>
    <w:rsid w:val="00360881"/>
    <w:rsid w:val="003609AD"/>
    <w:rsid w:val="00361477"/>
    <w:rsid w:val="003648F8"/>
    <w:rsid w:val="003658FE"/>
    <w:rsid w:val="0037111C"/>
    <w:rsid w:val="0038573F"/>
    <w:rsid w:val="003862AE"/>
    <w:rsid w:val="003868A0"/>
    <w:rsid w:val="00390D2A"/>
    <w:rsid w:val="0039406A"/>
    <w:rsid w:val="00395600"/>
    <w:rsid w:val="00395A9D"/>
    <w:rsid w:val="003963BB"/>
    <w:rsid w:val="00396A09"/>
    <w:rsid w:val="003A0420"/>
    <w:rsid w:val="003A50C1"/>
    <w:rsid w:val="003A55B3"/>
    <w:rsid w:val="003A5D88"/>
    <w:rsid w:val="003A70AF"/>
    <w:rsid w:val="003A7A3A"/>
    <w:rsid w:val="003B0ECF"/>
    <w:rsid w:val="003B273B"/>
    <w:rsid w:val="003B2BC6"/>
    <w:rsid w:val="003B4445"/>
    <w:rsid w:val="003B4798"/>
    <w:rsid w:val="003B4F02"/>
    <w:rsid w:val="003B520E"/>
    <w:rsid w:val="003B5B1F"/>
    <w:rsid w:val="003B6252"/>
    <w:rsid w:val="003C00FA"/>
    <w:rsid w:val="003C29C1"/>
    <w:rsid w:val="003C682D"/>
    <w:rsid w:val="003C7676"/>
    <w:rsid w:val="003D1430"/>
    <w:rsid w:val="003D242C"/>
    <w:rsid w:val="003D39ED"/>
    <w:rsid w:val="003D42BD"/>
    <w:rsid w:val="003D4879"/>
    <w:rsid w:val="003D5AF5"/>
    <w:rsid w:val="003D6023"/>
    <w:rsid w:val="003D63A8"/>
    <w:rsid w:val="003D79AB"/>
    <w:rsid w:val="003E0868"/>
    <w:rsid w:val="003E15EA"/>
    <w:rsid w:val="003E1867"/>
    <w:rsid w:val="003E4A08"/>
    <w:rsid w:val="003E5F72"/>
    <w:rsid w:val="003F1449"/>
    <w:rsid w:val="003F4399"/>
    <w:rsid w:val="003F4560"/>
    <w:rsid w:val="003F538C"/>
    <w:rsid w:val="004012D7"/>
    <w:rsid w:val="00401FA0"/>
    <w:rsid w:val="00402C1E"/>
    <w:rsid w:val="00403AEF"/>
    <w:rsid w:val="0040450C"/>
    <w:rsid w:val="0040578F"/>
    <w:rsid w:val="00405D53"/>
    <w:rsid w:val="0041253E"/>
    <w:rsid w:val="00413B6C"/>
    <w:rsid w:val="00414FE7"/>
    <w:rsid w:val="00415E3D"/>
    <w:rsid w:val="00416F39"/>
    <w:rsid w:val="00417188"/>
    <w:rsid w:val="00417616"/>
    <w:rsid w:val="00417B7A"/>
    <w:rsid w:val="00420374"/>
    <w:rsid w:val="00421815"/>
    <w:rsid w:val="0042182A"/>
    <w:rsid w:val="0042318D"/>
    <w:rsid w:val="004277C9"/>
    <w:rsid w:val="00433055"/>
    <w:rsid w:val="0043415C"/>
    <w:rsid w:val="0043448C"/>
    <w:rsid w:val="004354A4"/>
    <w:rsid w:val="0043686A"/>
    <w:rsid w:val="00436962"/>
    <w:rsid w:val="00437FCA"/>
    <w:rsid w:val="0044070E"/>
    <w:rsid w:val="0044341D"/>
    <w:rsid w:val="004461FB"/>
    <w:rsid w:val="00447BAB"/>
    <w:rsid w:val="00447CAE"/>
    <w:rsid w:val="0045036E"/>
    <w:rsid w:val="0045194E"/>
    <w:rsid w:val="00453A46"/>
    <w:rsid w:val="00453D12"/>
    <w:rsid w:val="0045431D"/>
    <w:rsid w:val="00455622"/>
    <w:rsid w:val="0045634D"/>
    <w:rsid w:val="00456C18"/>
    <w:rsid w:val="004578DF"/>
    <w:rsid w:val="004607EB"/>
    <w:rsid w:val="00461797"/>
    <w:rsid w:val="00461B46"/>
    <w:rsid w:val="00464AE9"/>
    <w:rsid w:val="004652A9"/>
    <w:rsid w:val="004659DE"/>
    <w:rsid w:val="004660D0"/>
    <w:rsid w:val="00466AB1"/>
    <w:rsid w:val="00466C8D"/>
    <w:rsid w:val="00467C76"/>
    <w:rsid w:val="004735B5"/>
    <w:rsid w:val="004748D5"/>
    <w:rsid w:val="004750F9"/>
    <w:rsid w:val="0047600D"/>
    <w:rsid w:val="00481F34"/>
    <w:rsid w:val="00481FB9"/>
    <w:rsid w:val="00483E76"/>
    <w:rsid w:val="00484253"/>
    <w:rsid w:val="004854DB"/>
    <w:rsid w:val="0048673B"/>
    <w:rsid w:val="00487579"/>
    <w:rsid w:val="00494906"/>
    <w:rsid w:val="00496443"/>
    <w:rsid w:val="004964A2"/>
    <w:rsid w:val="00496AF0"/>
    <w:rsid w:val="004A09FB"/>
    <w:rsid w:val="004A0B39"/>
    <w:rsid w:val="004A1F98"/>
    <w:rsid w:val="004B04EA"/>
    <w:rsid w:val="004B0883"/>
    <w:rsid w:val="004B1244"/>
    <w:rsid w:val="004B51F5"/>
    <w:rsid w:val="004B7583"/>
    <w:rsid w:val="004B7C03"/>
    <w:rsid w:val="004C3228"/>
    <w:rsid w:val="004C47A8"/>
    <w:rsid w:val="004D1509"/>
    <w:rsid w:val="004D2178"/>
    <w:rsid w:val="004D3E7C"/>
    <w:rsid w:val="004E0524"/>
    <w:rsid w:val="004E65CC"/>
    <w:rsid w:val="004F045C"/>
    <w:rsid w:val="004F32D5"/>
    <w:rsid w:val="004F5324"/>
    <w:rsid w:val="004F5338"/>
    <w:rsid w:val="004F6073"/>
    <w:rsid w:val="0050083A"/>
    <w:rsid w:val="00502196"/>
    <w:rsid w:val="00503118"/>
    <w:rsid w:val="0050347E"/>
    <w:rsid w:val="00503B61"/>
    <w:rsid w:val="0050416D"/>
    <w:rsid w:val="00504937"/>
    <w:rsid w:val="0050620A"/>
    <w:rsid w:val="00506430"/>
    <w:rsid w:val="00510971"/>
    <w:rsid w:val="005125D2"/>
    <w:rsid w:val="005132FD"/>
    <w:rsid w:val="005134B3"/>
    <w:rsid w:val="00513D59"/>
    <w:rsid w:val="00513E2A"/>
    <w:rsid w:val="00514D86"/>
    <w:rsid w:val="00514E96"/>
    <w:rsid w:val="005231D5"/>
    <w:rsid w:val="00523365"/>
    <w:rsid w:val="0052356D"/>
    <w:rsid w:val="00523785"/>
    <w:rsid w:val="005239B3"/>
    <w:rsid w:val="00523DCA"/>
    <w:rsid w:val="005241AB"/>
    <w:rsid w:val="0052467D"/>
    <w:rsid w:val="00525E68"/>
    <w:rsid w:val="0052616F"/>
    <w:rsid w:val="005268E3"/>
    <w:rsid w:val="00526D68"/>
    <w:rsid w:val="00527FB6"/>
    <w:rsid w:val="00534548"/>
    <w:rsid w:val="00534D4B"/>
    <w:rsid w:val="00534F5D"/>
    <w:rsid w:val="0053684F"/>
    <w:rsid w:val="0054129C"/>
    <w:rsid w:val="00541EB8"/>
    <w:rsid w:val="005420FD"/>
    <w:rsid w:val="0054356E"/>
    <w:rsid w:val="00550059"/>
    <w:rsid w:val="0055452F"/>
    <w:rsid w:val="00555346"/>
    <w:rsid w:val="0055535D"/>
    <w:rsid w:val="0055573B"/>
    <w:rsid w:val="00557182"/>
    <w:rsid w:val="0056616C"/>
    <w:rsid w:val="005710A0"/>
    <w:rsid w:val="00573427"/>
    <w:rsid w:val="005743BF"/>
    <w:rsid w:val="00575B44"/>
    <w:rsid w:val="00575CDD"/>
    <w:rsid w:val="00576907"/>
    <w:rsid w:val="00581E0D"/>
    <w:rsid w:val="00583827"/>
    <w:rsid w:val="005878F9"/>
    <w:rsid w:val="005906A4"/>
    <w:rsid w:val="00592C94"/>
    <w:rsid w:val="00592F99"/>
    <w:rsid w:val="0059553F"/>
    <w:rsid w:val="005964F6"/>
    <w:rsid w:val="00597B54"/>
    <w:rsid w:val="005A0ABB"/>
    <w:rsid w:val="005A47B8"/>
    <w:rsid w:val="005A4FF6"/>
    <w:rsid w:val="005A55EA"/>
    <w:rsid w:val="005A6055"/>
    <w:rsid w:val="005B2506"/>
    <w:rsid w:val="005B4C9B"/>
    <w:rsid w:val="005B5027"/>
    <w:rsid w:val="005B71DE"/>
    <w:rsid w:val="005C267C"/>
    <w:rsid w:val="005C29A0"/>
    <w:rsid w:val="005C3FDA"/>
    <w:rsid w:val="005C470D"/>
    <w:rsid w:val="005C5315"/>
    <w:rsid w:val="005D01EF"/>
    <w:rsid w:val="005D246D"/>
    <w:rsid w:val="005D2996"/>
    <w:rsid w:val="005D3167"/>
    <w:rsid w:val="005D39B4"/>
    <w:rsid w:val="005E162B"/>
    <w:rsid w:val="005E194C"/>
    <w:rsid w:val="005E2399"/>
    <w:rsid w:val="005E2A7C"/>
    <w:rsid w:val="005E57ED"/>
    <w:rsid w:val="005F0A18"/>
    <w:rsid w:val="005F0B58"/>
    <w:rsid w:val="005F132B"/>
    <w:rsid w:val="005F290B"/>
    <w:rsid w:val="005F3820"/>
    <w:rsid w:val="005F3F37"/>
    <w:rsid w:val="005F4CB5"/>
    <w:rsid w:val="005F510A"/>
    <w:rsid w:val="005F5548"/>
    <w:rsid w:val="005F7000"/>
    <w:rsid w:val="006013A0"/>
    <w:rsid w:val="00602098"/>
    <w:rsid w:val="006030B0"/>
    <w:rsid w:val="0060579D"/>
    <w:rsid w:val="006077FB"/>
    <w:rsid w:val="006128FD"/>
    <w:rsid w:val="00615414"/>
    <w:rsid w:val="00622270"/>
    <w:rsid w:val="00622AB2"/>
    <w:rsid w:val="00623287"/>
    <w:rsid w:val="006252D6"/>
    <w:rsid w:val="00625804"/>
    <w:rsid w:val="00625F34"/>
    <w:rsid w:val="0062604B"/>
    <w:rsid w:val="0062608E"/>
    <w:rsid w:val="006300DE"/>
    <w:rsid w:val="00632894"/>
    <w:rsid w:val="00633B83"/>
    <w:rsid w:val="006340A6"/>
    <w:rsid w:val="006345A6"/>
    <w:rsid w:val="00634F9F"/>
    <w:rsid w:val="00635251"/>
    <w:rsid w:val="00635AE7"/>
    <w:rsid w:val="00641F99"/>
    <w:rsid w:val="006434D8"/>
    <w:rsid w:val="006435E8"/>
    <w:rsid w:val="00644AE1"/>
    <w:rsid w:val="00645324"/>
    <w:rsid w:val="00645661"/>
    <w:rsid w:val="00645A8E"/>
    <w:rsid w:val="00645FE7"/>
    <w:rsid w:val="00647A85"/>
    <w:rsid w:val="00650A5A"/>
    <w:rsid w:val="00653D0B"/>
    <w:rsid w:val="006542FF"/>
    <w:rsid w:val="00654A81"/>
    <w:rsid w:val="0065570F"/>
    <w:rsid w:val="00657901"/>
    <w:rsid w:val="006606FA"/>
    <w:rsid w:val="0066247B"/>
    <w:rsid w:val="00663153"/>
    <w:rsid w:val="006646ED"/>
    <w:rsid w:val="006647D2"/>
    <w:rsid w:val="00667850"/>
    <w:rsid w:val="00667BB3"/>
    <w:rsid w:val="006717FF"/>
    <w:rsid w:val="00673CD2"/>
    <w:rsid w:val="006746BC"/>
    <w:rsid w:val="00676067"/>
    <w:rsid w:val="006760BA"/>
    <w:rsid w:val="00676AAF"/>
    <w:rsid w:val="006803E8"/>
    <w:rsid w:val="00686F7F"/>
    <w:rsid w:val="00692BBC"/>
    <w:rsid w:val="00693E4F"/>
    <w:rsid w:val="00695749"/>
    <w:rsid w:val="00696E97"/>
    <w:rsid w:val="006A00E5"/>
    <w:rsid w:val="006A02FD"/>
    <w:rsid w:val="006A1546"/>
    <w:rsid w:val="006A17AF"/>
    <w:rsid w:val="006A2635"/>
    <w:rsid w:val="006A2A57"/>
    <w:rsid w:val="006A33DA"/>
    <w:rsid w:val="006A3E40"/>
    <w:rsid w:val="006A4850"/>
    <w:rsid w:val="006B0BC7"/>
    <w:rsid w:val="006B1DEA"/>
    <w:rsid w:val="006B231C"/>
    <w:rsid w:val="006B2709"/>
    <w:rsid w:val="006B3E8C"/>
    <w:rsid w:val="006B567A"/>
    <w:rsid w:val="006B63F6"/>
    <w:rsid w:val="006B6630"/>
    <w:rsid w:val="006B7E0B"/>
    <w:rsid w:val="006C2897"/>
    <w:rsid w:val="006C37E9"/>
    <w:rsid w:val="006C5237"/>
    <w:rsid w:val="006C64BE"/>
    <w:rsid w:val="006C6505"/>
    <w:rsid w:val="006D1301"/>
    <w:rsid w:val="006D172B"/>
    <w:rsid w:val="006D2331"/>
    <w:rsid w:val="006D371E"/>
    <w:rsid w:val="006D400D"/>
    <w:rsid w:val="006D4A31"/>
    <w:rsid w:val="006D515F"/>
    <w:rsid w:val="006D69A2"/>
    <w:rsid w:val="006E0331"/>
    <w:rsid w:val="006E1B7C"/>
    <w:rsid w:val="006E1D58"/>
    <w:rsid w:val="006E2894"/>
    <w:rsid w:val="006E2C00"/>
    <w:rsid w:val="006E2D91"/>
    <w:rsid w:val="006E3D62"/>
    <w:rsid w:val="006E6F1D"/>
    <w:rsid w:val="006E7A47"/>
    <w:rsid w:val="006F03E4"/>
    <w:rsid w:val="006F2B22"/>
    <w:rsid w:val="006F5E39"/>
    <w:rsid w:val="006F70C8"/>
    <w:rsid w:val="00701096"/>
    <w:rsid w:val="00702FF6"/>
    <w:rsid w:val="007042CE"/>
    <w:rsid w:val="00704D9F"/>
    <w:rsid w:val="00704EE1"/>
    <w:rsid w:val="00705190"/>
    <w:rsid w:val="00705A40"/>
    <w:rsid w:val="00706B46"/>
    <w:rsid w:val="00707814"/>
    <w:rsid w:val="00707A53"/>
    <w:rsid w:val="007115C9"/>
    <w:rsid w:val="00712C35"/>
    <w:rsid w:val="007143AE"/>
    <w:rsid w:val="00714C77"/>
    <w:rsid w:val="00714CB1"/>
    <w:rsid w:val="00716E54"/>
    <w:rsid w:val="00720E57"/>
    <w:rsid w:val="00721914"/>
    <w:rsid w:val="0072367F"/>
    <w:rsid w:val="00723CF2"/>
    <w:rsid w:val="00724D67"/>
    <w:rsid w:val="00725F3A"/>
    <w:rsid w:val="007303FD"/>
    <w:rsid w:val="007337C3"/>
    <w:rsid w:val="00734A52"/>
    <w:rsid w:val="00734D98"/>
    <w:rsid w:val="00735246"/>
    <w:rsid w:val="00735B04"/>
    <w:rsid w:val="0073792E"/>
    <w:rsid w:val="00740520"/>
    <w:rsid w:val="0074394B"/>
    <w:rsid w:val="00743B51"/>
    <w:rsid w:val="00743BBB"/>
    <w:rsid w:val="0074669B"/>
    <w:rsid w:val="007468E7"/>
    <w:rsid w:val="00746B80"/>
    <w:rsid w:val="00747CE4"/>
    <w:rsid w:val="007503E2"/>
    <w:rsid w:val="007514D2"/>
    <w:rsid w:val="007519B3"/>
    <w:rsid w:val="00752D00"/>
    <w:rsid w:val="00754B77"/>
    <w:rsid w:val="00754D8B"/>
    <w:rsid w:val="007550AC"/>
    <w:rsid w:val="007558D2"/>
    <w:rsid w:val="007559C2"/>
    <w:rsid w:val="00762DE8"/>
    <w:rsid w:val="0076361D"/>
    <w:rsid w:val="0076374E"/>
    <w:rsid w:val="0076472A"/>
    <w:rsid w:val="00764859"/>
    <w:rsid w:val="00764F5D"/>
    <w:rsid w:val="00766118"/>
    <w:rsid w:val="00766A74"/>
    <w:rsid w:val="00771B11"/>
    <w:rsid w:val="007721A5"/>
    <w:rsid w:val="0077663D"/>
    <w:rsid w:val="007776E9"/>
    <w:rsid w:val="00777A36"/>
    <w:rsid w:val="007804D5"/>
    <w:rsid w:val="00780B90"/>
    <w:rsid w:val="00781281"/>
    <w:rsid w:val="0078169B"/>
    <w:rsid w:val="007846CA"/>
    <w:rsid w:val="00784EAD"/>
    <w:rsid w:val="00785647"/>
    <w:rsid w:val="00785D9B"/>
    <w:rsid w:val="00785DCA"/>
    <w:rsid w:val="00786973"/>
    <w:rsid w:val="00790995"/>
    <w:rsid w:val="00790FCD"/>
    <w:rsid w:val="007916FE"/>
    <w:rsid w:val="00795A35"/>
    <w:rsid w:val="00795E2E"/>
    <w:rsid w:val="0079621B"/>
    <w:rsid w:val="007A2855"/>
    <w:rsid w:val="007A3A9D"/>
    <w:rsid w:val="007A3CCF"/>
    <w:rsid w:val="007A51C5"/>
    <w:rsid w:val="007B6AA0"/>
    <w:rsid w:val="007C12F1"/>
    <w:rsid w:val="007C3540"/>
    <w:rsid w:val="007C6747"/>
    <w:rsid w:val="007C7C40"/>
    <w:rsid w:val="007C7DE3"/>
    <w:rsid w:val="007C7DFB"/>
    <w:rsid w:val="007D0600"/>
    <w:rsid w:val="007D1A21"/>
    <w:rsid w:val="007D452E"/>
    <w:rsid w:val="007D4948"/>
    <w:rsid w:val="007D50E5"/>
    <w:rsid w:val="007D5B23"/>
    <w:rsid w:val="007D649B"/>
    <w:rsid w:val="007D7111"/>
    <w:rsid w:val="007E7050"/>
    <w:rsid w:val="007F1615"/>
    <w:rsid w:val="007F5297"/>
    <w:rsid w:val="007F61A2"/>
    <w:rsid w:val="007F7911"/>
    <w:rsid w:val="00801319"/>
    <w:rsid w:val="0080173A"/>
    <w:rsid w:val="00803B23"/>
    <w:rsid w:val="0080462C"/>
    <w:rsid w:val="00804C0C"/>
    <w:rsid w:val="008061F9"/>
    <w:rsid w:val="00806605"/>
    <w:rsid w:val="00806D72"/>
    <w:rsid w:val="00807DEB"/>
    <w:rsid w:val="00810C44"/>
    <w:rsid w:val="008127E8"/>
    <w:rsid w:val="008144A2"/>
    <w:rsid w:val="008178C7"/>
    <w:rsid w:val="00820B45"/>
    <w:rsid w:val="00822740"/>
    <w:rsid w:val="00822D9C"/>
    <w:rsid w:val="00823AB6"/>
    <w:rsid w:val="00825305"/>
    <w:rsid w:val="00825842"/>
    <w:rsid w:val="00826EBD"/>
    <w:rsid w:val="00827C21"/>
    <w:rsid w:val="00831B6F"/>
    <w:rsid w:val="00833F2F"/>
    <w:rsid w:val="008345D6"/>
    <w:rsid w:val="00834CAE"/>
    <w:rsid w:val="008368E7"/>
    <w:rsid w:val="0084010E"/>
    <w:rsid w:val="00842B7B"/>
    <w:rsid w:val="00843D69"/>
    <w:rsid w:val="0084433A"/>
    <w:rsid w:val="00844884"/>
    <w:rsid w:val="0084542F"/>
    <w:rsid w:val="00846545"/>
    <w:rsid w:val="0084670C"/>
    <w:rsid w:val="00846D30"/>
    <w:rsid w:val="008539E3"/>
    <w:rsid w:val="00855366"/>
    <w:rsid w:val="008560D9"/>
    <w:rsid w:val="008569ED"/>
    <w:rsid w:val="008652E1"/>
    <w:rsid w:val="008652E2"/>
    <w:rsid w:val="00865593"/>
    <w:rsid w:val="00870247"/>
    <w:rsid w:val="00871960"/>
    <w:rsid w:val="00874932"/>
    <w:rsid w:val="008757B0"/>
    <w:rsid w:val="00875BDB"/>
    <w:rsid w:val="00875CF8"/>
    <w:rsid w:val="00884F60"/>
    <w:rsid w:val="00885BED"/>
    <w:rsid w:val="008860F5"/>
    <w:rsid w:val="00886DF4"/>
    <w:rsid w:val="0089043C"/>
    <w:rsid w:val="0089101A"/>
    <w:rsid w:val="008910C2"/>
    <w:rsid w:val="00892960"/>
    <w:rsid w:val="00892C52"/>
    <w:rsid w:val="008947D2"/>
    <w:rsid w:val="00894FDE"/>
    <w:rsid w:val="00896D65"/>
    <w:rsid w:val="008A1B74"/>
    <w:rsid w:val="008A3A12"/>
    <w:rsid w:val="008A5ECC"/>
    <w:rsid w:val="008A716A"/>
    <w:rsid w:val="008A768E"/>
    <w:rsid w:val="008B3F89"/>
    <w:rsid w:val="008B5006"/>
    <w:rsid w:val="008C132E"/>
    <w:rsid w:val="008C272D"/>
    <w:rsid w:val="008C2F47"/>
    <w:rsid w:val="008C3B15"/>
    <w:rsid w:val="008C7680"/>
    <w:rsid w:val="008C77BB"/>
    <w:rsid w:val="008D5313"/>
    <w:rsid w:val="008D7B41"/>
    <w:rsid w:val="008E0BD7"/>
    <w:rsid w:val="008E0D83"/>
    <w:rsid w:val="008E2E96"/>
    <w:rsid w:val="008E3EB8"/>
    <w:rsid w:val="008E45C8"/>
    <w:rsid w:val="008E5055"/>
    <w:rsid w:val="008E6E70"/>
    <w:rsid w:val="008E784D"/>
    <w:rsid w:val="008F24D5"/>
    <w:rsid w:val="008F3530"/>
    <w:rsid w:val="00900E0D"/>
    <w:rsid w:val="009012D7"/>
    <w:rsid w:val="00902B7F"/>
    <w:rsid w:val="009031B8"/>
    <w:rsid w:val="00903743"/>
    <w:rsid w:val="0090457E"/>
    <w:rsid w:val="00905994"/>
    <w:rsid w:val="00905DC2"/>
    <w:rsid w:val="0090786A"/>
    <w:rsid w:val="0091032B"/>
    <w:rsid w:val="009103F3"/>
    <w:rsid w:val="00912C85"/>
    <w:rsid w:val="00913450"/>
    <w:rsid w:val="00913F8F"/>
    <w:rsid w:val="009143F4"/>
    <w:rsid w:val="009152A6"/>
    <w:rsid w:val="00917844"/>
    <w:rsid w:val="00922BF0"/>
    <w:rsid w:val="009230B4"/>
    <w:rsid w:val="0092514F"/>
    <w:rsid w:val="00930CC6"/>
    <w:rsid w:val="00932975"/>
    <w:rsid w:val="00934F3D"/>
    <w:rsid w:val="00935719"/>
    <w:rsid w:val="009369F0"/>
    <w:rsid w:val="009375EC"/>
    <w:rsid w:val="00942A35"/>
    <w:rsid w:val="00942F3B"/>
    <w:rsid w:val="00944056"/>
    <w:rsid w:val="009444CB"/>
    <w:rsid w:val="009447E1"/>
    <w:rsid w:val="009455AD"/>
    <w:rsid w:val="0094625D"/>
    <w:rsid w:val="00946480"/>
    <w:rsid w:val="00946D44"/>
    <w:rsid w:val="009502BC"/>
    <w:rsid w:val="009504C3"/>
    <w:rsid w:val="00950951"/>
    <w:rsid w:val="00950FC1"/>
    <w:rsid w:val="00951024"/>
    <w:rsid w:val="00951D04"/>
    <w:rsid w:val="0095280C"/>
    <w:rsid w:val="00952DC7"/>
    <w:rsid w:val="009533A0"/>
    <w:rsid w:val="00953A41"/>
    <w:rsid w:val="00953BE9"/>
    <w:rsid w:val="00954652"/>
    <w:rsid w:val="0095540F"/>
    <w:rsid w:val="0095747C"/>
    <w:rsid w:val="00960DA7"/>
    <w:rsid w:val="0096127A"/>
    <w:rsid w:val="009653CB"/>
    <w:rsid w:val="0096638D"/>
    <w:rsid w:val="0096696D"/>
    <w:rsid w:val="009701C6"/>
    <w:rsid w:val="00971B41"/>
    <w:rsid w:val="00972AF1"/>
    <w:rsid w:val="00972C99"/>
    <w:rsid w:val="00973835"/>
    <w:rsid w:val="00975F20"/>
    <w:rsid w:val="009765C3"/>
    <w:rsid w:val="00991359"/>
    <w:rsid w:val="00992E46"/>
    <w:rsid w:val="009935E1"/>
    <w:rsid w:val="00994329"/>
    <w:rsid w:val="009945C2"/>
    <w:rsid w:val="00994AFE"/>
    <w:rsid w:val="00997E13"/>
    <w:rsid w:val="009A0854"/>
    <w:rsid w:val="009A1429"/>
    <w:rsid w:val="009A1939"/>
    <w:rsid w:val="009A2F6E"/>
    <w:rsid w:val="009A6BB6"/>
    <w:rsid w:val="009A7EE7"/>
    <w:rsid w:val="009B0225"/>
    <w:rsid w:val="009B23D0"/>
    <w:rsid w:val="009B3112"/>
    <w:rsid w:val="009B3B02"/>
    <w:rsid w:val="009B3D60"/>
    <w:rsid w:val="009B4147"/>
    <w:rsid w:val="009B4F89"/>
    <w:rsid w:val="009B4FDD"/>
    <w:rsid w:val="009B736B"/>
    <w:rsid w:val="009C36F8"/>
    <w:rsid w:val="009C48CF"/>
    <w:rsid w:val="009C4FE6"/>
    <w:rsid w:val="009D07E4"/>
    <w:rsid w:val="009D084A"/>
    <w:rsid w:val="009D3522"/>
    <w:rsid w:val="009D468A"/>
    <w:rsid w:val="009D472F"/>
    <w:rsid w:val="009D4D29"/>
    <w:rsid w:val="009D635A"/>
    <w:rsid w:val="009D7D43"/>
    <w:rsid w:val="009E334C"/>
    <w:rsid w:val="009E3A00"/>
    <w:rsid w:val="009E3D98"/>
    <w:rsid w:val="009E52A7"/>
    <w:rsid w:val="009E60E8"/>
    <w:rsid w:val="009F0813"/>
    <w:rsid w:val="009F1064"/>
    <w:rsid w:val="009F315D"/>
    <w:rsid w:val="009F3CE0"/>
    <w:rsid w:val="009F5786"/>
    <w:rsid w:val="009F6583"/>
    <w:rsid w:val="009F6A36"/>
    <w:rsid w:val="009F71B8"/>
    <w:rsid w:val="009F7D75"/>
    <w:rsid w:val="00A04392"/>
    <w:rsid w:val="00A0467D"/>
    <w:rsid w:val="00A04FFE"/>
    <w:rsid w:val="00A0575A"/>
    <w:rsid w:val="00A07529"/>
    <w:rsid w:val="00A1058B"/>
    <w:rsid w:val="00A124B4"/>
    <w:rsid w:val="00A159BF"/>
    <w:rsid w:val="00A1651E"/>
    <w:rsid w:val="00A16DDA"/>
    <w:rsid w:val="00A17441"/>
    <w:rsid w:val="00A20256"/>
    <w:rsid w:val="00A208DA"/>
    <w:rsid w:val="00A213A6"/>
    <w:rsid w:val="00A22B9C"/>
    <w:rsid w:val="00A22FA1"/>
    <w:rsid w:val="00A25EB8"/>
    <w:rsid w:val="00A26147"/>
    <w:rsid w:val="00A27FB7"/>
    <w:rsid w:val="00A32B32"/>
    <w:rsid w:val="00A33C5C"/>
    <w:rsid w:val="00A34788"/>
    <w:rsid w:val="00A35267"/>
    <w:rsid w:val="00A35732"/>
    <w:rsid w:val="00A35C94"/>
    <w:rsid w:val="00A37FC1"/>
    <w:rsid w:val="00A41412"/>
    <w:rsid w:val="00A43512"/>
    <w:rsid w:val="00A45C0A"/>
    <w:rsid w:val="00A4665E"/>
    <w:rsid w:val="00A5002B"/>
    <w:rsid w:val="00A5088F"/>
    <w:rsid w:val="00A512EB"/>
    <w:rsid w:val="00A5229F"/>
    <w:rsid w:val="00A5419A"/>
    <w:rsid w:val="00A542C1"/>
    <w:rsid w:val="00A54CE5"/>
    <w:rsid w:val="00A564E6"/>
    <w:rsid w:val="00A57430"/>
    <w:rsid w:val="00A611AF"/>
    <w:rsid w:val="00A63A9E"/>
    <w:rsid w:val="00A66EC8"/>
    <w:rsid w:val="00A672E3"/>
    <w:rsid w:val="00A67AC0"/>
    <w:rsid w:val="00A737ED"/>
    <w:rsid w:val="00A740E5"/>
    <w:rsid w:val="00A7603E"/>
    <w:rsid w:val="00A76B0A"/>
    <w:rsid w:val="00A8124F"/>
    <w:rsid w:val="00A829A1"/>
    <w:rsid w:val="00A83AE2"/>
    <w:rsid w:val="00A866E9"/>
    <w:rsid w:val="00A92D17"/>
    <w:rsid w:val="00A92D71"/>
    <w:rsid w:val="00A962EA"/>
    <w:rsid w:val="00AA2379"/>
    <w:rsid w:val="00AA538B"/>
    <w:rsid w:val="00AB27C8"/>
    <w:rsid w:val="00AB2A91"/>
    <w:rsid w:val="00AB32A8"/>
    <w:rsid w:val="00AB6B92"/>
    <w:rsid w:val="00AB795E"/>
    <w:rsid w:val="00AC0706"/>
    <w:rsid w:val="00AC23E3"/>
    <w:rsid w:val="00AC3D82"/>
    <w:rsid w:val="00AD15FF"/>
    <w:rsid w:val="00AD280C"/>
    <w:rsid w:val="00AD4B80"/>
    <w:rsid w:val="00AD7FA4"/>
    <w:rsid w:val="00AE1B90"/>
    <w:rsid w:val="00AE1E08"/>
    <w:rsid w:val="00AE1EFC"/>
    <w:rsid w:val="00AE2392"/>
    <w:rsid w:val="00AE274B"/>
    <w:rsid w:val="00AE6937"/>
    <w:rsid w:val="00AF2B9D"/>
    <w:rsid w:val="00AF628E"/>
    <w:rsid w:val="00B0120D"/>
    <w:rsid w:val="00B01B07"/>
    <w:rsid w:val="00B02616"/>
    <w:rsid w:val="00B02EFE"/>
    <w:rsid w:val="00B04B36"/>
    <w:rsid w:val="00B0577E"/>
    <w:rsid w:val="00B05B8E"/>
    <w:rsid w:val="00B0601D"/>
    <w:rsid w:val="00B06A9D"/>
    <w:rsid w:val="00B06DD4"/>
    <w:rsid w:val="00B07171"/>
    <w:rsid w:val="00B07313"/>
    <w:rsid w:val="00B07843"/>
    <w:rsid w:val="00B17831"/>
    <w:rsid w:val="00B17C90"/>
    <w:rsid w:val="00B2063A"/>
    <w:rsid w:val="00B20A35"/>
    <w:rsid w:val="00B21E05"/>
    <w:rsid w:val="00B2210A"/>
    <w:rsid w:val="00B24195"/>
    <w:rsid w:val="00B246A2"/>
    <w:rsid w:val="00B24B2C"/>
    <w:rsid w:val="00B25F24"/>
    <w:rsid w:val="00B30DE0"/>
    <w:rsid w:val="00B335A2"/>
    <w:rsid w:val="00B3415B"/>
    <w:rsid w:val="00B351D5"/>
    <w:rsid w:val="00B35768"/>
    <w:rsid w:val="00B36271"/>
    <w:rsid w:val="00B4069D"/>
    <w:rsid w:val="00B42244"/>
    <w:rsid w:val="00B424EE"/>
    <w:rsid w:val="00B42E04"/>
    <w:rsid w:val="00B43A86"/>
    <w:rsid w:val="00B44E79"/>
    <w:rsid w:val="00B52E0E"/>
    <w:rsid w:val="00B5393E"/>
    <w:rsid w:val="00B53AE9"/>
    <w:rsid w:val="00B54965"/>
    <w:rsid w:val="00B56FB7"/>
    <w:rsid w:val="00B62E65"/>
    <w:rsid w:val="00B637E9"/>
    <w:rsid w:val="00B64D70"/>
    <w:rsid w:val="00B64ECA"/>
    <w:rsid w:val="00B656C0"/>
    <w:rsid w:val="00B66571"/>
    <w:rsid w:val="00B67A55"/>
    <w:rsid w:val="00B67C89"/>
    <w:rsid w:val="00B67E4E"/>
    <w:rsid w:val="00B706F7"/>
    <w:rsid w:val="00B717CE"/>
    <w:rsid w:val="00B73992"/>
    <w:rsid w:val="00B7412A"/>
    <w:rsid w:val="00B754C8"/>
    <w:rsid w:val="00B7576B"/>
    <w:rsid w:val="00B75804"/>
    <w:rsid w:val="00B77BA2"/>
    <w:rsid w:val="00B80199"/>
    <w:rsid w:val="00B80D38"/>
    <w:rsid w:val="00B81F10"/>
    <w:rsid w:val="00B82F5F"/>
    <w:rsid w:val="00B83446"/>
    <w:rsid w:val="00B8466D"/>
    <w:rsid w:val="00B86A88"/>
    <w:rsid w:val="00B87497"/>
    <w:rsid w:val="00B90966"/>
    <w:rsid w:val="00B91289"/>
    <w:rsid w:val="00B93707"/>
    <w:rsid w:val="00B944A0"/>
    <w:rsid w:val="00B962E6"/>
    <w:rsid w:val="00BA17F4"/>
    <w:rsid w:val="00BA3061"/>
    <w:rsid w:val="00BA3595"/>
    <w:rsid w:val="00BA4062"/>
    <w:rsid w:val="00BA6104"/>
    <w:rsid w:val="00BA63A7"/>
    <w:rsid w:val="00BA6F36"/>
    <w:rsid w:val="00BA7224"/>
    <w:rsid w:val="00BA7D4E"/>
    <w:rsid w:val="00BA7E12"/>
    <w:rsid w:val="00BB12BD"/>
    <w:rsid w:val="00BB1700"/>
    <w:rsid w:val="00BB372B"/>
    <w:rsid w:val="00BB7446"/>
    <w:rsid w:val="00BC2C96"/>
    <w:rsid w:val="00BC45B5"/>
    <w:rsid w:val="00BC5AF2"/>
    <w:rsid w:val="00BC768F"/>
    <w:rsid w:val="00BD0E0C"/>
    <w:rsid w:val="00BD1808"/>
    <w:rsid w:val="00BD21C6"/>
    <w:rsid w:val="00BD23EB"/>
    <w:rsid w:val="00BD3C4F"/>
    <w:rsid w:val="00BD4681"/>
    <w:rsid w:val="00BD4A40"/>
    <w:rsid w:val="00BD715B"/>
    <w:rsid w:val="00BD79F2"/>
    <w:rsid w:val="00BE16BA"/>
    <w:rsid w:val="00BE3833"/>
    <w:rsid w:val="00BE6082"/>
    <w:rsid w:val="00BE6E64"/>
    <w:rsid w:val="00BF2809"/>
    <w:rsid w:val="00BF298A"/>
    <w:rsid w:val="00BF40D1"/>
    <w:rsid w:val="00BF4FDB"/>
    <w:rsid w:val="00BF6D90"/>
    <w:rsid w:val="00C00733"/>
    <w:rsid w:val="00C00ADB"/>
    <w:rsid w:val="00C00B8F"/>
    <w:rsid w:val="00C010A4"/>
    <w:rsid w:val="00C01F15"/>
    <w:rsid w:val="00C0202B"/>
    <w:rsid w:val="00C02616"/>
    <w:rsid w:val="00C0618E"/>
    <w:rsid w:val="00C12234"/>
    <w:rsid w:val="00C13021"/>
    <w:rsid w:val="00C133F6"/>
    <w:rsid w:val="00C15047"/>
    <w:rsid w:val="00C15F5C"/>
    <w:rsid w:val="00C17457"/>
    <w:rsid w:val="00C17CC0"/>
    <w:rsid w:val="00C229EA"/>
    <w:rsid w:val="00C23AF8"/>
    <w:rsid w:val="00C24276"/>
    <w:rsid w:val="00C2465C"/>
    <w:rsid w:val="00C26192"/>
    <w:rsid w:val="00C268C2"/>
    <w:rsid w:val="00C26ED3"/>
    <w:rsid w:val="00C31F18"/>
    <w:rsid w:val="00C358D6"/>
    <w:rsid w:val="00C35A52"/>
    <w:rsid w:val="00C35AEE"/>
    <w:rsid w:val="00C3647B"/>
    <w:rsid w:val="00C419EC"/>
    <w:rsid w:val="00C426C7"/>
    <w:rsid w:val="00C42751"/>
    <w:rsid w:val="00C43E77"/>
    <w:rsid w:val="00C44903"/>
    <w:rsid w:val="00C44FC7"/>
    <w:rsid w:val="00C47A65"/>
    <w:rsid w:val="00C527E9"/>
    <w:rsid w:val="00C52BF3"/>
    <w:rsid w:val="00C5428B"/>
    <w:rsid w:val="00C54832"/>
    <w:rsid w:val="00C55091"/>
    <w:rsid w:val="00C55CCA"/>
    <w:rsid w:val="00C571A6"/>
    <w:rsid w:val="00C571E3"/>
    <w:rsid w:val="00C573D5"/>
    <w:rsid w:val="00C57FA2"/>
    <w:rsid w:val="00C600F5"/>
    <w:rsid w:val="00C60246"/>
    <w:rsid w:val="00C633D0"/>
    <w:rsid w:val="00C637FF"/>
    <w:rsid w:val="00C645D4"/>
    <w:rsid w:val="00C65ADF"/>
    <w:rsid w:val="00C6707F"/>
    <w:rsid w:val="00C716F9"/>
    <w:rsid w:val="00C7183A"/>
    <w:rsid w:val="00C71B8D"/>
    <w:rsid w:val="00C7256B"/>
    <w:rsid w:val="00C735D4"/>
    <w:rsid w:val="00C73EF1"/>
    <w:rsid w:val="00C75073"/>
    <w:rsid w:val="00C81BCF"/>
    <w:rsid w:val="00C8348A"/>
    <w:rsid w:val="00C835B0"/>
    <w:rsid w:val="00C87062"/>
    <w:rsid w:val="00C94A05"/>
    <w:rsid w:val="00C94B91"/>
    <w:rsid w:val="00C95FF8"/>
    <w:rsid w:val="00C97A8C"/>
    <w:rsid w:val="00CA12CC"/>
    <w:rsid w:val="00CA242D"/>
    <w:rsid w:val="00CA38A7"/>
    <w:rsid w:val="00CA6299"/>
    <w:rsid w:val="00CA6F2A"/>
    <w:rsid w:val="00CA7876"/>
    <w:rsid w:val="00CB1ABB"/>
    <w:rsid w:val="00CB327C"/>
    <w:rsid w:val="00CB4D45"/>
    <w:rsid w:val="00CB5580"/>
    <w:rsid w:val="00CB59B1"/>
    <w:rsid w:val="00CB6941"/>
    <w:rsid w:val="00CB7E14"/>
    <w:rsid w:val="00CC1072"/>
    <w:rsid w:val="00CC2F9E"/>
    <w:rsid w:val="00CC2FFC"/>
    <w:rsid w:val="00CC369F"/>
    <w:rsid w:val="00CC4F3D"/>
    <w:rsid w:val="00CC5A82"/>
    <w:rsid w:val="00CD0E20"/>
    <w:rsid w:val="00CD12FD"/>
    <w:rsid w:val="00CD321F"/>
    <w:rsid w:val="00CD4F43"/>
    <w:rsid w:val="00CD6FC8"/>
    <w:rsid w:val="00CE3851"/>
    <w:rsid w:val="00CE3E6C"/>
    <w:rsid w:val="00CF16CE"/>
    <w:rsid w:val="00CF2793"/>
    <w:rsid w:val="00CF2D03"/>
    <w:rsid w:val="00CF2F5F"/>
    <w:rsid w:val="00CF4DB2"/>
    <w:rsid w:val="00CF71FD"/>
    <w:rsid w:val="00D00C4A"/>
    <w:rsid w:val="00D00D28"/>
    <w:rsid w:val="00D01525"/>
    <w:rsid w:val="00D04B11"/>
    <w:rsid w:val="00D04B7D"/>
    <w:rsid w:val="00D04C65"/>
    <w:rsid w:val="00D05310"/>
    <w:rsid w:val="00D05D52"/>
    <w:rsid w:val="00D06820"/>
    <w:rsid w:val="00D14FC6"/>
    <w:rsid w:val="00D2101D"/>
    <w:rsid w:val="00D23850"/>
    <w:rsid w:val="00D23A72"/>
    <w:rsid w:val="00D2635E"/>
    <w:rsid w:val="00D270DD"/>
    <w:rsid w:val="00D3449A"/>
    <w:rsid w:val="00D41710"/>
    <w:rsid w:val="00D43AD0"/>
    <w:rsid w:val="00D446A3"/>
    <w:rsid w:val="00D45AE9"/>
    <w:rsid w:val="00D46846"/>
    <w:rsid w:val="00D50403"/>
    <w:rsid w:val="00D5104C"/>
    <w:rsid w:val="00D52163"/>
    <w:rsid w:val="00D523D6"/>
    <w:rsid w:val="00D52655"/>
    <w:rsid w:val="00D52CB6"/>
    <w:rsid w:val="00D52DAE"/>
    <w:rsid w:val="00D551D9"/>
    <w:rsid w:val="00D6013B"/>
    <w:rsid w:val="00D612EF"/>
    <w:rsid w:val="00D61EB6"/>
    <w:rsid w:val="00D61F59"/>
    <w:rsid w:val="00D64C83"/>
    <w:rsid w:val="00D65B81"/>
    <w:rsid w:val="00D70D18"/>
    <w:rsid w:val="00D71AEB"/>
    <w:rsid w:val="00D71CD9"/>
    <w:rsid w:val="00D720BC"/>
    <w:rsid w:val="00D7309C"/>
    <w:rsid w:val="00D744C2"/>
    <w:rsid w:val="00D74DD3"/>
    <w:rsid w:val="00D80C21"/>
    <w:rsid w:val="00D845CC"/>
    <w:rsid w:val="00D85414"/>
    <w:rsid w:val="00D869D3"/>
    <w:rsid w:val="00D86BD6"/>
    <w:rsid w:val="00D873B5"/>
    <w:rsid w:val="00D87C74"/>
    <w:rsid w:val="00D9011A"/>
    <w:rsid w:val="00D9022B"/>
    <w:rsid w:val="00D90BD6"/>
    <w:rsid w:val="00D91F89"/>
    <w:rsid w:val="00D91FB3"/>
    <w:rsid w:val="00D926A1"/>
    <w:rsid w:val="00D95C8E"/>
    <w:rsid w:val="00DA082D"/>
    <w:rsid w:val="00DA2465"/>
    <w:rsid w:val="00DA2CCB"/>
    <w:rsid w:val="00DA3211"/>
    <w:rsid w:val="00DA34DE"/>
    <w:rsid w:val="00DA49C1"/>
    <w:rsid w:val="00DA6A2C"/>
    <w:rsid w:val="00DA6F4A"/>
    <w:rsid w:val="00DB1F1B"/>
    <w:rsid w:val="00DB25AC"/>
    <w:rsid w:val="00DB6141"/>
    <w:rsid w:val="00DC02C3"/>
    <w:rsid w:val="00DC1BE8"/>
    <w:rsid w:val="00DC6DBB"/>
    <w:rsid w:val="00DC6DE4"/>
    <w:rsid w:val="00DD0A27"/>
    <w:rsid w:val="00DD0AC9"/>
    <w:rsid w:val="00DD2917"/>
    <w:rsid w:val="00DD343C"/>
    <w:rsid w:val="00DD40C0"/>
    <w:rsid w:val="00DD50B1"/>
    <w:rsid w:val="00DD5325"/>
    <w:rsid w:val="00DD59DE"/>
    <w:rsid w:val="00DD614B"/>
    <w:rsid w:val="00DE343A"/>
    <w:rsid w:val="00DE4EB6"/>
    <w:rsid w:val="00DE554D"/>
    <w:rsid w:val="00DE5955"/>
    <w:rsid w:val="00DE5F48"/>
    <w:rsid w:val="00DF064F"/>
    <w:rsid w:val="00DF427A"/>
    <w:rsid w:val="00DF43E6"/>
    <w:rsid w:val="00DF72F4"/>
    <w:rsid w:val="00E0190F"/>
    <w:rsid w:val="00E01D3D"/>
    <w:rsid w:val="00E03E47"/>
    <w:rsid w:val="00E04D46"/>
    <w:rsid w:val="00E06B8D"/>
    <w:rsid w:val="00E06D16"/>
    <w:rsid w:val="00E1039B"/>
    <w:rsid w:val="00E1047F"/>
    <w:rsid w:val="00E10F43"/>
    <w:rsid w:val="00E1133F"/>
    <w:rsid w:val="00E12C9D"/>
    <w:rsid w:val="00E14B18"/>
    <w:rsid w:val="00E168DD"/>
    <w:rsid w:val="00E16F8C"/>
    <w:rsid w:val="00E20590"/>
    <w:rsid w:val="00E21FA7"/>
    <w:rsid w:val="00E24D0F"/>
    <w:rsid w:val="00E254BC"/>
    <w:rsid w:val="00E34178"/>
    <w:rsid w:val="00E341B6"/>
    <w:rsid w:val="00E41AE8"/>
    <w:rsid w:val="00E41B05"/>
    <w:rsid w:val="00E44944"/>
    <w:rsid w:val="00E50B24"/>
    <w:rsid w:val="00E53258"/>
    <w:rsid w:val="00E55449"/>
    <w:rsid w:val="00E61F4A"/>
    <w:rsid w:val="00E62AE5"/>
    <w:rsid w:val="00E62EA8"/>
    <w:rsid w:val="00E648C5"/>
    <w:rsid w:val="00E655AF"/>
    <w:rsid w:val="00E65AF8"/>
    <w:rsid w:val="00E66F2B"/>
    <w:rsid w:val="00E70DA8"/>
    <w:rsid w:val="00E71265"/>
    <w:rsid w:val="00E716EF"/>
    <w:rsid w:val="00E724BA"/>
    <w:rsid w:val="00E7366C"/>
    <w:rsid w:val="00E75327"/>
    <w:rsid w:val="00E7724B"/>
    <w:rsid w:val="00E77CAB"/>
    <w:rsid w:val="00E82140"/>
    <w:rsid w:val="00E838C8"/>
    <w:rsid w:val="00E83FA6"/>
    <w:rsid w:val="00E8630D"/>
    <w:rsid w:val="00E87F09"/>
    <w:rsid w:val="00E906C5"/>
    <w:rsid w:val="00E94400"/>
    <w:rsid w:val="00E94433"/>
    <w:rsid w:val="00E9635C"/>
    <w:rsid w:val="00E97C4D"/>
    <w:rsid w:val="00E97FC3"/>
    <w:rsid w:val="00EA0B58"/>
    <w:rsid w:val="00EA25A9"/>
    <w:rsid w:val="00EA4512"/>
    <w:rsid w:val="00EA50F2"/>
    <w:rsid w:val="00EA68FF"/>
    <w:rsid w:val="00EA7E26"/>
    <w:rsid w:val="00EB0C42"/>
    <w:rsid w:val="00EB1134"/>
    <w:rsid w:val="00EB40AA"/>
    <w:rsid w:val="00EB649E"/>
    <w:rsid w:val="00EB75D3"/>
    <w:rsid w:val="00EB7894"/>
    <w:rsid w:val="00EC34C6"/>
    <w:rsid w:val="00EC7044"/>
    <w:rsid w:val="00ED06E0"/>
    <w:rsid w:val="00ED1D77"/>
    <w:rsid w:val="00ED7962"/>
    <w:rsid w:val="00EE034A"/>
    <w:rsid w:val="00EE094E"/>
    <w:rsid w:val="00EE0DFC"/>
    <w:rsid w:val="00EE3B27"/>
    <w:rsid w:val="00EE4638"/>
    <w:rsid w:val="00EE53EE"/>
    <w:rsid w:val="00EE6AF1"/>
    <w:rsid w:val="00EE6D66"/>
    <w:rsid w:val="00EF1559"/>
    <w:rsid w:val="00EF1945"/>
    <w:rsid w:val="00EF202E"/>
    <w:rsid w:val="00EF2B1E"/>
    <w:rsid w:val="00EF3C68"/>
    <w:rsid w:val="00EF74F1"/>
    <w:rsid w:val="00F00677"/>
    <w:rsid w:val="00F04144"/>
    <w:rsid w:val="00F04466"/>
    <w:rsid w:val="00F1265B"/>
    <w:rsid w:val="00F13434"/>
    <w:rsid w:val="00F14DA3"/>
    <w:rsid w:val="00F15164"/>
    <w:rsid w:val="00F1627D"/>
    <w:rsid w:val="00F2063F"/>
    <w:rsid w:val="00F2138C"/>
    <w:rsid w:val="00F31377"/>
    <w:rsid w:val="00F313AD"/>
    <w:rsid w:val="00F33CFA"/>
    <w:rsid w:val="00F34B13"/>
    <w:rsid w:val="00F35019"/>
    <w:rsid w:val="00F35EAB"/>
    <w:rsid w:val="00F35EDE"/>
    <w:rsid w:val="00F36AFA"/>
    <w:rsid w:val="00F40DAC"/>
    <w:rsid w:val="00F473EB"/>
    <w:rsid w:val="00F47C01"/>
    <w:rsid w:val="00F50B2C"/>
    <w:rsid w:val="00F5150D"/>
    <w:rsid w:val="00F52957"/>
    <w:rsid w:val="00F5512F"/>
    <w:rsid w:val="00F600A9"/>
    <w:rsid w:val="00F60A46"/>
    <w:rsid w:val="00F6216F"/>
    <w:rsid w:val="00F62794"/>
    <w:rsid w:val="00F62A27"/>
    <w:rsid w:val="00F63239"/>
    <w:rsid w:val="00F63577"/>
    <w:rsid w:val="00F638EA"/>
    <w:rsid w:val="00F63FE7"/>
    <w:rsid w:val="00F64AE5"/>
    <w:rsid w:val="00F652E0"/>
    <w:rsid w:val="00F66576"/>
    <w:rsid w:val="00F66694"/>
    <w:rsid w:val="00F710A9"/>
    <w:rsid w:val="00F74E2E"/>
    <w:rsid w:val="00F74F65"/>
    <w:rsid w:val="00F760FA"/>
    <w:rsid w:val="00F8140E"/>
    <w:rsid w:val="00F81FFB"/>
    <w:rsid w:val="00F825F0"/>
    <w:rsid w:val="00F84F68"/>
    <w:rsid w:val="00F86E3F"/>
    <w:rsid w:val="00F87EEC"/>
    <w:rsid w:val="00F87F17"/>
    <w:rsid w:val="00F9122D"/>
    <w:rsid w:val="00F9284C"/>
    <w:rsid w:val="00F929AA"/>
    <w:rsid w:val="00F95B3A"/>
    <w:rsid w:val="00F964F0"/>
    <w:rsid w:val="00FA1C44"/>
    <w:rsid w:val="00FA24FC"/>
    <w:rsid w:val="00FA4D7A"/>
    <w:rsid w:val="00FA65D5"/>
    <w:rsid w:val="00FA6FA8"/>
    <w:rsid w:val="00FB0FCE"/>
    <w:rsid w:val="00FB316E"/>
    <w:rsid w:val="00FB3361"/>
    <w:rsid w:val="00FB351B"/>
    <w:rsid w:val="00FB582F"/>
    <w:rsid w:val="00FC07DB"/>
    <w:rsid w:val="00FC2CDE"/>
    <w:rsid w:val="00FC3830"/>
    <w:rsid w:val="00FC3B9F"/>
    <w:rsid w:val="00FC3EF9"/>
    <w:rsid w:val="00FC4550"/>
    <w:rsid w:val="00FC4F48"/>
    <w:rsid w:val="00FD01E2"/>
    <w:rsid w:val="00FD058A"/>
    <w:rsid w:val="00FD22DD"/>
    <w:rsid w:val="00FD2A94"/>
    <w:rsid w:val="00FD61F9"/>
    <w:rsid w:val="00FE0D40"/>
    <w:rsid w:val="00FE20F9"/>
    <w:rsid w:val="00FE2503"/>
    <w:rsid w:val="00FE4EAA"/>
    <w:rsid w:val="00FE7978"/>
    <w:rsid w:val="00FF004C"/>
    <w:rsid w:val="00FF2896"/>
    <w:rsid w:val="00FF4253"/>
    <w:rsid w:val="00FF58D6"/>
    <w:rsid w:val="00FF5B65"/>
    <w:rsid w:val="00FF702D"/>
    <w:rsid w:val="0119677B"/>
    <w:rsid w:val="011A0334"/>
    <w:rsid w:val="01272A97"/>
    <w:rsid w:val="01303AC5"/>
    <w:rsid w:val="0179546C"/>
    <w:rsid w:val="017A6859"/>
    <w:rsid w:val="01C06EC1"/>
    <w:rsid w:val="01E05F01"/>
    <w:rsid w:val="025F02A2"/>
    <w:rsid w:val="027F6AB2"/>
    <w:rsid w:val="02AA6899"/>
    <w:rsid w:val="03075338"/>
    <w:rsid w:val="0328539C"/>
    <w:rsid w:val="03C319A1"/>
    <w:rsid w:val="05160DC5"/>
    <w:rsid w:val="053C035F"/>
    <w:rsid w:val="05483AD3"/>
    <w:rsid w:val="056830F6"/>
    <w:rsid w:val="058A7D39"/>
    <w:rsid w:val="06811936"/>
    <w:rsid w:val="069F7723"/>
    <w:rsid w:val="06AC0092"/>
    <w:rsid w:val="06BF6720"/>
    <w:rsid w:val="06C109C2"/>
    <w:rsid w:val="06DC5D25"/>
    <w:rsid w:val="06F21F49"/>
    <w:rsid w:val="06F414BC"/>
    <w:rsid w:val="071B0789"/>
    <w:rsid w:val="0777317C"/>
    <w:rsid w:val="078448D6"/>
    <w:rsid w:val="0790350F"/>
    <w:rsid w:val="07AF7E3A"/>
    <w:rsid w:val="07BD1528"/>
    <w:rsid w:val="07C624E6"/>
    <w:rsid w:val="07D93108"/>
    <w:rsid w:val="07F41CF0"/>
    <w:rsid w:val="07FE4C86"/>
    <w:rsid w:val="082877A1"/>
    <w:rsid w:val="08C6331C"/>
    <w:rsid w:val="08D44F9B"/>
    <w:rsid w:val="08EF6D10"/>
    <w:rsid w:val="092C7268"/>
    <w:rsid w:val="095011A8"/>
    <w:rsid w:val="0966027D"/>
    <w:rsid w:val="09774987"/>
    <w:rsid w:val="09EB9CBF"/>
    <w:rsid w:val="09EF451D"/>
    <w:rsid w:val="0A066684"/>
    <w:rsid w:val="0A1B17B6"/>
    <w:rsid w:val="0A95354F"/>
    <w:rsid w:val="0AA90B70"/>
    <w:rsid w:val="0AC41E4E"/>
    <w:rsid w:val="0B1D330C"/>
    <w:rsid w:val="0B301291"/>
    <w:rsid w:val="0B5F49AF"/>
    <w:rsid w:val="0B602A5E"/>
    <w:rsid w:val="0B6D6042"/>
    <w:rsid w:val="0B874B3F"/>
    <w:rsid w:val="0BF57DE5"/>
    <w:rsid w:val="0BFC03C7"/>
    <w:rsid w:val="0C66524E"/>
    <w:rsid w:val="0C6E02C3"/>
    <w:rsid w:val="0C9B7BC7"/>
    <w:rsid w:val="0CBC41B1"/>
    <w:rsid w:val="0D0A78C0"/>
    <w:rsid w:val="0D42494F"/>
    <w:rsid w:val="0D4903E8"/>
    <w:rsid w:val="0D5554CD"/>
    <w:rsid w:val="0D5A43A4"/>
    <w:rsid w:val="0D5F0F37"/>
    <w:rsid w:val="0D6E42F3"/>
    <w:rsid w:val="0D8B6C53"/>
    <w:rsid w:val="0DAF19FC"/>
    <w:rsid w:val="0DD010A1"/>
    <w:rsid w:val="0DDD6D83"/>
    <w:rsid w:val="0E650D0A"/>
    <w:rsid w:val="0E7A064A"/>
    <w:rsid w:val="0EBD2E3C"/>
    <w:rsid w:val="0F265A2B"/>
    <w:rsid w:val="0F4F432A"/>
    <w:rsid w:val="0FB51D65"/>
    <w:rsid w:val="0FC33F03"/>
    <w:rsid w:val="0FF26B15"/>
    <w:rsid w:val="10032A4E"/>
    <w:rsid w:val="10C27C84"/>
    <w:rsid w:val="10C85AC8"/>
    <w:rsid w:val="1123374F"/>
    <w:rsid w:val="112C6057"/>
    <w:rsid w:val="114309B8"/>
    <w:rsid w:val="114333A1"/>
    <w:rsid w:val="11566A2D"/>
    <w:rsid w:val="116A6B7F"/>
    <w:rsid w:val="11B35827"/>
    <w:rsid w:val="11BE2DE2"/>
    <w:rsid w:val="11E521C2"/>
    <w:rsid w:val="12072ECE"/>
    <w:rsid w:val="125E0EE8"/>
    <w:rsid w:val="128819B3"/>
    <w:rsid w:val="128F4AEF"/>
    <w:rsid w:val="1291752C"/>
    <w:rsid w:val="134E6759"/>
    <w:rsid w:val="13901C58"/>
    <w:rsid w:val="13E62E35"/>
    <w:rsid w:val="14905F74"/>
    <w:rsid w:val="149E2308"/>
    <w:rsid w:val="15035321"/>
    <w:rsid w:val="1507024F"/>
    <w:rsid w:val="15207FEF"/>
    <w:rsid w:val="15406575"/>
    <w:rsid w:val="154C5A76"/>
    <w:rsid w:val="156A35F2"/>
    <w:rsid w:val="15962639"/>
    <w:rsid w:val="15B432BF"/>
    <w:rsid w:val="15B57516"/>
    <w:rsid w:val="15D31197"/>
    <w:rsid w:val="15F80BFE"/>
    <w:rsid w:val="16115063"/>
    <w:rsid w:val="166F3475"/>
    <w:rsid w:val="16775FC6"/>
    <w:rsid w:val="16B72E6E"/>
    <w:rsid w:val="16DE6045"/>
    <w:rsid w:val="16FE3FF2"/>
    <w:rsid w:val="170B670F"/>
    <w:rsid w:val="17465999"/>
    <w:rsid w:val="17AE7940"/>
    <w:rsid w:val="17AF353E"/>
    <w:rsid w:val="17EB35E9"/>
    <w:rsid w:val="17EC6540"/>
    <w:rsid w:val="17F94A9B"/>
    <w:rsid w:val="182304F1"/>
    <w:rsid w:val="1834332A"/>
    <w:rsid w:val="185760AF"/>
    <w:rsid w:val="186645D5"/>
    <w:rsid w:val="18D312F4"/>
    <w:rsid w:val="18D419BA"/>
    <w:rsid w:val="18E20635"/>
    <w:rsid w:val="18FC0A05"/>
    <w:rsid w:val="191915B7"/>
    <w:rsid w:val="194128BC"/>
    <w:rsid w:val="199A3C5B"/>
    <w:rsid w:val="19A63C91"/>
    <w:rsid w:val="19C12348"/>
    <w:rsid w:val="19EE53CC"/>
    <w:rsid w:val="19EF40C6"/>
    <w:rsid w:val="1A564145"/>
    <w:rsid w:val="1A7D7923"/>
    <w:rsid w:val="1A8256F8"/>
    <w:rsid w:val="1A9A2172"/>
    <w:rsid w:val="1AF37BE5"/>
    <w:rsid w:val="1B083298"/>
    <w:rsid w:val="1B314747"/>
    <w:rsid w:val="1B4177AE"/>
    <w:rsid w:val="1B624351"/>
    <w:rsid w:val="1B785EC5"/>
    <w:rsid w:val="1B8F7BC0"/>
    <w:rsid w:val="1C0954E1"/>
    <w:rsid w:val="1C2C1601"/>
    <w:rsid w:val="1C2F437E"/>
    <w:rsid w:val="1C5A1121"/>
    <w:rsid w:val="1C9B0FF2"/>
    <w:rsid w:val="1CA552DF"/>
    <w:rsid w:val="1CEE4B08"/>
    <w:rsid w:val="1CEF0E8A"/>
    <w:rsid w:val="1D285BBD"/>
    <w:rsid w:val="1D2E5E27"/>
    <w:rsid w:val="1D4B20BD"/>
    <w:rsid w:val="1DA84CB7"/>
    <w:rsid w:val="1DD7570D"/>
    <w:rsid w:val="1DF93765"/>
    <w:rsid w:val="1E0036E5"/>
    <w:rsid w:val="1E0F4D36"/>
    <w:rsid w:val="1E37428D"/>
    <w:rsid w:val="1E42335E"/>
    <w:rsid w:val="1E7F12B4"/>
    <w:rsid w:val="1EC00915"/>
    <w:rsid w:val="1EDC23DC"/>
    <w:rsid w:val="1F0B19A2"/>
    <w:rsid w:val="1F184802"/>
    <w:rsid w:val="1FB92392"/>
    <w:rsid w:val="1FFEE26D"/>
    <w:rsid w:val="201D1BD0"/>
    <w:rsid w:val="203E6F7B"/>
    <w:rsid w:val="20550FEE"/>
    <w:rsid w:val="205E0777"/>
    <w:rsid w:val="20623339"/>
    <w:rsid w:val="20747CA9"/>
    <w:rsid w:val="20CD57D4"/>
    <w:rsid w:val="21045244"/>
    <w:rsid w:val="210F2D41"/>
    <w:rsid w:val="21342E16"/>
    <w:rsid w:val="216F476A"/>
    <w:rsid w:val="21BA464B"/>
    <w:rsid w:val="21DA37C8"/>
    <w:rsid w:val="21F93D33"/>
    <w:rsid w:val="228F5B46"/>
    <w:rsid w:val="22AE0FC2"/>
    <w:rsid w:val="22AF2C24"/>
    <w:rsid w:val="24805A3F"/>
    <w:rsid w:val="248A5117"/>
    <w:rsid w:val="24AA257A"/>
    <w:rsid w:val="24FC76FB"/>
    <w:rsid w:val="250749B9"/>
    <w:rsid w:val="254A2AF8"/>
    <w:rsid w:val="255F65A3"/>
    <w:rsid w:val="258C4EBE"/>
    <w:rsid w:val="259B70BD"/>
    <w:rsid w:val="25A71CF8"/>
    <w:rsid w:val="25B20DC9"/>
    <w:rsid w:val="25CE54D7"/>
    <w:rsid w:val="25EE5B79"/>
    <w:rsid w:val="27002147"/>
    <w:rsid w:val="27545EB0"/>
    <w:rsid w:val="27AC7A9A"/>
    <w:rsid w:val="27BF7A44"/>
    <w:rsid w:val="27E2170E"/>
    <w:rsid w:val="280927FB"/>
    <w:rsid w:val="28133BFD"/>
    <w:rsid w:val="281365F5"/>
    <w:rsid w:val="28915D9D"/>
    <w:rsid w:val="28DF0163"/>
    <w:rsid w:val="28FE0983"/>
    <w:rsid w:val="291C546C"/>
    <w:rsid w:val="299535BF"/>
    <w:rsid w:val="29A22F02"/>
    <w:rsid w:val="29B82726"/>
    <w:rsid w:val="29C966E1"/>
    <w:rsid w:val="2A07545B"/>
    <w:rsid w:val="2A584FCF"/>
    <w:rsid w:val="2A636B36"/>
    <w:rsid w:val="2ABA3350"/>
    <w:rsid w:val="2AE17A5A"/>
    <w:rsid w:val="2B0F6376"/>
    <w:rsid w:val="2B423C65"/>
    <w:rsid w:val="2B4D2C34"/>
    <w:rsid w:val="2B680523"/>
    <w:rsid w:val="2B934C21"/>
    <w:rsid w:val="2BE266B2"/>
    <w:rsid w:val="2C07414F"/>
    <w:rsid w:val="2C144687"/>
    <w:rsid w:val="2C3051D3"/>
    <w:rsid w:val="2C805758"/>
    <w:rsid w:val="2CAE7E10"/>
    <w:rsid w:val="2CF577ED"/>
    <w:rsid w:val="2D117E9D"/>
    <w:rsid w:val="2D250E35"/>
    <w:rsid w:val="2D296D6F"/>
    <w:rsid w:val="2DC84F02"/>
    <w:rsid w:val="2DDC7A3B"/>
    <w:rsid w:val="2E24038A"/>
    <w:rsid w:val="2E325C19"/>
    <w:rsid w:val="2E495B4E"/>
    <w:rsid w:val="2E614A8E"/>
    <w:rsid w:val="2E8A3E18"/>
    <w:rsid w:val="2E9F5C62"/>
    <w:rsid w:val="2EEB534C"/>
    <w:rsid w:val="2F307202"/>
    <w:rsid w:val="2F4C7E23"/>
    <w:rsid w:val="2F5D23E8"/>
    <w:rsid w:val="2F805A94"/>
    <w:rsid w:val="2FB63264"/>
    <w:rsid w:val="2FB96382"/>
    <w:rsid w:val="301558D9"/>
    <w:rsid w:val="30281C88"/>
    <w:rsid w:val="30C31F80"/>
    <w:rsid w:val="30E15FD8"/>
    <w:rsid w:val="30EF77DD"/>
    <w:rsid w:val="31234BB9"/>
    <w:rsid w:val="31476781"/>
    <w:rsid w:val="314C6874"/>
    <w:rsid w:val="3152520E"/>
    <w:rsid w:val="31704B31"/>
    <w:rsid w:val="319A19E5"/>
    <w:rsid w:val="319D6614"/>
    <w:rsid w:val="321D00AC"/>
    <w:rsid w:val="323668DE"/>
    <w:rsid w:val="327322EC"/>
    <w:rsid w:val="327B574B"/>
    <w:rsid w:val="32A54462"/>
    <w:rsid w:val="32A819EF"/>
    <w:rsid w:val="32B70AF4"/>
    <w:rsid w:val="32DC66F9"/>
    <w:rsid w:val="32F70DE5"/>
    <w:rsid w:val="33446DD8"/>
    <w:rsid w:val="336C43E7"/>
    <w:rsid w:val="33BD48EE"/>
    <w:rsid w:val="33BE4BF3"/>
    <w:rsid w:val="33E51355"/>
    <w:rsid w:val="34192013"/>
    <w:rsid w:val="341C3013"/>
    <w:rsid w:val="344A6670"/>
    <w:rsid w:val="348002E4"/>
    <w:rsid w:val="34873421"/>
    <w:rsid w:val="34B65AB4"/>
    <w:rsid w:val="34E32B12"/>
    <w:rsid w:val="34F60FC1"/>
    <w:rsid w:val="351E67A9"/>
    <w:rsid w:val="35355316"/>
    <w:rsid w:val="35A434F0"/>
    <w:rsid w:val="35C52CB9"/>
    <w:rsid w:val="35DF3712"/>
    <w:rsid w:val="35FC54B9"/>
    <w:rsid w:val="36010031"/>
    <w:rsid w:val="36257395"/>
    <w:rsid w:val="36712679"/>
    <w:rsid w:val="36752493"/>
    <w:rsid w:val="36DB3EF8"/>
    <w:rsid w:val="36E806D0"/>
    <w:rsid w:val="3720190B"/>
    <w:rsid w:val="37377380"/>
    <w:rsid w:val="374101FF"/>
    <w:rsid w:val="378665E9"/>
    <w:rsid w:val="37CE7E2C"/>
    <w:rsid w:val="382F62A9"/>
    <w:rsid w:val="38341B11"/>
    <w:rsid w:val="383C4522"/>
    <w:rsid w:val="38510093"/>
    <w:rsid w:val="386D261A"/>
    <w:rsid w:val="38995E18"/>
    <w:rsid w:val="38D429AD"/>
    <w:rsid w:val="395B10E5"/>
    <w:rsid w:val="39691347"/>
    <w:rsid w:val="39893797"/>
    <w:rsid w:val="398D59EA"/>
    <w:rsid w:val="3A14375E"/>
    <w:rsid w:val="3A78428B"/>
    <w:rsid w:val="3A9B5E78"/>
    <w:rsid w:val="3AB114FA"/>
    <w:rsid w:val="3ACA050B"/>
    <w:rsid w:val="3B0E7080"/>
    <w:rsid w:val="3B6C511E"/>
    <w:rsid w:val="3B81506E"/>
    <w:rsid w:val="3B893F22"/>
    <w:rsid w:val="3BE41159"/>
    <w:rsid w:val="3BF063C3"/>
    <w:rsid w:val="3BF35840"/>
    <w:rsid w:val="3C9E6664"/>
    <w:rsid w:val="3CD92D52"/>
    <w:rsid w:val="3CDC7DD5"/>
    <w:rsid w:val="3D483969"/>
    <w:rsid w:val="3D695DB9"/>
    <w:rsid w:val="3DAD7631"/>
    <w:rsid w:val="3E5B5677"/>
    <w:rsid w:val="3E5C3744"/>
    <w:rsid w:val="3E614CE2"/>
    <w:rsid w:val="3EAA3831"/>
    <w:rsid w:val="3ED71449"/>
    <w:rsid w:val="3EE17BD1"/>
    <w:rsid w:val="3F0C78DD"/>
    <w:rsid w:val="3F5B3E28"/>
    <w:rsid w:val="3FBC17D1"/>
    <w:rsid w:val="3FE23C01"/>
    <w:rsid w:val="403D52DB"/>
    <w:rsid w:val="40567718"/>
    <w:rsid w:val="409B198A"/>
    <w:rsid w:val="409C77AC"/>
    <w:rsid w:val="40A67F02"/>
    <w:rsid w:val="40CA3013"/>
    <w:rsid w:val="40D95C25"/>
    <w:rsid w:val="40EA5463"/>
    <w:rsid w:val="410A3E1E"/>
    <w:rsid w:val="410D1F55"/>
    <w:rsid w:val="411029F0"/>
    <w:rsid w:val="4127677A"/>
    <w:rsid w:val="42006BF4"/>
    <w:rsid w:val="422D7327"/>
    <w:rsid w:val="423F2993"/>
    <w:rsid w:val="42541030"/>
    <w:rsid w:val="425B7473"/>
    <w:rsid w:val="42D27F5D"/>
    <w:rsid w:val="42FE51F6"/>
    <w:rsid w:val="430E7081"/>
    <w:rsid w:val="439416B6"/>
    <w:rsid w:val="43D85DD8"/>
    <w:rsid w:val="440F5793"/>
    <w:rsid w:val="441822E7"/>
    <w:rsid w:val="44321E14"/>
    <w:rsid w:val="44760DBC"/>
    <w:rsid w:val="449768B3"/>
    <w:rsid w:val="44A63434"/>
    <w:rsid w:val="44B22E48"/>
    <w:rsid w:val="44D37FBC"/>
    <w:rsid w:val="44D71FDD"/>
    <w:rsid w:val="451E2E08"/>
    <w:rsid w:val="45464D35"/>
    <w:rsid w:val="46054AED"/>
    <w:rsid w:val="4618037D"/>
    <w:rsid w:val="465661DE"/>
    <w:rsid w:val="469D021E"/>
    <w:rsid w:val="46A46DA8"/>
    <w:rsid w:val="46E110B6"/>
    <w:rsid w:val="46FC6152"/>
    <w:rsid w:val="476843F5"/>
    <w:rsid w:val="47835CCA"/>
    <w:rsid w:val="47A24A9A"/>
    <w:rsid w:val="47CA4FE8"/>
    <w:rsid w:val="47E32C0C"/>
    <w:rsid w:val="48052CC9"/>
    <w:rsid w:val="488937B4"/>
    <w:rsid w:val="48A01238"/>
    <w:rsid w:val="48CD7844"/>
    <w:rsid w:val="491F5EC6"/>
    <w:rsid w:val="49266C27"/>
    <w:rsid w:val="495D7CF3"/>
    <w:rsid w:val="499124DA"/>
    <w:rsid w:val="499A24C2"/>
    <w:rsid w:val="49A40AFA"/>
    <w:rsid w:val="49C57BD7"/>
    <w:rsid w:val="4A0227EC"/>
    <w:rsid w:val="4A0C2D29"/>
    <w:rsid w:val="4A460BD7"/>
    <w:rsid w:val="4A83062D"/>
    <w:rsid w:val="4A8A55C1"/>
    <w:rsid w:val="4A8F4985"/>
    <w:rsid w:val="4AD650FF"/>
    <w:rsid w:val="4AEC42F5"/>
    <w:rsid w:val="4AF13892"/>
    <w:rsid w:val="4B7661AE"/>
    <w:rsid w:val="4B863FDA"/>
    <w:rsid w:val="4B88423E"/>
    <w:rsid w:val="4B9951E9"/>
    <w:rsid w:val="4B9A4F86"/>
    <w:rsid w:val="4BC936A9"/>
    <w:rsid w:val="4BCA036B"/>
    <w:rsid w:val="4BCF5981"/>
    <w:rsid w:val="4BD20BF7"/>
    <w:rsid w:val="4BDC6622"/>
    <w:rsid w:val="4C392DD9"/>
    <w:rsid w:val="4C6D6562"/>
    <w:rsid w:val="4C8134E8"/>
    <w:rsid w:val="4CC0351C"/>
    <w:rsid w:val="4CCF5376"/>
    <w:rsid w:val="4CE74F4D"/>
    <w:rsid w:val="4CF506AD"/>
    <w:rsid w:val="4D04165B"/>
    <w:rsid w:val="4D1B0752"/>
    <w:rsid w:val="4D465897"/>
    <w:rsid w:val="4D9821A7"/>
    <w:rsid w:val="4DF72F6D"/>
    <w:rsid w:val="4E5A3C43"/>
    <w:rsid w:val="4E8E7203"/>
    <w:rsid w:val="4EFE20DA"/>
    <w:rsid w:val="4F0C51A4"/>
    <w:rsid w:val="4F381A8F"/>
    <w:rsid w:val="4F7D1C01"/>
    <w:rsid w:val="4FD60AA1"/>
    <w:rsid w:val="4FF97471"/>
    <w:rsid w:val="4FFE496A"/>
    <w:rsid w:val="502033FA"/>
    <w:rsid w:val="503E4573"/>
    <w:rsid w:val="50700DB5"/>
    <w:rsid w:val="50B67110"/>
    <w:rsid w:val="50BB44C5"/>
    <w:rsid w:val="50CF3D2E"/>
    <w:rsid w:val="51071719"/>
    <w:rsid w:val="51152E2E"/>
    <w:rsid w:val="513F5357"/>
    <w:rsid w:val="51713037"/>
    <w:rsid w:val="5188653B"/>
    <w:rsid w:val="51CE2237"/>
    <w:rsid w:val="51FE5B95"/>
    <w:rsid w:val="521C2FA3"/>
    <w:rsid w:val="524E05A6"/>
    <w:rsid w:val="52666914"/>
    <w:rsid w:val="52675FDD"/>
    <w:rsid w:val="52BC6534"/>
    <w:rsid w:val="5321090F"/>
    <w:rsid w:val="535A6478"/>
    <w:rsid w:val="53695922"/>
    <w:rsid w:val="53C75195"/>
    <w:rsid w:val="53F75E90"/>
    <w:rsid w:val="541A1764"/>
    <w:rsid w:val="542720D3"/>
    <w:rsid w:val="542E520F"/>
    <w:rsid w:val="545D637F"/>
    <w:rsid w:val="545E3D46"/>
    <w:rsid w:val="548457F1"/>
    <w:rsid w:val="54952A74"/>
    <w:rsid w:val="54BE72B9"/>
    <w:rsid w:val="54C93853"/>
    <w:rsid w:val="552F123F"/>
    <w:rsid w:val="55366A71"/>
    <w:rsid w:val="55431042"/>
    <w:rsid w:val="554A6079"/>
    <w:rsid w:val="55941CD3"/>
    <w:rsid w:val="561921F5"/>
    <w:rsid w:val="56491435"/>
    <w:rsid w:val="569D7E2C"/>
    <w:rsid w:val="56AF07FD"/>
    <w:rsid w:val="56C3590E"/>
    <w:rsid w:val="56C65BD3"/>
    <w:rsid w:val="56CD5D88"/>
    <w:rsid w:val="57076E2D"/>
    <w:rsid w:val="573E39BB"/>
    <w:rsid w:val="57E3274D"/>
    <w:rsid w:val="5818420C"/>
    <w:rsid w:val="584E4915"/>
    <w:rsid w:val="585B234B"/>
    <w:rsid w:val="586A2EA1"/>
    <w:rsid w:val="589D6304"/>
    <w:rsid w:val="58CA7295"/>
    <w:rsid w:val="591470C9"/>
    <w:rsid w:val="5A1924BD"/>
    <w:rsid w:val="5A315A59"/>
    <w:rsid w:val="5A317807"/>
    <w:rsid w:val="5A495536"/>
    <w:rsid w:val="5A776E3F"/>
    <w:rsid w:val="5AE30684"/>
    <w:rsid w:val="5B2670FC"/>
    <w:rsid w:val="5B3022D8"/>
    <w:rsid w:val="5B3A093D"/>
    <w:rsid w:val="5B500161"/>
    <w:rsid w:val="5B555777"/>
    <w:rsid w:val="5B6E567F"/>
    <w:rsid w:val="5B8878FB"/>
    <w:rsid w:val="5BAC183B"/>
    <w:rsid w:val="5BB1526C"/>
    <w:rsid w:val="5C0E6052"/>
    <w:rsid w:val="5C13254E"/>
    <w:rsid w:val="5C301F83"/>
    <w:rsid w:val="5C4C6B7A"/>
    <w:rsid w:val="5C8016F6"/>
    <w:rsid w:val="5CB4600F"/>
    <w:rsid w:val="5D99194B"/>
    <w:rsid w:val="5DC06071"/>
    <w:rsid w:val="5E0D2842"/>
    <w:rsid w:val="5E512226"/>
    <w:rsid w:val="5E5E639C"/>
    <w:rsid w:val="5EB6497A"/>
    <w:rsid w:val="5EF17565"/>
    <w:rsid w:val="5F090620"/>
    <w:rsid w:val="5F4E2463"/>
    <w:rsid w:val="5F8D54E0"/>
    <w:rsid w:val="5F904FD0"/>
    <w:rsid w:val="5FAD5885"/>
    <w:rsid w:val="5FC52ECB"/>
    <w:rsid w:val="5FDBD512"/>
    <w:rsid w:val="5FDD7B77"/>
    <w:rsid w:val="603718EF"/>
    <w:rsid w:val="60567FC7"/>
    <w:rsid w:val="6065020A"/>
    <w:rsid w:val="607F03E8"/>
    <w:rsid w:val="609A1BFB"/>
    <w:rsid w:val="609A65FC"/>
    <w:rsid w:val="60A9459B"/>
    <w:rsid w:val="60AD39EA"/>
    <w:rsid w:val="60C74FBF"/>
    <w:rsid w:val="60D27156"/>
    <w:rsid w:val="60E40C97"/>
    <w:rsid w:val="60EB0864"/>
    <w:rsid w:val="61457124"/>
    <w:rsid w:val="61AA08FE"/>
    <w:rsid w:val="61B01959"/>
    <w:rsid w:val="61D22531"/>
    <w:rsid w:val="61DF27EB"/>
    <w:rsid w:val="620519DF"/>
    <w:rsid w:val="624F700C"/>
    <w:rsid w:val="62D358FF"/>
    <w:rsid w:val="62E33669"/>
    <w:rsid w:val="62F10BC0"/>
    <w:rsid w:val="632B3119"/>
    <w:rsid w:val="633C7897"/>
    <w:rsid w:val="63461D9F"/>
    <w:rsid w:val="63604CB9"/>
    <w:rsid w:val="636157B0"/>
    <w:rsid w:val="63672BE9"/>
    <w:rsid w:val="63891F79"/>
    <w:rsid w:val="63E91153"/>
    <w:rsid w:val="645759F2"/>
    <w:rsid w:val="64D70FAB"/>
    <w:rsid w:val="64EA5182"/>
    <w:rsid w:val="64F32289"/>
    <w:rsid w:val="65A65725"/>
    <w:rsid w:val="65B6475E"/>
    <w:rsid w:val="65C35A0B"/>
    <w:rsid w:val="65E20E78"/>
    <w:rsid w:val="66784438"/>
    <w:rsid w:val="668A6F3B"/>
    <w:rsid w:val="66905DD2"/>
    <w:rsid w:val="66D207EB"/>
    <w:rsid w:val="67184E28"/>
    <w:rsid w:val="672A4548"/>
    <w:rsid w:val="67502755"/>
    <w:rsid w:val="67522C1C"/>
    <w:rsid w:val="677156E7"/>
    <w:rsid w:val="67A930D3"/>
    <w:rsid w:val="67EE0AE5"/>
    <w:rsid w:val="67F3434E"/>
    <w:rsid w:val="68420E31"/>
    <w:rsid w:val="685A161B"/>
    <w:rsid w:val="688D7571"/>
    <w:rsid w:val="689A0C6D"/>
    <w:rsid w:val="689C5636"/>
    <w:rsid w:val="68E66553"/>
    <w:rsid w:val="68EA227D"/>
    <w:rsid w:val="68F630E6"/>
    <w:rsid w:val="69164798"/>
    <w:rsid w:val="697B0A9F"/>
    <w:rsid w:val="69912A6B"/>
    <w:rsid w:val="699B6A4B"/>
    <w:rsid w:val="69A6709E"/>
    <w:rsid w:val="6A0C7949"/>
    <w:rsid w:val="6A464572"/>
    <w:rsid w:val="6ACE130F"/>
    <w:rsid w:val="6B001920"/>
    <w:rsid w:val="6BB362CE"/>
    <w:rsid w:val="6BCB68C4"/>
    <w:rsid w:val="6BD149A6"/>
    <w:rsid w:val="6BD67F45"/>
    <w:rsid w:val="6BDB5825"/>
    <w:rsid w:val="6C134FBF"/>
    <w:rsid w:val="6C1C0AA5"/>
    <w:rsid w:val="6C515AE7"/>
    <w:rsid w:val="6C5339E3"/>
    <w:rsid w:val="6C661592"/>
    <w:rsid w:val="6C7517D5"/>
    <w:rsid w:val="6C922387"/>
    <w:rsid w:val="6CB542C8"/>
    <w:rsid w:val="6CD40BF2"/>
    <w:rsid w:val="6CEA21C3"/>
    <w:rsid w:val="6CF070AE"/>
    <w:rsid w:val="6CF46310"/>
    <w:rsid w:val="6D5D4DD4"/>
    <w:rsid w:val="6DA703DC"/>
    <w:rsid w:val="6DC20A4A"/>
    <w:rsid w:val="6DC70BA6"/>
    <w:rsid w:val="6DC82857"/>
    <w:rsid w:val="6E032E11"/>
    <w:rsid w:val="6E2C47C6"/>
    <w:rsid w:val="6E361008"/>
    <w:rsid w:val="6EAA06E6"/>
    <w:rsid w:val="6FD42CB7"/>
    <w:rsid w:val="700A648B"/>
    <w:rsid w:val="70235E7F"/>
    <w:rsid w:val="707C35E7"/>
    <w:rsid w:val="7121167F"/>
    <w:rsid w:val="718F158B"/>
    <w:rsid w:val="719D7503"/>
    <w:rsid w:val="72061C89"/>
    <w:rsid w:val="722F100B"/>
    <w:rsid w:val="72592EC4"/>
    <w:rsid w:val="727662A7"/>
    <w:rsid w:val="729B4506"/>
    <w:rsid w:val="72DA05E4"/>
    <w:rsid w:val="737A29B9"/>
    <w:rsid w:val="73F234EA"/>
    <w:rsid w:val="7407204A"/>
    <w:rsid w:val="74213FF1"/>
    <w:rsid w:val="742D0BE7"/>
    <w:rsid w:val="7462374B"/>
    <w:rsid w:val="747111CC"/>
    <w:rsid w:val="747800B5"/>
    <w:rsid w:val="74A844D0"/>
    <w:rsid w:val="74DA2B1D"/>
    <w:rsid w:val="74E4574A"/>
    <w:rsid w:val="750605CA"/>
    <w:rsid w:val="752C41F1"/>
    <w:rsid w:val="75416C2B"/>
    <w:rsid w:val="755D1755"/>
    <w:rsid w:val="757545F4"/>
    <w:rsid w:val="758A615C"/>
    <w:rsid w:val="75C6799B"/>
    <w:rsid w:val="75CD61DE"/>
    <w:rsid w:val="75D752AF"/>
    <w:rsid w:val="75EB48B6"/>
    <w:rsid w:val="7619624A"/>
    <w:rsid w:val="764A2481"/>
    <w:rsid w:val="76526439"/>
    <w:rsid w:val="768076F4"/>
    <w:rsid w:val="7693567A"/>
    <w:rsid w:val="769A0D1F"/>
    <w:rsid w:val="773A5AF5"/>
    <w:rsid w:val="773F135E"/>
    <w:rsid w:val="77940992"/>
    <w:rsid w:val="77AF64E3"/>
    <w:rsid w:val="77B00724"/>
    <w:rsid w:val="77F57C6E"/>
    <w:rsid w:val="782D565A"/>
    <w:rsid w:val="78570929"/>
    <w:rsid w:val="789254BD"/>
    <w:rsid w:val="792207F3"/>
    <w:rsid w:val="79297BCF"/>
    <w:rsid w:val="794B1201"/>
    <w:rsid w:val="79786DA9"/>
    <w:rsid w:val="79BB277E"/>
    <w:rsid w:val="7A2505AA"/>
    <w:rsid w:val="7A35639A"/>
    <w:rsid w:val="7A53265A"/>
    <w:rsid w:val="7ACE4ED2"/>
    <w:rsid w:val="7B416995"/>
    <w:rsid w:val="7B447168"/>
    <w:rsid w:val="7B5B24DE"/>
    <w:rsid w:val="7B7A1EE2"/>
    <w:rsid w:val="7B7EC62B"/>
    <w:rsid w:val="7BAC4AE8"/>
    <w:rsid w:val="7BF344C5"/>
    <w:rsid w:val="7C0960A0"/>
    <w:rsid w:val="7C2B2975"/>
    <w:rsid w:val="7C6C0688"/>
    <w:rsid w:val="7C8F42AE"/>
    <w:rsid w:val="7C99506C"/>
    <w:rsid w:val="7CB80829"/>
    <w:rsid w:val="7CCD11BA"/>
    <w:rsid w:val="7D0D4290"/>
    <w:rsid w:val="7D254B05"/>
    <w:rsid w:val="7D311748"/>
    <w:rsid w:val="7D5EDC0A"/>
    <w:rsid w:val="7D7111E2"/>
    <w:rsid w:val="7DBE3F5C"/>
    <w:rsid w:val="7E0A0631"/>
    <w:rsid w:val="7E22551A"/>
    <w:rsid w:val="7E382D7F"/>
    <w:rsid w:val="7E795155"/>
    <w:rsid w:val="7E7DBBA9"/>
    <w:rsid w:val="7E7F0292"/>
    <w:rsid w:val="7E891158"/>
    <w:rsid w:val="7E9D2276"/>
    <w:rsid w:val="7E9F2D29"/>
    <w:rsid w:val="7EB33BBB"/>
    <w:rsid w:val="7ED22AA7"/>
    <w:rsid w:val="7F0B16E4"/>
    <w:rsid w:val="7F271F4C"/>
    <w:rsid w:val="7F595DC7"/>
    <w:rsid w:val="7F657BBF"/>
    <w:rsid w:val="7F6D5E78"/>
    <w:rsid w:val="7F82628B"/>
    <w:rsid w:val="7F923473"/>
    <w:rsid w:val="7F9F60A4"/>
    <w:rsid w:val="7FC33C7F"/>
    <w:rsid w:val="7FCE595F"/>
    <w:rsid w:val="BBBBD545"/>
    <w:rsid w:val="DDDDBAE3"/>
    <w:rsid w:val="EE6FD36C"/>
    <w:rsid w:val="F6E61CDF"/>
    <w:rsid w:val="F95FAF9F"/>
    <w:rsid w:val="FBFAD05D"/>
    <w:rsid w:val="FCDF11D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pt" color="#800008"/>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qFormat/>
    <w:uiPriority w:val="0"/>
    <w:pPr>
      <w:keepNext/>
      <w:jc w:val="center"/>
      <w:outlineLvl w:val="0"/>
    </w:pPr>
    <w:rPr>
      <w:rFonts w:ascii="宋体" w:hAnsi="宋体"/>
      <w:b/>
      <w:kern w:val="44"/>
      <w:sz w:val="32"/>
      <w:szCs w:val="32"/>
    </w:rPr>
  </w:style>
  <w:style w:type="paragraph" w:styleId="3">
    <w:name w:val="heading 2"/>
    <w:basedOn w:val="1"/>
    <w:next w:val="1"/>
    <w:link w:val="38"/>
    <w:qFormat/>
    <w:uiPriority w:val="0"/>
    <w:pPr>
      <w:keepNext/>
      <w:keepLines/>
      <w:spacing w:before="260" w:after="260" w:line="416" w:lineRule="auto"/>
      <w:jc w:val="center"/>
      <w:outlineLvl w:val="1"/>
    </w:pPr>
    <w:rPr>
      <w:rFonts w:ascii="黑体" w:hAnsi="黑体" w:eastAsia="黑体"/>
      <w:b/>
      <w:bCs/>
      <w:sz w:val="30"/>
      <w:szCs w:val="30"/>
    </w:rPr>
  </w:style>
  <w:style w:type="paragraph" w:styleId="4">
    <w:name w:val="heading 3"/>
    <w:basedOn w:val="1"/>
    <w:next w:val="1"/>
    <w:link w:val="39"/>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9"/>
    <w:pPr>
      <w:spacing w:beforeAutospacing="1" w:afterAutospacing="1"/>
      <w:jc w:val="left"/>
      <w:outlineLvl w:val="3"/>
    </w:pPr>
    <w:rPr>
      <w:rFonts w:hint="eastAsia" w:ascii="宋体" w:hAnsi="宋体"/>
      <w:b/>
      <w:bCs/>
      <w:kern w:val="0"/>
      <w:sz w:val="24"/>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等线" w:hAnsi="等线" w:eastAsia="等线"/>
      <w:szCs w:val="22"/>
    </w:r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41"/>
    <w:qFormat/>
    <w:uiPriority w:val="0"/>
    <w:pPr>
      <w:jc w:val="left"/>
    </w:pPr>
    <w:rPr>
      <w:rFonts w:ascii="Calibri" w:hAnsi="Calibri"/>
      <w:kern w:val="0"/>
      <w:sz w:val="20"/>
      <w:lang w:val="zh-CN"/>
    </w:rPr>
  </w:style>
  <w:style w:type="paragraph" w:styleId="9">
    <w:name w:val="Body Text"/>
    <w:basedOn w:val="1"/>
    <w:semiHidden/>
    <w:qFormat/>
    <w:uiPriority w:val="0"/>
    <w:rPr>
      <w:rFonts w:eastAsia="Times New Roman"/>
      <w:sz w:val="24"/>
      <w:lang w:eastAsia="en-US"/>
    </w:rPr>
  </w:style>
  <w:style w:type="paragraph" w:styleId="10">
    <w:name w:val="Body Text Indent"/>
    <w:basedOn w:val="1"/>
    <w:link w:val="40"/>
    <w:qFormat/>
    <w:uiPriority w:val="0"/>
    <w:pPr>
      <w:ind w:firstLine="432"/>
    </w:pPr>
    <w:rPr>
      <w:rFonts w:ascii="Calibri" w:hAnsi="Calibri"/>
      <w:szCs w:val="22"/>
    </w:rPr>
  </w:style>
  <w:style w:type="paragraph" w:styleId="11">
    <w:name w:val="toc 5"/>
    <w:basedOn w:val="1"/>
    <w:next w:val="1"/>
    <w:unhideWhenUsed/>
    <w:qFormat/>
    <w:uiPriority w:val="39"/>
    <w:pPr>
      <w:ind w:left="1680" w:leftChars="800"/>
    </w:pPr>
    <w:rPr>
      <w:rFonts w:ascii="等线" w:hAnsi="等线" w:eastAsia="等线"/>
      <w:szCs w:val="22"/>
    </w:rPr>
  </w:style>
  <w:style w:type="paragraph" w:styleId="12">
    <w:name w:val="toc 3"/>
    <w:basedOn w:val="1"/>
    <w:next w:val="1"/>
    <w:unhideWhenUsed/>
    <w:qFormat/>
    <w:uiPriority w:val="39"/>
    <w:pPr>
      <w:tabs>
        <w:tab w:val="right" w:leader="dot" w:pos="8777"/>
      </w:tabs>
      <w:ind w:left="424" w:leftChars="202"/>
    </w:pPr>
  </w:style>
  <w:style w:type="paragraph" w:styleId="13">
    <w:name w:val="Plain Text"/>
    <w:basedOn w:val="1"/>
    <w:link w:val="74"/>
    <w:qFormat/>
    <w:uiPriority w:val="0"/>
    <w:rPr>
      <w:rFonts w:ascii="宋体" w:hAnsi="Courier New" w:cs="Courier New"/>
      <w:szCs w:val="21"/>
    </w:rPr>
  </w:style>
  <w:style w:type="paragraph" w:styleId="14">
    <w:name w:val="toc 8"/>
    <w:basedOn w:val="1"/>
    <w:next w:val="1"/>
    <w:unhideWhenUsed/>
    <w:qFormat/>
    <w:uiPriority w:val="39"/>
    <w:pPr>
      <w:ind w:left="2940" w:leftChars="1400"/>
    </w:pPr>
  </w:style>
  <w:style w:type="paragraph" w:styleId="15">
    <w:name w:val="Date"/>
    <w:basedOn w:val="1"/>
    <w:next w:val="1"/>
    <w:link w:val="63"/>
    <w:qFormat/>
    <w:uiPriority w:val="0"/>
    <w:pPr>
      <w:ind w:left="100" w:leftChars="2500"/>
    </w:pPr>
  </w:style>
  <w:style w:type="paragraph" w:styleId="16">
    <w:name w:val="Body Text Indent 2"/>
    <w:basedOn w:val="1"/>
    <w:link w:val="106"/>
    <w:qFormat/>
    <w:uiPriority w:val="0"/>
    <w:pPr>
      <w:spacing w:after="120" w:line="480" w:lineRule="auto"/>
      <w:ind w:left="420" w:leftChars="200"/>
    </w:pPr>
    <w:rPr>
      <w:rFonts w:ascii="Calibri" w:hAnsi="Calibri"/>
      <w:szCs w:val="22"/>
    </w:rPr>
  </w:style>
  <w:style w:type="paragraph" w:styleId="17">
    <w:name w:val="Balloon Text"/>
    <w:basedOn w:val="1"/>
    <w:link w:val="66"/>
    <w:qFormat/>
    <w:uiPriority w:val="0"/>
    <w:rPr>
      <w:sz w:val="18"/>
      <w:szCs w:val="18"/>
    </w:rPr>
  </w:style>
  <w:style w:type="paragraph" w:styleId="18">
    <w:name w:val="footer"/>
    <w:basedOn w:val="1"/>
    <w:link w:val="65"/>
    <w:qFormat/>
    <w:uiPriority w:val="99"/>
    <w:pPr>
      <w:tabs>
        <w:tab w:val="center" w:pos="4153"/>
        <w:tab w:val="right" w:pos="8306"/>
      </w:tabs>
      <w:snapToGrid w:val="0"/>
      <w:jc w:val="left"/>
    </w:pPr>
    <w:rPr>
      <w:sz w:val="18"/>
      <w:szCs w:val="18"/>
    </w:rPr>
  </w:style>
  <w:style w:type="paragraph" w:styleId="19">
    <w:name w:val="header"/>
    <w:basedOn w:val="1"/>
    <w:link w:val="62"/>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8787"/>
      </w:tabs>
      <w:jc w:val="left"/>
    </w:pPr>
  </w:style>
  <w:style w:type="paragraph" w:styleId="21">
    <w:name w:val="toc 4"/>
    <w:basedOn w:val="1"/>
    <w:next w:val="1"/>
    <w:unhideWhenUsed/>
    <w:qFormat/>
    <w:uiPriority w:val="39"/>
    <w:pPr>
      <w:ind w:left="1260" w:leftChars="600"/>
    </w:pPr>
    <w:rPr>
      <w:rFonts w:ascii="等线" w:hAnsi="等线" w:eastAsia="等线"/>
      <w:szCs w:val="22"/>
    </w:rPr>
  </w:style>
  <w:style w:type="paragraph" w:styleId="22">
    <w:name w:val="toc 6"/>
    <w:basedOn w:val="1"/>
    <w:next w:val="1"/>
    <w:unhideWhenUsed/>
    <w:qFormat/>
    <w:uiPriority w:val="39"/>
    <w:pPr>
      <w:ind w:left="2100" w:leftChars="1000"/>
    </w:pPr>
    <w:rPr>
      <w:rFonts w:ascii="等线" w:hAnsi="等线" w:eastAsia="等线"/>
      <w:szCs w:val="22"/>
    </w:rPr>
  </w:style>
  <w:style w:type="paragraph" w:styleId="23">
    <w:name w:val="toc 2"/>
    <w:basedOn w:val="1"/>
    <w:next w:val="1"/>
    <w:unhideWhenUsed/>
    <w:qFormat/>
    <w:uiPriority w:val="39"/>
    <w:pPr>
      <w:tabs>
        <w:tab w:val="right" w:leader="dot" w:pos="8777"/>
      </w:tabs>
      <w:ind w:left="283" w:leftChars="135"/>
    </w:pPr>
  </w:style>
  <w:style w:type="paragraph" w:styleId="24">
    <w:name w:val="toc 9"/>
    <w:basedOn w:val="1"/>
    <w:next w:val="1"/>
    <w:unhideWhenUsed/>
    <w:qFormat/>
    <w:uiPriority w:val="39"/>
    <w:pPr>
      <w:ind w:left="3360" w:leftChars="1600"/>
    </w:pPr>
    <w:rPr>
      <w:rFonts w:ascii="等线" w:hAnsi="等线" w:eastAsia="等线"/>
      <w:szCs w:val="22"/>
    </w:rPr>
  </w:style>
  <w:style w:type="paragraph" w:styleId="25">
    <w:name w:val="Normal (Web)"/>
    <w:basedOn w:val="1"/>
    <w:semiHidden/>
    <w:unhideWhenUsed/>
    <w:qFormat/>
    <w:uiPriority w:val="99"/>
    <w:pPr>
      <w:spacing w:beforeAutospacing="1" w:afterAutospacing="1"/>
      <w:jc w:val="left"/>
    </w:pPr>
    <w:rPr>
      <w:kern w:val="0"/>
      <w:sz w:val="24"/>
    </w:rPr>
  </w:style>
  <w:style w:type="paragraph" w:styleId="26">
    <w:name w:val="Title"/>
    <w:basedOn w:val="1"/>
    <w:next w:val="1"/>
    <w:link w:val="120"/>
    <w:qFormat/>
    <w:uiPriority w:val="10"/>
    <w:pPr>
      <w:spacing w:before="240" w:after="60"/>
      <w:jc w:val="center"/>
      <w:outlineLvl w:val="0"/>
    </w:pPr>
    <w:rPr>
      <w:rFonts w:asciiTheme="majorHAnsi" w:hAnsiTheme="majorHAnsi" w:eastAsiaTheme="majorEastAsia" w:cstheme="majorBidi"/>
      <w:b/>
      <w:bCs/>
      <w:sz w:val="32"/>
      <w:szCs w:val="32"/>
    </w:rPr>
  </w:style>
  <w:style w:type="paragraph" w:styleId="27">
    <w:name w:val="annotation subject"/>
    <w:basedOn w:val="8"/>
    <w:next w:val="8"/>
    <w:link w:val="70"/>
    <w:semiHidden/>
    <w:unhideWhenUsed/>
    <w:qFormat/>
    <w:uiPriority w:val="99"/>
    <w:rPr>
      <w:b/>
      <w:bCs/>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rFonts w:eastAsia="Times New Roman"/>
      <w:b/>
      <w:spacing w:val="20"/>
      <w:sz w:val="24"/>
    </w:rPr>
  </w:style>
  <w:style w:type="character" w:styleId="32">
    <w:name w:val="page number"/>
    <w:basedOn w:val="30"/>
    <w:qFormat/>
    <w:uiPriority w:val="0"/>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qFormat/>
    <w:uiPriority w:val="20"/>
    <w:rPr>
      <w:i/>
      <w:iCs/>
    </w:rPr>
  </w:style>
  <w:style w:type="character" w:styleId="35">
    <w:name w:val="Hyperlink"/>
    <w:unhideWhenUsed/>
    <w:qFormat/>
    <w:uiPriority w:val="99"/>
    <w:rPr>
      <w:color w:val="0000FF"/>
      <w:u w:val="single"/>
    </w:rPr>
  </w:style>
  <w:style w:type="character" w:styleId="36">
    <w:name w:val="annotation reference"/>
    <w:qFormat/>
    <w:uiPriority w:val="0"/>
    <w:rPr>
      <w:sz w:val="21"/>
      <w:szCs w:val="21"/>
    </w:rPr>
  </w:style>
  <w:style w:type="character" w:customStyle="1" w:styleId="37">
    <w:name w:val="标题 1 字符"/>
    <w:link w:val="2"/>
    <w:qFormat/>
    <w:uiPriority w:val="0"/>
    <w:rPr>
      <w:rFonts w:ascii="宋体" w:hAnsi="宋体" w:eastAsia="宋体" w:cs="Times New Roman"/>
      <w:b/>
      <w:kern w:val="44"/>
      <w:sz w:val="32"/>
      <w:szCs w:val="32"/>
    </w:rPr>
  </w:style>
  <w:style w:type="character" w:customStyle="1" w:styleId="38">
    <w:name w:val="标题 2 字符"/>
    <w:link w:val="3"/>
    <w:qFormat/>
    <w:uiPriority w:val="0"/>
    <w:rPr>
      <w:rFonts w:ascii="黑体" w:hAnsi="黑体" w:eastAsia="黑体" w:cs="Times New Roman"/>
      <w:b/>
      <w:bCs/>
      <w:sz w:val="30"/>
      <w:szCs w:val="30"/>
    </w:rPr>
  </w:style>
  <w:style w:type="character" w:customStyle="1" w:styleId="39">
    <w:name w:val="标题 3 字符"/>
    <w:link w:val="4"/>
    <w:qFormat/>
    <w:uiPriority w:val="0"/>
    <w:rPr>
      <w:rFonts w:ascii="Times New Roman" w:hAnsi="Times New Roman" w:eastAsia="宋体" w:cs="Times New Roman"/>
      <w:b/>
      <w:bCs/>
      <w:sz w:val="32"/>
      <w:szCs w:val="32"/>
    </w:rPr>
  </w:style>
  <w:style w:type="character" w:customStyle="1" w:styleId="40">
    <w:name w:val="正文文本缩进 字符"/>
    <w:link w:val="10"/>
    <w:qFormat/>
    <w:uiPriority w:val="0"/>
  </w:style>
  <w:style w:type="character" w:customStyle="1" w:styleId="41">
    <w:name w:val="批注文字 字符"/>
    <w:link w:val="8"/>
    <w:qFormat/>
    <w:uiPriority w:val="0"/>
    <w:rPr>
      <w:szCs w:val="24"/>
    </w:rPr>
  </w:style>
  <w:style w:type="character" w:customStyle="1" w:styleId="42">
    <w:name w:val="发布"/>
    <w:qFormat/>
    <w:uiPriority w:val="0"/>
    <w:rPr>
      <w:rFonts w:ascii="黑体" w:eastAsia="黑体"/>
      <w:spacing w:val="22"/>
      <w:w w:val="100"/>
      <w:position w:val="3"/>
      <w:sz w:val="28"/>
    </w:rPr>
  </w:style>
  <w:style w:type="character" w:customStyle="1" w:styleId="43">
    <w:name w:val="label_list1"/>
    <w:basedOn w:val="30"/>
    <w:qFormat/>
    <w:uiPriority w:val="0"/>
  </w:style>
  <w:style w:type="character" w:customStyle="1" w:styleId="44">
    <w:name w:val="正文文本缩进 Char1"/>
    <w:semiHidden/>
    <w:qFormat/>
    <w:uiPriority w:val="99"/>
    <w:rPr>
      <w:rFonts w:ascii="Times New Roman" w:hAnsi="Times New Roman" w:eastAsia="宋体" w:cs="Times New Roman"/>
      <w:szCs w:val="24"/>
    </w:rPr>
  </w:style>
  <w:style w:type="paragraph" w:customStyle="1" w:styleId="45">
    <w:name w:val="框图"/>
    <w:basedOn w:val="1"/>
    <w:qFormat/>
    <w:uiPriority w:val="0"/>
    <w:pPr>
      <w:widowControl/>
      <w:autoSpaceDE w:val="0"/>
      <w:autoSpaceDN w:val="0"/>
      <w:adjustRightInd w:val="0"/>
      <w:snapToGrid w:val="0"/>
      <w:jc w:val="center"/>
      <w:textAlignment w:val="bottom"/>
    </w:pPr>
    <w:rPr>
      <w:bCs/>
      <w:sz w:val="15"/>
      <w:szCs w:val="20"/>
    </w:rPr>
  </w:style>
  <w:style w:type="paragraph" w:customStyle="1" w:styleId="46">
    <w:name w:val="标准书脚_奇数页"/>
    <w:qFormat/>
    <w:uiPriority w:val="0"/>
    <w:pPr>
      <w:spacing w:before="120" w:after="160" w:line="278" w:lineRule="auto"/>
      <w:jc w:val="right"/>
    </w:pPr>
    <w:rPr>
      <w:rFonts w:ascii="Times New Roman" w:hAnsi="Times New Roman" w:eastAsia="宋体" w:cs="Times New Roman"/>
      <w:sz w:val="18"/>
      <w:lang w:val="en-US" w:eastAsia="zh-CN" w:bidi="ar-SA"/>
    </w:rPr>
  </w:style>
  <w:style w:type="paragraph" w:customStyle="1" w:styleId="47">
    <w:name w:val="发布日期"/>
    <w:qFormat/>
    <w:uiPriority w:val="0"/>
    <w:pPr>
      <w:spacing w:after="160" w:line="278" w:lineRule="auto"/>
    </w:pPr>
    <w:rPr>
      <w:rFonts w:ascii="Times New Roman" w:hAnsi="Times New Roman" w:eastAsia="黑体" w:cs="Times New Roman"/>
      <w:sz w:val="28"/>
      <w:lang w:val="en-US" w:eastAsia="zh-CN" w:bidi="ar-SA"/>
    </w:rPr>
  </w:style>
  <w:style w:type="paragraph" w:customStyle="1" w:styleId="48">
    <w:name w:val="段"/>
    <w:link w:val="78"/>
    <w:qFormat/>
    <w:uiPriority w:val="0"/>
    <w:pPr>
      <w:autoSpaceDE w:val="0"/>
      <w:autoSpaceDN w:val="0"/>
      <w:spacing w:after="160" w:line="278" w:lineRule="auto"/>
      <w:ind w:firstLine="200" w:firstLineChars="200"/>
      <w:jc w:val="both"/>
    </w:pPr>
    <w:rPr>
      <w:rFonts w:ascii="宋体" w:hAnsi="Times New Roman" w:eastAsia="宋体" w:cs="Times New Roman"/>
      <w:sz w:val="21"/>
      <w:lang w:val="en-US" w:eastAsia="zh-CN" w:bidi="ar-SA"/>
    </w:rPr>
  </w:style>
  <w:style w:type="paragraph" w:customStyle="1" w:styleId="49">
    <w:name w:val="封面标准号1"/>
    <w:qFormat/>
    <w:uiPriority w:val="0"/>
    <w:pPr>
      <w:widowControl w:val="0"/>
      <w:kinsoku w:val="0"/>
      <w:overflowPunct w:val="0"/>
      <w:autoSpaceDE w:val="0"/>
      <w:autoSpaceDN w:val="0"/>
      <w:spacing w:before="308" w:after="160" w:line="278" w:lineRule="auto"/>
      <w:jc w:val="right"/>
      <w:textAlignment w:val="center"/>
    </w:pPr>
    <w:rPr>
      <w:rFonts w:ascii="Times New Roman" w:hAnsi="Times New Roman" w:eastAsia="宋体" w:cs="Times New Roman"/>
      <w:sz w:val="28"/>
      <w:lang w:val="en-US" w:eastAsia="zh-CN" w:bidi="ar-SA"/>
    </w:rPr>
  </w:style>
  <w:style w:type="paragraph" w:customStyle="1" w:styleId="50">
    <w:name w:val="标准标志"/>
    <w:next w:val="1"/>
    <w:qFormat/>
    <w:uiPriority w:val="0"/>
    <w:pPr>
      <w:shd w:val="solid" w:color="FFFFFF" w:fill="FFFFFF"/>
      <w:spacing w:after="160" w:line="0" w:lineRule="atLeast"/>
      <w:jc w:val="right"/>
    </w:pPr>
    <w:rPr>
      <w:rFonts w:ascii="Times New Roman" w:hAnsi="Times New Roman" w:eastAsia="宋体" w:cs="Times New Roman"/>
      <w:b/>
      <w:w w:val="130"/>
      <w:sz w:val="96"/>
      <w:lang w:val="en-US" w:eastAsia="zh-CN" w:bidi="ar-SA"/>
    </w:rPr>
  </w:style>
  <w:style w:type="paragraph" w:customStyle="1" w:styleId="51">
    <w:name w:val="封面正文"/>
    <w:qFormat/>
    <w:uiPriority w:val="0"/>
    <w:pPr>
      <w:spacing w:after="160" w:line="278" w:lineRule="auto"/>
      <w:jc w:val="both"/>
    </w:pPr>
    <w:rPr>
      <w:rFonts w:ascii="Times New Roman" w:hAnsi="Times New Roman" w:eastAsia="宋体" w:cs="Times New Roman"/>
      <w:lang w:val="en-US" w:eastAsia="zh-CN" w:bidi="ar-SA"/>
    </w:rPr>
  </w:style>
  <w:style w:type="paragraph" w:customStyle="1" w:styleId="52">
    <w:name w:val="其他标准称谓"/>
    <w:qFormat/>
    <w:uiPriority w:val="0"/>
    <w:pPr>
      <w:spacing w:after="160" w:line="0" w:lineRule="atLeast"/>
      <w:jc w:val="distribute"/>
    </w:pPr>
    <w:rPr>
      <w:rFonts w:ascii="黑体" w:hAnsi="宋体" w:eastAsia="黑体" w:cs="Times New Roman"/>
      <w:sz w:val="52"/>
      <w:lang w:val="en-US" w:eastAsia="zh-CN" w:bidi="ar-SA"/>
    </w:rPr>
  </w:style>
  <w:style w:type="paragraph" w:customStyle="1" w:styleId="53">
    <w:name w:val="实施日期"/>
    <w:basedOn w:val="47"/>
    <w:qFormat/>
    <w:uiPriority w:val="0"/>
    <w:pPr>
      <w:jc w:val="right"/>
    </w:pPr>
  </w:style>
  <w:style w:type="paragraph" w:customStyle="1" w:styleId="54">
    <w:name w:val="标准书眉一"/>
    <w:qFormat/>
    <w:uiPriority w:val="0"/>
    <w:pPr>
      <w:spacing w:after="160" w:line="278" w:lineRule="auto"/>
      <w:jc w:val="both"/>
    </w:pPr>
    <w:rPr>
      <w:rFonts w:ascii="Times New Roman" w:hAnsi="Times New Roman" w:eastAsia="宋体" w:cs="Times New Roman"/>
      <w:lang w:val="en-US" w:eastAsia="zh-CN" w:bidi="ar-SA"/>
    </w:rPr>
  </w:style>
  <w:style w:type="paragraph" w:customStyle="1" w:styleId="55">
    <w:name w:val="发布部门"/>
    <w:next w:val="48"/>
    <w:qFormat/>
    <w:uiPriority w:val="0"/>
    <w:pPr>
      <w:spacing w:after="160" w:line="278" w:lineRule="auto"/>
      <w:jc w:val="center"/>
    </w:pPr>
    <w:rPr>
      <w:rFonts w:ascii="宋体" w:hAnsi="Times New Roman" w:eastAsia="宋体" w:cs="Times New Roman"/>
      <w:b/>
      <w:spacing w:val="20"/>
      <w:w w:val="135"/>
      <w:sz w:val="36"/>
      <w:lang w:val="en-US" w:eastAsia="zh-CN" w:bidi="ar-SA"/>
    </w:rPr>
  </w:style>
  <w:style w:type="paragraph" w:customStyle="1" w:styleId="56">
    <w:name w:val="文献分类号"/>
    <w:qFormat/>
    <w:uiPriority w:val="0"/>
    <w:pPr>
      <w:widowControl w:val="0"/>
      <w:spacing w:after="160" w:line="278" w:lineRule="auto"/>
      <w:textAlignment w:val="center"/>
    </w:pPr>
    <w:rPr>
      <w:rFonts w:ascii="Times New Roman" w:hAnsi="Times New Roman" w:eastAsia="黑体" w:cs="Times New Roman"/>
      <w:sz w:val="21"/>
      <w:lang w:val="en-US" w:eastAsia="zh-CN" w:bidi="ar-SA"/>
    </w:rPr>
  </w:style>
  <w:style w:type="paragraph" w:customStyle="1" w:styleId="57">
    <w:name w:val="封面标准文稿编辑信息"/>
    <w:qFormat/>
    <w:uiPriority w:val="0"/>
    <w:pPr>
      <w:spacing w:before="180" w:after="160" w:line="180" w:lineRule="exact"/>
      <w:jc w:val="center"/>
    </w:pPr>
    <w:rPr>
      <w:rFonts w:ascii="宋体" w:hAnsi="Times New Roman" w:eastAsia="宋体" w:cs="Times New Roman"/>
      <w:sz w:val="21"/>
      <w:lang w:val="en-US" w:eastAsia="zh-CN" w:bidi="ar-SA"/>
    </w:rPr>
  </w:style>
  <w:style w:type="paragraph" w:customStyle="1" w:styleId="58">
    <w:name w:val="封面标准文稿类别"/>
    <w:qFormat/>
    <w:uiPriority w:val="0"/>
    <w:pPr>
      <w:spacing w:before="440" w:after="160" w:line="400" w:lineRule="exact"/>
      <w:jc w:val="center"/>
    </w:pPr>
    <w:rPr>
      <w:rFonts w:ascii="宋体" w:hAnsi="Times New Roman" w:eastAsia="宋体" w:cs="Times New Roman"/>
      <w:sz w:val="24"/>
      <w:lang w:val="en-US" w:eastAsia="zh-CN" w:bidi="ar-SA"/>
    </w:rPr>
  </w:style>
  <w:style w:type="paragraph" w:customStyle="1" w:styleId="59">
    <w:name w:val="封面标准名称"/>
    <w:qFormat/>
    <w:uiPriority w:val="0"/>
    <w:pPr>
      <w:widowControl w:val="0"/>
      <w:spacing w:after="160" w:line="680" w:lineRule="exact"/>
      <w:jc w:val="center"/>
      <w:textAlignment w:val="center"/>
    </w:pPr>
    <w:rPr>
      <w:rFonts w:ascii="黑体" w:hAnsi="Times New Roman" w:eastAsia="黑体" w:cs="Times New Roman"/>
      <w:sz w:val="52"/>
      <w:lang w:val="en-US" w:eastAsia="zh-CN" w:bidi="ar-SA"/>
    </w:rPr>
  </w:style>
  <w:style w:type="paragraph" w:customStyle="1" w:styleId="60">
    <w:name w:val="封面一致性程度标识"/>
    <w:qFormat/>
    <w:uiPriority w:val="0"/>
    <w:pPr>
      <w:spacing w:before="440" w:after="160" w:line="400" w:lineRule="exact"/>
      <w:jc w:val="center"/>
    </w:pPr>
    <w:rPr>
      <w:rFonts w:ascii="宋体" w:hAnsi="Times New Roman" w:eastAsia="宋体" w:cs="Times New Roman"/>
      <w:sz w:val="28"/>
      <w:lang w:val="en-US" w:eastAsia="zh-CN" w:bidi="ar-SA"/>
    </w:rPr>
  </w:style>
  <w:style w:type="paragraph" w:customStyle="1" w:styleId="61">
    <w:name w:val="封面标准英文名称"/>
    <w:qFormat/>
    <w:uiPriority w:val="0"/>
    <w:pPr>
      <w:widowControl w:val="0"/>
      <w:spacing w:before="370" w:after="160" w:line="400" w:lineRule="exact"/>
      <w:jc w:val="center"/>
    </w:pPr>
    <w:rPr>
      <w:rFonts w:ascii="Times New Roman" w:hAnsi="Times New Roman" w:eastAsia="宋体" w:cs="Times New Roman"/>
      <w:sz w:val="28"/>
      <w:lang w:val="en-US" w:eastAsia="zh-CN" w:bidi="ar-SA"/>
    </w:rPr>
  </w:style>
  <w:style w:type="character" w:customStyle="1" w:styleId="62">
    <w:name w:val="页眉 字符1"/>
    <w:link w:val="19"/>
    <w:qFormat/>
    <w:uiPriority w:val="99"/>
    <w:rPr>
      <w:rFonts w:ascii="Times New Roman" w:hAnsi="Times New Roman" w:eastAsia="宋体" w:cs="Times New Roman"/>
      <w:sz w:val="18"/>
      <w:szCs w:val="18"/>
    </w:rPr>
  </w:style>
  <w:style w:type="character" w:customStyle="1" w:styleId="63">
    <w:name w:val="日期 字符"/>
    <w:link w:val="15"/>
    <w:qFormat/>
    <w:uiPriority w:val="0"/>
    <w:rPr>
      <w:rFonts w:ascii="Times New Roman" w:hAnsi="Times New Roman" w:eastAsia="宋体" w:cs="Times New Roman"/>
      <w:szCs w:val="24"/>
    </w:rPr>
  </w:style>
  <w:style w:type="character" w:customStyle="1" w:styleId="64">
    <w:name w:val="批注文字 Char1"/>
    <w:semiHidden/>
    <w:qFormat/>
    <w:uiPriority w:val="99"/>
    <w:rPr>
      <w:rFonts w:ascii="Times New Roman" w:hAnsi="Times New Roman" w:eastAsia="宋体" w:cs="Times New Roman"/>
      <w:szCs w:val="24"/>
    </w:rPr>
  </w:style>
  <w:style w:type="character" w:customStyle="1" w:styleId="65">
    <w:name w:val="页脚 字符1"/>
    <w:link w:val="18"/>
    <w:qFormat/>
    <w:uiPriority w:val="99"/>
    <w:rPr>
      <w:rFonts w:ascii="Times New Roman" w:hAnsi="Times New Roman" w:eastAsia="宋体" w:cs="Times New Roman"/>
      <w:sz w:val="18"/>
      <w:szCs w:val="18"/>
    </w:rPr>
  </w:style>
  <w:style w:type="character" w:customStyle="1" w:styleId="66">
    <w:name w:val="批注框文本 字符"/>
    <w:link w:val="17"/>
    <w:qFormat/>
    <w:uiPriority w:val="0"/>
    <w:rPr>
      <w:rFonts w:ascii="Times New Roman" w:hAnsi="Times New Roman" w:eastAsia="宋体" w:cs="Times New Roman"/>
      <w:sz w:val="18"/>
      <w:szCs w:val="18"/>
    </w:rPr>
  </w:style>
  <w:style w:type="paragraph" w:customStyle="1" w:styleId="67">
    <w:name w:val="TOC 标题1"/>
    <w:basedOn w:val="2"/>
    <w:next w:val="1"/>
    <w:qFormat/>
    <w:uiPriority w:val="39"/>
    <w:pPr>
      <w:keepLines/>
      <w:widowControl/>
      <w:spacing w:before="480" w:line="276" w:lineRule="auto"/>
      <w:jc w:val="left"/>
      <w:outlineLvl w:val="9"/>
    </w:pPr>
    <w:rPr>
      <w:rFonts w:ascii="Cambria" w:hAnsi="Cambria"/>
      <w:b w:val="0"/>
      <w:bCs/>
      <w:color w:val="365F91"/>
      <w:kern w:val="0"/>
      <w:sz w:val="28"/>
      <w:szCs w:val="28"/>
    </w:rPr>
  </w:style>
  <w:style w:type="paragraph" w:customStyle="1" w:styleId="68">
    <w:name w:val="目录 11"/>
    <w:basedOn w:val="1"/>
    <w:next w:val="1"/>
    <w:unhideWhenUsed/>
    <w:qFormat/>
    <w:uiPriority w:val="39"/>
    <w:pPr>
      <w:tabs>
        <w:tab w:val="right" w:leader="dot" w:pos="8777"/>
      </w:tabs>
      <w:jc w:val="left"/>
    </w:pPr>
    <w:rPr>
      <w:bCs/>
      <w:kern w:val="44"/>
      <w:sz w:val="24"/>
    </w:rPr>
  </w:style>
  <w:style w:type="paragraph" w:customStyle="1" w:styleId="69">
    <w:name w:val="目录 21"/>
    <w:basedOn w:val="1"/>
    <w:next w:val="1"/>
    <w:unhideWhenUsed/>
    <w:qFormat/>
    <w:uiPriority w:val="39"/>
    <w:pPr>
      <w:tabs>
        <w:tab w:val="right" w:leader="dot" w:pos="8777"/>
      </w:tabs>
      <w:ind w:left="283" w:leftChars="135"/>
    </w:pPr>
    <w:rPr>
      <w:rFonts w:ascii="黑体" w:hAnsi="黑体"/>
      <w:sz w:val="24"/>
    </w:rPr>
  </w:style>
  <w:style w:type="character" w:customStyle="1" w:styleId="70">
    <w:name w:val="批注主题 字符"/>
    <w:link w:val="27"/>
    <w:semiHidden/>
    <w:qFormat/>
    <w:uiPriority w:val="99"/>
    <w:rPr>
      <w:rFonts w:ascii="Times New Roman" w:hAnsi="Times New Roman" w:eastAsia="宋体" w:cs="Times New Roman"/>
      <w:b/>
      <w:bCs/>
      <w:szCs w:val="24"/>
    </w:rPr>
  </w:style>
  <w:style w:type="paragraph" w:customStyle="1" w:styleId="7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72">
    <w:name w:val="修订1"/>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73">
    <w:name w:val="列出段落"/>
    <w:basedOn w:val="1"/>
    <w:qFormat/>
    <w:uiPriority w:val="34"/>
    <w:pPr>
      <w:ind w:firstLine="420" w:firstLineChars="200"/>
    </w:pPr>
  </w:style>
  <w:style w:type="character" w:customStyle="1" w:styleId="74">
    <w:name w:val="纯文本 字符"/>
    <w:link w:val="13"/>
    <w:qFormat/>
    <w:uiPriority w:val="0"/>
    <w:rPr>
      <w:rFonts w:ascii="宋体" w:hAnsi="Courier New" w:cs="Courier New"/>
      <w:kern w:val="2"/>
      <w:sz w:val="21"/>
      <w:szCs w:val="21"/>
    </w:rPr>
  </w:style>
  <w:style w:type="character" w:customStyle="1" w:styleId="75">
    <w:name w:val="页脚 字符"/>
    <w:qFormat/>
    <w:uiPriority w:val="99"/>
    <w:rPr>
      <w:kern w:val="2"/>
      <w:sz w:val="18"/>
    </w:rPr>
  </w:style>
  <w:style w:type="character" w:customStyle="1" w:styleId="76">
    <w:name w:val="页眉 字符"/>
    <w:qFormat/>
    <w:uiPriority w:val="99"/>
    <w:rPr>
      <w:kern w:val="2"/>
      <w:sz w:val="18"/>
      <w:szCs w:val="18"/>
    </w:rPr>
  </w:style>
  <w:style w:type="paragraph" w:customStyle="1" w:styleId="77">
    <w:name w:val="正文1"/>
    <w:next w:val="1"/>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character" w:customStyle="1" w:styleId="78">
    <w:name w:val="段 Char"/>
    <w:link w:val="48"/>
    <w:qFormat/>
    <w:locked/>
    <w:uiPriority w:val="0"/>
    <w:rPr>
      <w:rFonts w:ascii="宋体" w:hAnsi="Times New Roman"/>
      <w:sz w:val="21"/>
    </w:rPr>
  </w:style>
  <w:style w:type="paragraph" w:customStyle="1" w:styleId="79">
    <w:name w:val="标准1级标题章"/>
    <w:basedOn w:val="2"/>
    <w:next w:val="1"/>
    <w:link w:val="80"/>
    <w:qFormat/>
    <w:uiPriority w:val="0"/>
    <w:pPr>
      <w:keepLines/>
      <w:widowControl/>
      <w:numPr>
        <w:ilvl w:val="0"/>
        <w:numId w:val="1"/>
      </w:numPr>
      <w:snapToGrid w:val="0"/>
      <w:spacing w:before="156" w:beforeLines="50" w:after="120" w:line="300" w:lineRule="auto"/>
    </w:pPr>
    <w:rPr>
      <w:rFonts w:ascii="黑体" w:hAnsi="黑体" w:eastAsia="黑体"/>
      <w:b w:val="0"/>
      <w:sz w:val="30"/>
      <w:szCs w:val="30"/>
    </w:rPr>
  </w:style>
  <w:style w:type="character" w:customStyle="1" w:styleId="80">
    <w:name w:val="标准1级标题章 字符"/>
    <w:link w:val="79"/>
    <w:qFormat/>
    <w:uiPriority w:val="0"/>
    <w:rPr>
      <w:rFonts w:ascii="黑体" w:hAnsi="黑体" w:eastAsia="黑体"/>
      <w:kern w:val="44"/>
      <w:sz w:val="30"/>
      <w:szCs w:val="30"/>
    </w:rPr>
  </w:style>
  <w:style w:type="paragraph" w:customStyle="1" w:styleId="81">
    <w:name w:val="标准1级附录"/>
    <w:basedOn w:val="79"/>
    <w:next w:val="1"/>
    <w:link w:val="82"/>
    <w:qFormat/>
    <w:uiPriority w:val="0"/>
    <w:pPr>
      <w:numPr>
        <w:ilvl w:val="0"/>
        <w:numId w:val="2"/>
      </w:numPr>
    </w:pPr>
    <w:rPr>
      <w:bCs/>
    </w:rPr>
  </w:style>
  <w:style w:type="character" w:customStyle="1" w:styleId="82">
    <w:name w:val="标准1级附录 字符"/>
    <w:link w:val="81"/>
    <w:qFormat/>
    <w:uiPriority w:val="0"/>
    <w:rPr>
      <w:rFonts w:ascii="宋体" w:hAnsi="宋体"/>
      <w:b/>
      <w:kern w:val="44"/>
      <w:sz w:val="30"/>
      <w:szCs w:val="30"/>
    </w:rPr>
  </w:style>
  <w:style w:type="paragraph" w:customStyle="1" w:styleId="83">
    <w:name w:val="标准1级无编号章"/>
    <w:basedOn w:val="79"/>
    <w:link w:val="84"/>
    <w:qFormat/>
    <w:uiPriority w:val="0"/>
    <w:pPr>
      <w:numPr>
        <w:numId w:val="0"/>
      </w:numPr>
    </w:pPr>
  </w:style>
  <w:style w:type="character" w:customStyle="1" w:styleId="84">
    <w:name w:val="标准1级无编号章 字符"/>
    <w:link w:val="83"/>
    <w:qFormat/>
    <w:uiPriority w:val="0"/>
    <w:rPr>
      <w:rFonts w:ascii="宋体" w:hAnsi="宋体"/>
      <w:b/>
      <w:bCs/>
      <w:kern w:val="44"/>
      <w:sz w:val="30"/>
      <w:szCs w:val="30"/>
    </w:rPr>
  </w:style>
  <w:style w:type="paragraph" w:customStyle="1" w:styleId="85">
    <w:name w:val="标准2级标题节"/>
    <w:basedOn w:val="1"/>
    <w:next w:val="1"/>
    <w:qFormat/>
    <w:uiPriority w:val="0"/>
    <w:pPr>
      <w:widowControl/>
      <w:numPr>
        <w:ilvl w:val="1"/>
        <w:numId w:val="1"/>
      </w:numPr>
      <w:adjustRightInd w:val="0"/>
      <w:snapToGrid w:val="0"/>
      <w:spacing w:before="156" w:beforeLines="50" w:after="156" w:afterLines="50" w:line="300" w:lineRule="auto"/>
      <w:jc w:val="center"/>
      <w:outlineLvl w:val="1"/>
    </w:pPr>
    <w:rPr>
      <w:rFonts w:ascii="黑体" w:hAnsi="黑体" w:eastAsia="黑体"/>
      <w:color w:val="000000"/>
      <w:sz w:val="28"/>
      <w:szCs w:val="28"/>
    </w:rPr>
  </w:style>
  <w:style w:type="paragraph" w:customStyle="1" w:styleId="86">
    <w:name w:val="标准3级0节条"/>
    <w:basedOn w:val="73"/>
    <w:link w:val="87"/>
    <w:qFormat/>
    <w:uiPriority w:val="0"/>
    <w:pPr>
      <w:widowControl/>
      <w:numPr>
        <w:ilvl w:val="2"/>
        <w:numId w:val="3"/>
      </w:numPr>
      <w:tabs>
        <w:tab w:val="left" w:pos="1800"/>
      </w:tabs>
      <w:adjustRightInd w:val="0"/>
      <w:snapToGrid w:val="0"/>
      <w:spacing w:line="312" w:lineRule="auto"/>
      <w:ind w:firstLineChars="0"/>
      <w:outlineLvl w:val="2"/>
    </w:pPr>
    <w:rPr>
      <w:snapToGrid w:val="0"/>
      <w:kern w:val="0"/>
      <w:sz w:val="24"/>
    </w:rPr>
  </w:style>
  <w:style w:type="character" w:customStyle="1" w:styleId="87">
    <w:name w:val="标准3级0节条 字符"/>
    <w:link w:val="86"/>
    <w:qFormat/>
    <w:uiPriority w:val="0"/>
    <w:rPr>
      <w:snapToGrid w:val="0"/>
      <w:sz w:val="24"/>
      <w:szCs w:val="24"/>
    </w:rPr>
  </w:style>
  <w:style w:type="paragraph" w:customStyle="1" w:styleId="88">
    <w:name w:val="标准3级附录0条"/>
    <w:basedOn w:val="1"/>
    <w:link w:val="89"/>
    <w:qFormat/>
    <w:uiPriority w:val="0"/>
    <w:pPr>
      <w:widowControl/>
      <w:adjustRightInd w:val="0"/>
      <w:snapToGrid w:val="0"/>
      <w:spacing w:before="156" w:beforeLines="50" w:line="300" w:lineRule="auto"/>
      <w:jc w:val="left"/>
      <w:outlineLvl w:val="2"/>
    </w:pPr>
    <w:rPr>
      <w:sz w:val="24"/>
    </w:rPr>
  </w:style>
  <w:style w:type="character" w:customStyle="1" w:styleId="89">
    <w:name w:val="标准3级附录0条 字符"/>
    <w:link w:val="88"/>
    <w:qFormat/>
    <w:uiPriority w:val="0"/>
    <w:rPr>
      <w:rFonts w:ascii="Times New Roman" w:hAnsi="Times New Roman"/>
      <w:kern w:val="2"/>
      <w:sz w:val="24"/>
      <w:szCs w:val="24"/>
    </w:rPr>
  </w:style>
  <w:style w:type="paragraph" w:customStyle="1" w:styleId="90">
    <w:name w:val="标准3级条"/>
    <w:basedOn w:val="73"/>
    <w:qFormat/>
    <w:uiPriority w:val="0"/>
    <w:pPr>
      <w:widowControl/>
      <w:numPr>
        <w:ilvl w:val="2"/>
        <w:numId w:val="1"/>
      </w:numPr>
      <w:snapToGrid w:val="0"/>
      <w:spacing w:before="50" w:beforeLines="50" w:line="312" w:lineRule="auto"/>
      <w:ind w:firstLineChars="0"/>
      <w:outlineLvl w:val="2"/>
    </w:pPr>
    <w:rPr>
      <w:bCs/>
      <w:snapToGrid w:val="0"/>
      <w:kern w:val="0"/>
      <w:sz w:val="24"/>
    </w:rPr>
  </w:style>
  <w:style w:type="paragraph" w:customStyle="1" w:styleId="91">
    <w:name w:val="标准3级无节条"/>
    <w:basedOn w:val="73"/>
    <w:qFormat/>
    <w:uiPriority w:val="0"/>
    <w:pPr>
      <w:widowControl/>
      <w:numPr>
        <w:ilvl w:val="2"/>
        <w:numId w:val="4"/>
      </w:numPr>
      <w:snapToGrid w:val="0"/>
      <w:spacing w:line="360" w:lineRule="auto"/>
      <w:ind w:firstLineChars="0"/>
      <w:outlineLvl w:val="2"/>
    </w:pPr>
    <w:rPr>
      <w:kern w:val="0"/>
      <w:sz w:val="24"/>
    </w:rPr>
  </w:style>
  <w:style w:type="paragraph" w:customStyle="1" w:styleId="92">
    <w:name w:val="标准4级表头"/>
    <w:basedOn w:val="1"/>
    <w:qFormat/>
    <w:uiPriority w:val="0"/>
    <w:pPr>
      <w:widowControl/>
      <w:adjustRightInd w:val="0"/>
      <w:snapToGrid w:val="0"/>
      <w:spacing w:before="156" w:beforeLines="50" w:line="300" w:lineRule="auto"/>
      <w:jc w:val="center"/>
    </w:pPr>
    <w:rPr>
      <w:szCs w:val="21"/>
    </w:rPr>
  </w:style>
  <w:style w:type="paragraph" w:customStyle="1" w:styleId="93">
    <w:name w:val="标准4级款"/>
    <w:basedOn w:val="73"/>
    <w:link w:val="94"/>
    <w:qFormat/>
    <w:uiPriority w:val="0"/>
    <w:pPr>
      <w:widowControl/>
      <w:numPr>
        <w:ilvl w:val="3"/>
        <w:numId w:val="1"/>
      </w:numPr>
      <w:adjustRightInd w:val="0"/>
      <w:snapToGrid w:val="0"/>
      <w:spacing w:before="156" w:beforeLines="50" w:line="300" w:lineRule="auto"/>
      <w:ind w:firstLine="0" w:firstLineChars="0"/>
    </w:pPr>
    <w:rPr>
      <w:sz w:val="24"/>
      <w:szCs w:val="21"/>
    </w:rPr>
  </w:style>
  <w:style w:type="character" w:customStyle="1" w:styleId="94">
    <w:name w:val="标准4级款 字符"/>
    <w:link w:val="93"/>
    <w:qFormat/>
    <w:uiPriority w:val="0"/>
    <w:rPr>
      <w:rFonts w:ascii="Times New Roman" w:hAnsi="Times New Roman"/>
      <w:kern w:val="2"/>
      <w:sz w:val="24"/>
      <w:szCs w:val="21"/>
    </w:rPr>
  </w:style>
  <w:style w:type="paragraph" w:customStyle="1" w:styleId="95">
    <w:name w:val="标准4级名录格式"/>
    <w:basedOn w:val="93"/>
    <w:qFormat/>
    <w:uiPriority w:val="0"/>
    <w:pPr>
      <w:tabs>
        <w:tab w:val="right" w:pos="8504"/>
      </w:tabs>
      <w:spacing w:before="0" w:beforeLines="0" w:line="312" w:lineRule="auto"/>
      <w:ind w:left="113" w:firstLine="454"/>
    </w:pPr>
  </w:style>
  <w:style w:type="paragraph" w:customStyle="1" w:styleId="96">
    <w:name w:val="标准5级表内容"/>
    <w:basedOn w:val="1"/>
    <w:qFormat/>
    <w:uiPriority w:val="0"/>
    <w:pPr>
      <w:widowControl/>
      <w:adjustRightInd w:val="0"/>
      <w:snapToGrid w:val="0"/>
      <w:jc w:val="center"/>
    </w:pPr>
    <w:rPr>
      <w:color w:val="000000"/>
      <w:szCs w:val="21"/>
    </w:rPr>
  </w:style>
  <w:style w:type="paragraph" w:customStyle="1" w:styleId="97">
    <w:name w:val="标准5级段落"/>
    <w:basedOn w:val="1"/>
    <w:qFormat/>
    <w:uiPriority w:val="0"/>
    <w:pPr>
      <w:widowControl/>
      <w:adjustRightInd w:val="0"/>
      <w:snapToGrid w:val="0"/>
      <w:spacing w:before="156" w:beforeLines="50" w:line="300" w:lineRule="auto"/>
      <w:ind w:firstLine="567"/>
    </w:pPr>
    <w:rPr>
      <w:snapToGrid w:val="0"/>
      <w:color w:val="000000"/>
      <w:kern w:val="0"/>
      <w:sz w:val="24"/>
    </w:rPr>
  </w:style>
  <w:style w:type="paragraph" w:customStyle="1" w:styleId="98">
    <w:name w:val="标准5级项"/>
    <w:basedOn w:val="1"/>
    <w:link w:val="99"/>
    <w:qFormat/>
    <w:uiPriority w:val="0"/>
    <w:pPr>
      <w:widowControl/>
      <w:numPr>
        <w:ilvl w:val="4"/>
        <w:numId w:val="5"/>
      </w:numPr>
      <w:autoSpaceDE w:val="0"/>
      <w:autoSpaceDN w:val="0"/>
      <w:adjustRightInd w:val="0"/>
      <w:snapToGrid w:val="0"/>
      <w:spacing w:before="156" w:beforeLines="50" w:line="300" w:lineRule="auto"/>
    </w:pPr>
    <w:rPr>
      <w:kern w:val="0"/>
      <w:sz w:val="24"/>
      <w:szCs w:val="20"/>
    </w:rPr>
  </w:style>
  <w:style w:type="character" w:customStyle="1" w:styleId="99">
    <w:name w:val="标准5级项 字符"/>
    <w:link w:val="98"/>
    <w:qFormat/>
    <w:uiPriority w:val="0"/>
    <w:rPr>
      <w:rFonts w:ascii="Times New Roman" w:hAnsi="Times New Roman"/>
      <w:sz w:val="24"/>
    </w:rPr>
  </w:style>
  <w:style w:type="paragraph" w:customStyle="1" w:styleId="100">
    <w:name w:val="标准附录条"/>
    <w:basedOn w:val="90"/>
    <w:link w:val="101"/>
    <w:qFormat/>
    <w:uiPriority w:val="0"/>
    <w:pPr>
      <w:widowControl w:val="0"/>
    </w:pPr>
  </w:style>
  <w:style w:type="character" w:customStyle="1" w:styleId="101">
    <w:name w:val="标准附录条 字符"/>
    <w:link w:val="100"/>
    <w:qFormat/>
    <w:uiPriority w:val="0"/>
    <w:rPr>
      <w:rFonts w:ascii="Times New Roman" w:hAnsi="Times New Roman"/>
      <w:kern w:val="2"/>
      <w:sz w:val="24"/>
      <w:szCs w:val="24"/>
    </w:rPr>
  </w:style>
  <w:style w:type="paragraph" w:customStyle="1" w:styleId="102">
    <w:name w:val="标准引用名录排列"/>
    <w:basedOn w:val="1"/>
    <w:qFormat/>
    <w:uiPriority w:val="0"/>
    <w:pPr>
      <w:numPr>
        <w:ilvl w:val="0"/>
        <w:numId w:val="6"/>
      </w:numPr>
      <w:tabs>
        <w:tab w:val="left" w:pos="284"/>
        <w:tab w:val="right" w:pos="8504"/>
      </w:tabs>
      <w:snapToGrid w:val="0"/>
      <w:spacing w:line="360" w:lineRule="auto"/>
      <w:jc w:val="left"/>
    </w:pPr>
    <w:rPr>
      <w:rFonts w:cs="宋体"/>
      <w:b/>
      <w:sz w:val="24"/>
    </w:rPr>
  </w:style>
  <w:style w:type="character" w:customStyle="1" w:styleId="103">
    <w:name w:val="未处理的提及1"/>
    <w:semiHidden/>
    <w:unhideWhenUsed/>
    <w:qFormat/>
    <w:uiPriority w:val="99"/>
    <w:rPr>
      <w:color w:val="605E5C"/>
      <w:shd w:val="clear" w:color="auto" w:fill="E1DFDD"/>
    </w:rPr>
  </w:style>
  <w:style w:type="paragraph" w:customStyle="1" w:styleId="104">
    <w:name w:val="列表段落1"/>
    <w:basedOn w:val="1"/>
    <w:qFormat/>
    <w:uiPriority w:val="0"/>
    <w:pPr>
      <w:adjustRightInd w:val="0"/>
      <w:spacing w:line="400" w:lineRule="exact"/>
      <w:ind w:firstLine="420" w:firstLineChars="200"/>
    </w:pPr>
    <w:rPr>
      <w:rFonts w:ascii="Calibri" w:hAnsi="Calibri"/>
      <w:sz w:val="24"/>
      <w:szCs w:val="22"/>
    </w:rPr>
  </w:style>
  <w:style w:type="character" w:styleId="105">
    <w:name w:val="Placeholder Text"/>
    <w:basedOn w:val="30"/>
    <w:semiHidden/>
    <w:qFormat/>
    <w:uiPriority w:val="99"/>
    <w:rPr>
      <w:color w:val="666666"/>
    </w:rPr>
  </w:style>
  <w:style w:type="character" w:customStyle="1" w:styleId="106">
    <w:name w:val="正文文本缩进 2 字符"/>
    <w:basedOn w:val="30"/>
    <w:link w:val="16"/>
    <w:qFormat/>
    <w:uiPriority w:val="0"/>
    <w:rPr>
      <w:kern w:val="2"/>
      <w:sz w:val="21"/>
      <w:szCs w:val="22"/>
    </w:rPr>
  </w:style>
  <w:style w:type="character" w:customStyle="1" w:styleId="107">
    <w:name w:val="批注文字 字符2"/>
    <w:basedOn w:val="30"/>
    <w:qFormat/>
    <w:locked/>
    <w:uiPriority w:val="99"/>
    <w:rPr>
      <w:rFonts w:ascii="Times New Roman" w:hAnsi="Times New Roman" w:cs="Times New Roman"/>
      <w:sz w:val="21"/>
      <w:szCs w:val="21"/>
    </w:rPr>
  </w:style>
  <w:style w:type="paragraph" w:styleId="108">
    <w:name w:val="List Paragraph"/>
    <w:basedOn w:val="1"/>
    <w:qFormat/>
    <w:uiPriority w:val="34"/>
    <w:pPr>
      <w:ind w:firstLine="420" w:firstLineChars="200"/>
    </w:pPr>
  </w:style>
  <w:style w:type="paragraph" w:customStyle="1" w:styleId="109">
    <w:name w:val="table-cell-line"/>
    <w:basedOn w:val="1"/>
    <w:qFormat/>
    <w:uiPriority w:val="0"/>
    <w:pPr>
      <w:widowControl/>
      <w:spacing w:before="100" w:beforeAutospacing="1" w:after="100" w:afterAutospacing="1"/>
      <w:jc w:val="left"/>
    </w:pPr>
    <w:rPr>
      <w:rFonts w:ascii="宋体" w:hAnsi="宋体" w:cs="宋体"/>
      <w:kern w:val="0"/>
      <w:sz w:val="24"/>
    </w:rPr>
  </w:style>
  <w:style w:type="paragraph" w:customStyle="1" w:styleId="110">
    <w:name w:val="Default"/>
    <w:qFormat/>
    <w:uiPriority w:val="0"/>
    <w:pPr>
      <w:widowControl w:val="0"/>
      <w:autoSpaceDE w:val="0"/>
      <w:autoSpaceDN w:val="0"/>
      <w:adjustRightInd w:val="0"/>
      <w:spacing w:after="160" w:line="278" w:lineRule="auto"/>
    </w:pPr>
    <w:rPr>
      <w:rFonts w:ascii="黑体" w:hAnsi="Calibri" w:eastAsia="黑体" w:cs="黑体"/>
      <w:color w:val="000000"/>
      <w:sz w:val="24"/>
      <w:szCs w:val="24"/>
      <w:lang w:val="en-US" w:eastAsia="zh-CN" w:bidi="ar-SA"/>
    </w:rPr>
  </w:style>
  <w:style w:type="paragraph" w:customStyle="1" w:styleId="111">
    <w:name w:val="标准3条文说明"/>
    <w:basedOn w:val="97"/>
    <w:qFormat/>
    <w:uiPriority w:val="0"/>
    <w:rPr>
      <w:rFonts w:ascii="楷体" w:hAnsi="楷体" w:eastAsia="楷体"/>
      <w:i/>
      <w:iCs/>
      <w:sz w:val="21"/>
    </w:rPr>
  </w:style>
  <w:style w:type="character" w:customStyle="1" w:styleId="112">
    <w:name w:val="未处理的提及2"/>
    <w:basedOn w:val="30"/>
    <w:semiHidden/>
    <w:unhideWhenUsed/>
    <w:qFormat/>
    <w:uiPriority w:val="99"/>
    <w:rPr>
      <w:color w:val="605E5C"/>
      <w:shd w:val="clear" w:color="auto" w:fill="E1DFDD"/>
    </w:rPr>
  </w:style>
  <w:style w:type="paragraph" w:customStyle="1" w:styleId="113">
    <w:name w:val="修订2"/>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114">
    <w:name w:val="未处理的提及3"/>
    <w:basedOn w:val="30"/>
    <w:semiHidden/>
    <w:unhideWhenUsed/>
    <w:qFormat/>
    <w:uiPriority w:val="99"/>
    <w:rPr>
      <w:color w:val="605E5C"/>
      <w:shd w:val="clear" w:color="auto" w:fill="E1DFDD"/>
    </w:rPr>
  </w:style>
  <w:style w:type="paragraph" w:customStyle="1" w:styleId="115">
    <w:name w:val="1标题"/>
    <w:basedOn w:val="26"/>
    <w:qFormat/>
    <w:uiPriority w:val="0"/>
    <w:pPr>
      <w:numPr>
        <w:ilvl w:val="0"/>
        <w:numId w:val="7"/>
      </w:numPr>
      <w:spacing w:before="0" w:after="0" w:line="360" w:lineRule="auto"/>
    </w:pPr>
    <w:rPr>
      <w:rFonts w:ascii="Times New Roman" w:hAnsi="Times New Roman" w:eastAsia="宋体" w:cs="宋体"/>
      <w:szCs w:val="28"/>
    </w:rPr>
  </w:style>
  <w:style w:type="paragraph" w:customStyle="1" w:styleId="116">
    <w:name w:val="2标题"/>
    <w:basedOn w:val="16"/>
    <w:qFormat/>
    <w:uiPriority w:val="0"/>
    <w:pPr>
      <w:numPr>
        <w:ilvl w:val="1"/>
        <w:numId w:val="7"/>
      </w:numPr>
      <w:spacing w:after="0" w:line="360" w:lineRule="auto"/>
      <w:ind w:left="0" w:leftChars="0"/>
      <w:jc w:val="center"/>
      <w:outlineLvl w:val="1"/>
    </w:pPr>
    <w:rPr>
      <w:rFonts w:ascii="Times New Roman" w:hAnsi="Times New Roman" w:cs="宋体"/>
      <w:color w:val="000000" w:themeColor="text1"/>
      <w:sz w:val="28"/>
      <w:szCs w:val="24"/>
      <w14:textFill>
        <w14:solidFill>
          <w14:schemeClr w14:val="tx1"/>
        </w14:solidFill>
      </w14:textFill>
    </w:rPr>
  </w:style>
  <w:style w:type="paragraph" w:customStyle="1" w:styleId="117">
    <w:name w:val="3标题"/>
    <w:basedOn w:val="16"/>
    <w:link w:val="119"/>
    <w:qFormat/>
    <w:uiPriority w:val="0"/>
    <w:pPr>
      <w:numPr>
        <w:ilvl w:val="2"/>
        <w:numId w:val="7"/>
      </w:numPr>
      <w:spacing w:after="0" w:line="360" w:lineRule="auto"/>
      <w:ind w:leftChars="0"/>
      <w:outlineLvl w:val="2"/>
    </w:pPr>
    <w:rPr>
      <w:rFonts w:ascii="Times New Roman" w:hAnsi="Times New Roman" w:cs="宋体"/>
      <w:color w:val="000000" w:themeColor="text1"/>
      <w:sz w:val="24"/>
      <w:szCs w:val="24"/>
      <w14:textFill>
        <w14:solidFill>
          <w14:schemeClr w14:val="tx1"/>
        </w14:solidFill>
      </w14:textFill>
    </w:rPr>
  </w:style>
  <w:style w:type="paragraph" w:customStyle="1" w:styleId="118">
    <w:name w:val="4标题"/>
    <w:basedOn w:val="16"/>
    <w:qFormat/>
    <w:uiPriority w:val="0"/>
    <w:pPr>
      <w:numPr>
        <w:ilvl w:val="3"/>
        <w:numId w:val="7"/>
      </w:numPr>
      <w:adjustRightInd w:val="0"/>
      <w:snapToGrid w:val="0"/>
      <w:spacing w:after="0" w:line="440" w:lineRule="exact"/>
      <w:ind w:left="0" w:leftChars="0"/>
      <w:outlineLvl w:val="3"/>
    </w:pPr>
    <w:rPr>
      <w:rFonts w:ascii="宋体" w:hAnsi="宋体" w:cs="宋体"/>
      <w:color w:val="000000" w:themeColor="text1"/>
      <w:sz w:val="24"/>
      <w:szCs w:val="24"/>
      <w14:textFill>
        <w14:solidFill>
          <w14:schemeClr w14:val="tx1"/>
        </w14:solidFill>
      </w14:textFill>
    </w:rPr>
  </w:style>
  <w:style w:type="character" w:customStyle="1" w:styleId="119">
    <w:name w:val="3标题 Char"/>
    <w:link w:val="117"/>
    <w:qFormat/>
    <w:uiPriority w:val="0"/>
    <w:rPr>
      <w:rFonts w:ascii="Times New Roman" w:hAnsi="Times New Roman" w:cs="宋体"/>
      <w:color w:val="000000" w:themeColor="text1"/>
      <w:kern w:val="2"/>
      <w:sz w:val="24"/>
      <w:szCs w:val="24"/>
      <w14:textFill>
        <w14:solidFill>
          <w14:schemeClr w14:val="tx1"/>
        </w14:solidFill>
      </w14:textFill>
    </w:rPr>
  </w:style>
  <w:style w:type="character" w:customStyle="1" w:styleId="120">
    <w:name w:val="标题 字符"/>
    <w:basedOn w:val="30"/>
    <w:link w:val="26"/>
    <w:qFormat/>
    <w:uiPriority w:val="10"/>
    <w:rPr>
      <w:rFonts w:asciiTheme="majorHAnsi" w:hAnsiTheme="majorHAnsi" w:eastAsiaTheme="majorEastAsia" w:cstheme="majorBidi"/>
      <w:b/>
      <w:bCs/>
      <w:kern w:val="2"/>
      <w:sz w:val="32"/>
      <w:szCs w:val="32"/>
    </w:rPr>
  </w:style>
  <w:style w:type="paragraph" w:customStyle="1" w:styleId="121">
    <w:name w:val="1正文"/>
    <w:link w:val="124"/>
    <w:qFormat/>
    <w:uiPriority w:val="0"/>
    <w:pPr>
      <w:adjustRightInd w:val="0"/>
      <w:snapToGrid w:val="0"/>
      <w:spacing w:after="160" w:line="360" w:lineRule="auto"/>
      <w:ind w:firstLine="643" w:firstLineChars="200"/>
    </w:pPr>
    <w:rPr>
      <w:rFonts w:ascii="宋体" w:hAnsi="宋体" w:eastAsia="宋体" w:cs="宋体"/>
      <w:color w:val="000000" w:themeColor="text1"/>
      <w:kern w:val="2"/>
      <w:sz w:val="24"/>
      <w:szCs w:val="24"/>
      <w:lang w:val="en-US" w:eastAsia="zh-CN" w:bidi="ar-SA"/>
      <w14:textFill>
        <w14:solidFill>
          <w14:schemeClr w14:val="tx1"/>
        </w14:solidFill>
      </w14:textFill>
    </w:rPr>
  </w:style>
  <w:style w:type="paragraph" w:customStyle="1" w:styleId="122">
    <w:name w:val="TOC 标题2"/>
    <w:basedOn w:val="2"/>
    <w:next w:val="1"/>
    <w:unhideWhenUsed/>
    <w:qFormat/>
    <w:uiPriority w:val="39"/>
    <w:pPr>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rPr>
  </w:style>
  <w:style w:type="paragraph" w:customStyle="1" w:styleId="123">
    <w:name w:val="正文-条文来源"/>
    <w:basedOn w:val="1"/>
    <w:qFormat/>
    <w:uiPriority w:val="0"/>
    <w:pPr>
      <w:widowControl/>
      <w:jc w:val="left"/>
    </w:pPr>
    <w:rPr>
      <w:rFonts w:eastAsia="楷体"/>
      <w:color w:val="7030A0"/>
      <w:sz w:val="24"/>
      <w:szCs w:val="21"/>
    </w:rPr>
  </w:style>
  <w:style w:type="character" w:customStyle="1" w:styleId="124">
    <w:name w:val="1正文 Char"/>
    <w:link w:val="121"/>
    <w:qFormat/>
    <w:uiPriority w:val="0"/>
    <w:rPr>
      <w:rFonts w:ascii="宋体" w:hAnsi="宋体" w:cs="宋体"/>
      <w:color w:val="000000" w:themeColor="text1"/>
      <w:kern w:val="2"/>
      <w:sz w:val="24"/>
      <w:szCs w:val="24"/>
      <w14:textFill>
        <w14:solidFill>
          <w14:schemeClr w14:val="tx1"/>
        </w14:solidFill>
      </w14:textFill>
    </w:rPr>
  </w:style>
  <w:style w:type="paragraph" w:customStyle="1" w:styleId="125">
    <w:name w:val="正文-条文说明"/>
    <w:basedOn w:val="1"/>
    <w:link w:val="126"/>
    <w:qFormat/>
    <w:uiPriority w:val="0"/>
    <w:pPr>
      <w:widowControl/>
      <w:spacing w:line="360" w:lineRule="auto"/>
      <w:ind w:firstLine="643" w:firstLineChars="200"/>
      <w:jc w:val="left"/>
    </w:pPr>
    <w:rPr>
      <w:rFonts w:eastAsia="楷体"/>
      <w:color w:val="4472C4"/>
      <w:sz w:val="24"/>
      <w:szCs w:val="21"/>
    </w:rPr>
  </w:style>
  <w:style w:type="character" w:customStyle="1" w:styleId="126">
    <w:name w:val="条文说明 Char"/>
    <w:link w:val="125"/>
    <w:qFormat/>
    <w:uiPriority w:val="0"/>
    <w:rPr>
      <w:rFonts w:ascii="Times New Roman" w:hAnsi="Times New Roman" w:eastAsia="楷体"/>
      <w:color w:val="4472C4"/>
      <w:kern w:val="2"/>
      <w:sz w:val="24"/>
      <w:szCs w:val="21"/>
    </w:rPr>
  </w:style>
  <w:style w:type="paragraph" w:customStyle="1" w:styleId="127">
    <w:name w:val="正文-表格"/>
    <w:basedOn w:val="1"/>
    <w:qFormat/>
    <w:uiPriority w:val="0"/>
    <w:pPr>
      <w:adjustRightInd w:val="0"/>
      <w:snapToGrid w:val="0"/>
      <w:jc w:val="center"/>
    </w:pPr>
    <w:rPr>
      <w:bCs/>
      <w:color w:val="000000"/>
      <w:sz w:val="24"/>
      <w:szCs w:val="21"/>
    </w:rPr>
  </w:style>
  <w:style w:type="paragraph" w:customStyle="1" w:styleId="128">
    <w:name w:val="修订3"/>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129">
    <w:name w:val="fontstyle01"/>
    <w:basedOn w:val="30"/>
    <w:qFormat/>
    <w:uiPriority w:val="0"/>
    <w:rPr>
      <w:rFonts w:hint="eastAsia" w:ascii="宋体" w:hAnsi="宋体" w:eastAsia="宋体"/>
      <w:color w:val="000000"/>
      <w:sz w:val="24"/>
      <w:szCs w:val="24"/>
    </w:rPr>
  </w:style>
  <w:style w:type="paragraph" w:customStyle="1" w:styleId="130">
    <w:name w:val="修订4"/>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131">
    <w:name w:val="15"/>
    <w:basedOn w:val="30"/>
    <w:qFormat/>
    <w:uiPriority w:val="0"/>
    <w:rPr>
      <w:rFonts w:hint="eastAsia" w:ascii="宋体" w:hAnsi="宋体" w:eastAsia="宋体"/>
      <w:color w:val="000000"/>
      <w:kern w:val="2"/>
      <w:sz w:val="24"/>
      <w:szCs w:val="24"/>
    </w:rPr>
  </w:style>
  <w:style w:type="paragraph" w:customStyle="1" w:styleId="132">
    <w:name w:val="修订5"/>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133">
    <w:name w:val="highlight1"/>
    <w:basedOn w:val="30"/>
    <w:qFormat/>
    <w:uiPriority w:val="0"/>
    <w:rPr>
      <w:b/>
      <w:bCs/>
      <w:color w:val="1E50A2"/>
    </w:rPr>
  </w:style>
  <w:style w:type="paragraph" w:customStyle="1" w:styleId="134">
    <w:name w:val="修订6"/>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5">
    <w:name w:val="修订7"/>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6">
    <w:name w:val="修订8"/>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7">
    <w:name w:val="修订9"/>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8">
    <w:name w:val="修订10"/>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9">
    <w:name w:val="修订11"/>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0">
    <w:name w:val="修订12"/>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1">
    <w:name w:val="修订13"/>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2">
    <w:name w:val="修订14"/>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w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RW</Company>
  <Pages>47</Pages>
  <Words>10491</Words>
  <Characters>11540</Characters>
  <Lines>701</Lines>
  <Paragraphs>829</Paragraphs>
  <TotalTime>153</TotalTime>
  <ScaleCrop>false</ScaleCrop>
  <LinksUpToDate>false</LinksUpToDate>
  <CharactersWithSpaces>11998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2026-04-20T14:11:00Z</dcterms:created>
  <dc:creator>pengfeng</dc:creator>
  <cp:lastModifiedBy>张惠丽</cp:lastModifiedBy>
  <cp:lastPrinted>2026-04-24T06:45:00Z</cp:lastPrinted>
  <dcterms:modified xsi:type="dcterms:W3CDTF">2026-05-08T03:10:40Z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eyJoZGlkIjoiZDlmODY0NmVkMTU2MTY1MmY1YjdiOTZhMzhhMDU3M2YiLCJ1c2VySWQiOiIxNTQ2MDMxOTE3In0=</vt:lpwstr>
  </property>
  <property fmtid="{D5CDD505-2E9C-101B-9397-08002B2CF9AE}" pid="4" name="ICV">
    <vt:lpwstr>CDD754F9681C4A45BFEE2A900852011F_13</vt:lpwstr>
  </property>
</Properties>
</file>