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4"/>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274D4E">
        <w:tc>
          <w:tcPr>
            <w:tcW w:w="509" w:type="dxa"/>
          </w:tcPr>
          <w:p w:rsidR="00274D4E" w:rsidRDefault="00B5732B">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274D4E" w:rsidRDefault="00B5732B">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 </w:t>
            </w:r>
            <w:r>
              <w:rPr>
                <w:rFonts w:ascii="黑体" w:eastAsia="黑体" w:hAnsi="黑体"/>
                <w:sz w:val="21"/>
                <w:szCs w:val="21"/>
              </w:rPr>
              <w:fldChar w:fldCharType="end"/>
            </w:r>
            <w:bookmarkEnd w:id="0"/>
          </w:p>
        </w:tc>
      </w:tr>
      <w:tr w:rsidR="00274D4E">
        <w:tc>
          <w:tcPr>
            <w:tcW w:w="509" w:type="dxa"/>
          </w:tcPr>
          <w:p w:rsidR="00274D4E" w:rsidRDefault="00B5732B">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274D4E" w:rsidRDefault="00B5732B">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1"/>
          </w:p>
        </w:tc>
      </w:tr>
    </w:tbl>
    <w:tbl>
      <w:tblPr>
        <w:tblStyle w:val="affff4"/>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274D4E">
        <w:tc>
          <w:tcPr>
            <w:tcW w:w="6407" w:type="dxa"/>
          </w:tcPr>
          <w:p w:rsidR="00274D4E" w:rsidRDefault="00B5732B" w:rsidP="00754DE2">
            <w:pPr>
              <w:pStyle w:val="affffb"/>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bookmarkStart w:id="3" w:name="c1"/>
            <w:r w:rsidR="00754DE2">
              <w:fldChar w:fldCharType="begin">
                <w:ffData>
                  <w:name w:val="c1"/>
                  <w:enabled/>
                  <w:calcOnExit w:val="0"/>
                  <w:textInput>
                    <w:default w:val="11"/>
                    <w:maxLength w:val="8"/>
                  </w:textInput>
                </w:ffData>
              </w:fldChar>
            </w:r>
            <w:r w:rsidR="00754DE2">
              <w:instrText xml:space="preserve"> FORMTEXT </w:instrText>
            </w:r>
            <w:r w:rsidR="00754DE2">
              <w:fldChar w:fldCharType="separate"/>
            </w:r>
            <w:r w:rsidR="00754DE2">
              <w:rPr>
                <w:noProof/>
              </w:rPr>
              <w:t>11</w:t>
            </w:r>
            <w:r w:rsidR="00754DE2">
              <w:fldChar w:fldCharType="end"/>
            </w:r>
            <w:bookmarkEnd w:id="3"/>
          </w:p>
        </w:tc>
      </w:tr>
    </w:tbl>
    <w:p w:rsidR="00274D4E" w:rsidRDefault="00B5732B">
      <w:pPr>
        <w:pStyle w:val="affffc"/>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北京市</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274D4E" w:rsidRDefault="00B5732B">
      <w:pPr>
        <w:pStyle w:val="afffffffffe"/>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rsidR="00274D4E" w:rsidRDefault="00B5732B">
      <w:pPr>
        <w:pStyle w:val="affffffffff"/>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rsidR="00274D4E" w:rsidRDefault="00B5732B">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274D4E" w:rsidRDefault="00274D4E">
      <w:pPr>
        <w:pStyle w:val="affffc"/>
        <w:framePr w:w="9639" w:h="6976" w:hRule="exact" w:hSpace="0" w:vSpace="0" w:wrap="around" w:hAnchor="page" w:y="6408"/>
        <w:jc w:val="center"/>
        <w:rPr>
          <w:rFonts w:ascii="黑体" w:eastAsia="黑体" w:hAnsi="黑体"/>
          <w:b w:val="0"/>
          <w:bCs w:val="0"/>
          <w:w w:val="100"/>
        </w:rPr>
      </w:pPr>
    </w:p>
    <w:p w:rsidR="00274D4E" w:rsidRDefault="00B5732B">
      <w:pPr>
        <w:pStyle w:val="affffffffff0"/>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城市道路坍塌隐患探地雷达检测技术规范</w:t>
      </w:r>
      <w:r>
        <w:fldChar w:fldCharType="end"/>
      </w:r>
      <w:bookmarkEnd w:id="9"/>
    </w:p>
    <w:p w:rsidR="00274D4E" w:rsidRDefault="00274D4E">
      <w:pPr>
        <w:framePr w:w="9639" w:h="6974" w:hRule="exact" w:wrap="around" w:vAnchor="page" w:hAnchor="page" w:x="1419" w:y="6408" w:anchorLock="1"/>
        <w:ind w:left="-1418"/>
      </w:pPr>
    </w:p>
    <w:p w:rsidR="00274D4E" w:rsidRDefault="00B5732B">
      <w:pPr>
        <w:pStyle w:val="afffffff4"/>
        <w:framePr w:w="9639" w:h="6974" w:hRule="exact" w:wrap="around" w:vAnchor="page" w:hAnchor="page" w:x="1419" w:y="6408" w:anchorLock="1"/>
        <w:textAlignment w:val="bottom"/>
        <w:rPr>
          <w:rFonts w:ascii="黑体" w:eastAsia="黑体" w:hAnsi="黑体"/>
          <w:szCs w:val="28"/>
        </w:rPr>
      </w:pPr>
      <w:r>
        <w:rPr>
          <w:rFonts w:ascii="黑体" w:eastAsia="黑体" w:hAnsi="黑体"/>
          <w:szCs w:val="28"/>
        </w:rPr>
        <w:fldChar w:fldCharType="begin">
          <w:ffData>
            <w:name w:val="ESTD_NAME"/>
            <w:enabled/>
            <w:calcOnExit w:val="0"/>
            <w:textInput>
              <w:default w:val="点击此处添加标准名称的英文译名"/>
            </w:textInput>
          </w:ffData>
        </w:fldChar>
      </w:r>
      <w:bookmarkStart w:id="10"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hint="eastAsia"/>
          <w:szCs w:val="28"/>
        </w:rPr>
        <w:t>Technical specifications for ground-penetrating radar detection of urban road</w:t>
      </w:r>
      <w:r>
        <w:rPr>
          <w:rFonts w:ascii="黑体" w:eastAsia="黑体" w:hAnsi="黑体"/>
          <w:szCs w:val="28"/>
        </w:rPr>
        <w:fldChar w:fldCharType="end"/>
      </w:r>
      <w:bookmarkEnd w:id="10"/>
    </w:p>
    <w:p w:rsidR="00274D4E" w:rsidRDefault="00274D4E">
      <w:pPr>
        <w:framePr w:w="9639" w:h="6974" w:hRule="exact" w:wrap="around" w:vAnchor="page" w:hAnchor="page" w:x="1419" w:y="6408" w:anchorLock="1"/>
        <w:spacing w:line="760" w:lineRule="exact"/>
        <w:ind w:left="-1418"/>
      </w:pPr>
    </w:p>
    <w:p w:rsidR="00274D4E" w:rsidRDefault="00274D4E">
      <w:pPr>
        <w:pStyle w:val="afffffff4"/>
        <w:framePr w:w="9639" w:h="6974" w:hRule="exact" w:wrap="around" w:vAnchor="page" w:hAnchor="page" w:x="1419" w:y="6408" w:anchorLock="1"/>
        <w:textAlignment w:val="bottom"/>
        <w:rPr>
          <w:rFonts w:eastAsia="黑体"/>
          <w:szCs w:val="28"/>
        </w:rPr>
      </w:pPr>
    </w:p>
    <w:p w:rsidR="00274D4E" w:rsidRDefault="00B5732B">
      <w:pPr>
        <w:pStyle w:val="afffffff4"/>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end"/>
      </w:r>
      <w:bookmarkEnd w:id="11"/>
    </w:p>
    <w:p w:rsidR="00274D4E" w:rsidRDefault="00B5732B">
      <w:pPr>
        <w:pStyle w:val="afffffff4"/>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（本草案完成时间：</w:t>
      </w:r>
      <w:r>
        <w:rPr>
          <w:rFonts w:hint="eastAsia"/>
          <w:sz w:val="21"/>
          <w:szCs w:val="28"/>
        </w:rPr>
        <w:t>2025</w:t>
      </w:r>
      <w:r>
        <w:rPr>
          <w:rFonts w:hint="eastAsia"/>
          <w:sz w:val="21"/>
          <w:szCs w:val="28"/>
        </w:rPr>
        <w:t>年</w:t>
      </w:r>
      <w:r>
        <w:rPr>
          <w:rFonts w:hint="eastAsia"/>
          <w:sz w:val="21"/>
          <w:szCs w:val="28"/>
        </w:rPr>
        <w:t>12</w:t>
      </w:r>
      <w:r>
        <w:rPr>
          <w:rFonts w:hint="eastAsia"/>
          <w:sz w:val="21"/>
          <w:szCs w:val="28"/>
        </w:rPr>
        <w:t>月</w:t>
      </w:r>
      <w:r>
        <w:rPr>
          <w:rFonts w:hint="eastAsia"/>
          <w:sz w:val="21"/>
          <w:szCs w:val="28"/>
        </w:rPr>
        <w:t>4</w:t>
      </w:r>
      <w:r>
        <w:rPr>
          <w:rFonts w:hint="eastAsia"/>
          <w:sz w:val="21"/>
          <w:szCs w:val="28"/>
        </w:rPr>
        <w:t>日</w:t>
      </w:r>
      <w:r>
        <w:rPr>
          <w:sz w:val="21"/>
          <w:szCs w:val="28"/>
        </w:rPr>
        <w:t>）</w:t>
      </w:r>
      <w:r>
        <w:rPr>
          <w:sz w:val="21"/>
          <w:szCs w:val="28"/>
        </w:rPr>
        <w:fldChar w:fldCharType="end"/>
      </w:r>
      <w:bookmarkEnd w:id="12"/>
    </w:p>
    <w:p w:rsidR="00274D4E" w:rsidRDefault="00B5732B">
      <w:pPr>
        <w:pStyle w:val="afffffff4"/>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end"/>
      </w:r>
      <w:bookmarkEnd w:id="13"/>
    </w:p>
    <w:p w:rsidR="00274D4E" w:rsidRDefault="00B5732B">
      <w:pPr>
        <w:pStyle w:val="afffffffffc"/>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274D4E" w:rsidRDefault="00B5732B">
      <w:pPr>
        <w:pStyle w:val="afffffffffd"/>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bookmarkStart w:id="20" w:name="fm"/>
    <w:p w:rsidR="00274D4E" w:rsidRDefault="00754DE2">
      <w:pPr>
        <w:pStyle w:val="affffffff4"/>
        <w:framePr w:h="584" w:hRule="exact" w:hSpace="181" w:vSpace="181" w:wrap="around" w:y="15027"/>
        <w:rPr>
          <w:rFonts w:hAnsi="黑体"/>
        </w:rPr>
      </w:pPr>
      <w:r>
        <w:rPr>
          <w:rFonts w:hAnsi="黑体"/>
          <w:w w:val="100"/>
          <w:sz w:val="28"/>
        </w:rPr>
        <w:fldChar w:fldCharType="begin">
          <w:ffData>
            <w:name w:val="fm"/>
            <w:enabled/>
            <w:calcOnExit w:val="0"/>
            <w:textInput>
              <w:default w:val="北京市市场监督管理局"/>
            </w:textInput>
          </w:ffData>
        </w:fldChar>
      </w:r>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noProof/>
          <w:w w:val="100"/>
          <w:sz w:val="28"/>
        </w:rPr>
        <w:t>北京市市场监督管理局</w:t>
      </w:r>
      <w:r>
        <w:rPr>
          <w:rFonts w:hAnsi="黑体"/>
          <w:w w:val="100"/>
          <w:sz w:val="28"/>
        </w:rPr>
        <w:fldChar w:fldCharType="end"/>
      </w:r>
      <w:bookmarkEnd w:id="20"/>
      <w:r w:rsidR="00B5732B">
        <w:rPr>
          <w:rFonts w:ascii="Times New Roman"/>
          <w:w w:val="100"/>
          <w:sz w:val="28"/>
        </w:rPr>
        <w:t>  </w:t>
      </w:r>
      <w:r w:rsidR="00B5732B">
        <w:rPr>
          <w:rStyle w:val="afffffffffff5"/>
          <w:rFonts w:hAnsi="黑体" w:hint="eastAsia"/>
          <w:position w:val="0"/>
        </w:rPr>
        <w:t>发</w:t>
      </w:r>
      <w:r w:rsidR="00B5732B">
        <w:rPr>
          <w:rStyle w:val="afffffffffff5"/>
          <w:rFonts w:hAnsi="黑体" w:hint="eastAsia"/>
          <w:spacing w:val="0"/>
          <w:position w:val="0"/>
        </w:rPr>
        <w:t>布</w:t>
      </w:r>
    </w:p>
    <w:p w:rsidR="00274D4E" w:rsidRDefault="00B5732B">
      <w:pPr>
        <w:rPr>
          <w:rFonts w:ascii="宋体" w:hAnsi="宋体"/>
          <w:sz w:val="28"/>
          <w:szCs w:val="28"/>
        </w:rPr>
        <w:sectPr w:rsidR="00274D4E">
          <w:headerReference w:type="default" r:id="rId11"/>
          <w:footerReference w:type="even" r:id="rId12"/>
          <w:headerReference w:type="first" r:id="rId13"/>
          <w:footerReference w:type="first" r:id="rId14"/>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274D4E" w:rsidRDefault="00B5732B" w:rsidP="00754DE2">
      <w:pPr>
        <w:pStyle w:val="affffff6"/>
        <w:spacing w:after="468"/>
      </w:pPr>
      <w:bookmarkStart w:id="21" w:name="BookMark1"/>
      <w:r>
        <w:rPr>
          <w:rFonts w:hint="eastAsia"/>
          <w:spacing w:val="320"/>
        </w:rPr>
        <w:lastRenderedPageBreak/>
        <w:t>目</w:t>
      </w:r>
      <w:r>
        <w:rPr>
          <w:rFonts w:hint="eastAsia"/>
        </w:rPr>
        <w:t>次</w:t>
      </w:r>
    </w:p>
    <w:p w:rsidR="00274D4E" w:rsidRDefault="00B5732B">
      <w:pPr>
        <w:pStyle w:val="10"/>
        <w:tabs>
          <w:tab w:val="right" w:leader="dot" w:pos="9354"/>
        </w:tabs>
      </w:pPr>
      <w:r>
        <w:rPr>
          <w:rFonts w:hint="eastAsia"/>
        </w:rPr>
        <w:fldChar w:fldCharType="begin"/>
      </w:r>
      <w:r>
        <w:rPr>
          <w:rFonts w:hint="eastAsia"/>
        </w:rPr>
        <w:instrText>TOC \o "1-1" \t "标准文件_一级条标题,2,标准文件_二级条标题,3,标准文件_附录一级条标题,2,标准文件_附录二级条标题,3," \h</w:instrText>
      </w:r>
      <w:r>
        <w:rPr>
          <w:rFonts w:hint="eastAsia"/>
        </w:rPr>
        <w:fldChar w:fldCharType="separate"/>
      </w:r>
      <w:hyperlink w:anchor="_Toc14005" w:history="1">
        <w:r>
          <w:rPr>
            <w:rFonts w:hint="eastAsia"/>
          </w:rPr>
          <w:t>前言</w:t>
        </w:r>
        <w:r>
          <w:tab/>
        </w:r>
        <w:r>
          <w:fldChar w:fldCharType="begin"/>
        </w:r>
        <w:r>
          <w:instrText xml:space="preserve"> PAGEREF _Toc14005 \h </w:instrText>
        </w:r>
        <w:r>
          <w:fldChar w:fldCharType="separate"/>
        </w:r>
        <w:r>
          <w:t>III</w:t>
        </w:r>
        <w:r>
          <w:fldChar w:fldCharType="end"/>
        </w:r>
      </w:hyperlink>
    </w:p>
    <w:p w:rsidR="00274D4E" w:rsidRDefault="00FA71B5">
      <w:pPr>
        <w:pStyle w:val="10"/>
        <w:tabs>
          <w:tab w:val="right" w:leader="dot" w:pos="9354"/>
        </w:tabs>
      </w:pPr>
      <w:hyperlink w:anchor="_Toc18203" w:history="1">
        <w:r w:rsidR="00B5732B">
          <w:rPr>
            <w:rFonts w:hint="eastAsia"/>
          </w:rPr>
          <w:t>引言</w:t>
        </w:r>
        <w:r w:rsidR="00B5732B">
          <w:tab/>
        </w:r>
        <w:r w:rsidR="00B5732B">
          <w:fldChar w:fldCharType="begin"/>
        </w:r>
        <w:r w:rsidR="00B5732B">
          <w:instrText xml:space="preserve"> PAGEREF _Toc18203 \h </w:instrText>
        </w:r>
        <w:r w:rsidR="00B5732B">
          <w:fldChar w:fldCharType="separate"/>
        </w:r>
        <w:r w:rsidR="00B5732B">
          <w:t>IV</w:t>
        </w:r>
        <w:r w:rsidR="00B5732B">
          <w:fldChar w:fldCharType="end"/>
        </w:r>
      </w:hyperlink>
    </w:p>
    <w:p w:rsidR="00274D4E" w:rsidRDefault="00FA71B5">
      <w:pPr>
        <w:pStyle w:val="10"/>
        <w:tabs>
          <w:tab w:val="right" w:leader="dot" w:pos="9354"/>
        </w:tabs>
      </w:pPr>
      <w:hyperlink w:anchor="_Toc11879" w:history="1">
        <w:r w:rsidR="00B5732B">
          <w:rPr>
            <w:rFonts w:ascii="黑体" w:eastAsia="黑体" w:hint="eastAsia"/>
          </w:rPr>
          <w:t xml:space="preserve">1  </w:t>
        </w:r>
        <w:r w:rsidR="00B5732B">
          <w:rPr>
            <w:rFonts w:hint="eastAsia"/>
          </w:rPr>
          <w:t>范围</w:t>
        </w:r>
        <w:r w:rsidR="00B5732B">
          <w:tab/>
        </w:r>
        <w:r w:rsidR="00B5732B">
          <w:fldChar w:fldCharType="begin"/>
        </w:r>
        <w:r w:rsidR="00B5732B">
          <w:instrText xml:space="preserve"> PAGEREF _Toc11879 \h </w:instrText>
        </w:r>
        <w:r w:rsidR="00B5732B">
          <w:fldChar w:fldCharType="separate"/>
        </w:r>
        <w:r w:rsidR="00B5732B">
          <w:t>5</w:t>
        </w:r>
        <w:r w:rsidR="00B5732B">
          <w:fldChar w:fldCharType="end"/>
        </w:r>
      </w:hyperlink>
    </w:p>
    <w:p w:rsidR="00274D4E" w:rsidRDefault="00FA71B5">
      <w:pPr>
        <w:pStyle w:val="10"/>
        <w:tabs>
          <w:tab w:val="right" w:leader="dot" w:pos="9354"/>
        </w:tabs>
      </w:pPr>
      <w:hyperlink w:anchor="_Toc32700" w:history="1">
        <w:r w:rsidR="00B5732B">
          <w:rPr>
            <w:rFonts w:ascii="黑体" w:eastAsia="黑体" w:hint="eastAsia"/>
          </w:rPr>
          <w:t xml:space="preserve">2  </w:t>
        </w:r>
        <w:r w:rsidR="00B5732B">
          <w:rPr>
            <w:rFonts w:hint="eastAsia"/>
          </w:rPr>
          <w:t>规范性引用文件</w:t>
        </w:r>
        <w:r w:rsidR="00B5732B">
          <w:tab/>
        </w:r>
        <w:r w:rsidR="00B5732B">
          <w:fldChar w:fldCharType="begin"/>
        </w:r>
        <w:r w:rsidR="00B5732B">
          <w:instrText xml:space="preserve"> PAGEREF _Toc32700 \h </w:instrText>
        </w:r>
        <w:r w:rsidR="00B5732B">
          <w:fldChar w:fldCharType="separate"/>
        </w:r>
        <w:r w:rsidR="00B5732B">
          <w:t>5</w:t>
        </w:r>
        <w:r w:rsidR="00B5732B">
          <w:fldChar w:fldCharType="end"/>
        </w:r>
      </w:hyperlink>
    </w:p>
    <w:p w:rsidR="00274D4E" w:rsidRDefault="00FA71B5">
      <w:pPr>
        <w:pStyle w:val="10"/>
        <w:tabs>
          <w:tab w:val="right" w:leader="dot" w:pos="9354"/>
        </w:tabs>
      </w:pPr>
      <w:hyperlink w:anchor="_Toc17406" w:history="1">
        <w:r w:rsidR="00B5732B">
          <w:rPr>
            <w:rFonts w:ascii="黑体" w:eastAsia="黑体" w:hint="eastAsia"/>
          </w:rPr>
          <w:t xml:space="preserve">3  </w:t>
        </w:r>
        <w:r w:rsidR="00B5732B">
          <w:rPr>
            <w:rFonts w:hint="eastAsia"/>
          </w:rPr>
          <w:t>术语和定义</w:t>
        </w:r>
        <w:r w:rsidR="00B5732B">
          <w:tab/>
        </w:r>
        <w:r w:rsidR="00B5732B">
          <w:fldChar w:fldCharType="begin"/>
        </w:r>
        <w:r w:rsidR="00B5732B">
          <w:instrText xml:space="preserve"> PAGEREF _Toc17406 \h </w:instrText>
        </w:r>
        <w:r w:rsidR="00B5732B">
          <w:fldChar w:fldCharType="separate"/>
        </w:r>
        <w:r w:rsidR="00B5732B">
          <w:t>5</w:t>
        </w:r>
        <w:r w:rsidR="00B5732B">
          <w:fldChar w:fldCharType="end"/>
        </w:r>
      </w:hyperlink>
    </w:p>
    <w:p w:rsidR="00274D4E" w:rsidRDefault="00FA71B5">
      <w:pPr>
        <w:pStyle w:val="10"/>
        <w:tabs>
          <w:tab w:val="right" w:leader="dot" w:pos="9354"/>
        </w:tabs>
      </w:pPr>
      <w:hyperlink w:anchor="_Toc9384" w:history="1">
        <w:r w:rsidR="00B5732B">
          <w:rPr>
            <w:rFonts w:ascii="黑体" w:eastAsia="黑体" w:hint="eastAsia"/>
          </w:rPr>
          <w:t xml:space="preserve">4  </w:t>
        </w:r>
        <w:r w:rsidR="00B5732B">
          <w:rPr>
            <w:rFonts w:hint="eastAsia"/>
          </w:rPr>
          <w:t>总体要求</w:t>
        </w:r>
        <w:r w:rsidR="00B5732B">
          <w:tab/>
        </w:r>
        <w:r w:rsidR="00B5732B">
          <w:fldChar w:fldCharType="begin"/>
        </w:r>
        <w:r w:rsidR="00B5732B">
          <w:instrText xml:space="preserve"> PAGEREF _Toc9384 \h </w:instrText>
        </w:r>
        <w:r w:rsidR="00B5732B">
          <w:fldChar w:fldCharType="separate"/>
        </w:r>
        <w:r w:rsidR="00B5732B">
          <w:t>6</w:t>
        </w:r>
        <w:r w:rsidR="00B5732B">
          <w:fldChar w:fldCharType="end"/>
        </w:r>
      </w:hyperlink>
    </w:p>
    <w:p w:rsidR="00274D4E" w:rsidRDefault="00FA71B5">
      <w:pPr>
        <w:pStyle w:val="23"/>
        <w:tabs>
          <w:tab w:val="clear" w:pos="9344"/>
          <w:tab w:val="right" w:leader="dot" w:pos="9354"/>
        </w:tabs>
      </w:pPr>
      <w:hyperlink w:anchor="_Toc14279" w:history="1">
        <w:r w:rsidR="00B5732B">
          <w:rPr>
            <w:rFonts w:ascii="黑体" w:eastAsia="黑体" w:hAnsi="Times New Roman" w:hint="eastAsia"/>
            <w:kern w:val="0"/>
            <w14:scene3d>
              <w14:camera w14:prst="orthographicFront"/>
              <w14:lightRig w14:rig="threePt" w14:dir="t">
                <w14:rot w14:lat="0" w14:lon="0" w14:rev="0"/>
              </w14:lightRig>
            </w14:scene3d>
          </w:rPr>
          <w:t xml:space="preserve">4.1  </w:t>
        </w:r>
        <w:r w:rsidR="00B5732B">
          <w:rPr>
            <w:rFonts w:hint="eastAsia"/>
          </w:rPr>
          <w:t>工作内容</w:t>
        </w:r>
        <w:r w:rsidR="00B5732B">
          <w:tab/>
        </w:r>
        <w:r w:rsidR="00B5732B">
          <w:fldChar w:fldCharType="begin"/>
        </w:r>
        <w:r w:rsidR="00B5732B">
          <w:instrText xml:space="preserve"> PAGEREF _Toc14279 \h </w:instrText>
        </w:r>
        <w:r w:rsidR="00B5732B">
          <w:fldChar w:fldCharType="separate"/>
        </w:r>
        <w:r w:rsidR="00B5732B">
          <w:t>6</w:t>
        </w:r>
        <w:r w:rsidR="00B5732B">
          <w:fldChar w:fldCharType="end"/>
        </w:r>
      </w:hyperlink>
    </w:p>
    <w:p w:rsidR="00274D4E" w:rsidRDefault="00FA71B5">
      <w:pPr>
        <w:pStyle w:val="23"/>
        <w:tabs>
          <w:tab w:val="clear" w:pos="9344"/>
          <w:tab w:val="right" w:leader="dot" w:pos="9354"/>
        </w:tabs>
      </w:pPr>
      <w:hyperlink w:anchor="_Toc26304" w:history="1">
        <w:r w:rsidR="00B5732B">
          <w:rPr>
            <w:rFonts w:ascii="黑体" w:eastAsia="黑体" w:hAnsi="Times New Roman" w:hint="eastAsia"/>
            <w:kern w:val="0"/>
            <w14:scene3d>
              <w14:camera w14:prst="orthographicFront"/>
              <w14:lightRig w14:rig="threePt" w14:dir="t">
                <w14:rot w14:lat="0" w14:lon="0" w14:rev="0"/>
              </w14:lightRig>
            </w14:scene3d>
          </w:rPr>
          <w:t xml:space="preserve">4.2  </w:t>
        </w:r>
        <w:r w:rsidR="00B5732B">
          <w:rPr>
            <w:rFonts w:hint="eastAsia"/>
          </w:rPr>
          <w:t>工作方法</w:t>
        </w:r>
        <w:r w:rsidR="00B5732B">
          <w:tab/>
        </w:r>
        <w:r w:rsidR="00B5732B">
          <w:fldChar w:fldCharType="begin"/>
        </w:r>
        <w:r w:rsidR="00B5732B">
          <w:instrText xml:space="preserve"> PAGEREF _Toc26304 \h </w:instrText>
        </w:r>
        <w:r w:rsidR="00B5732B">
          <w:fldChar w:fldCharType="separate"/>
        </w:r>
        <w:r w:rsidR="00B5732B">
          <w:t>7</w:t>
        </w:r>
        <w:r w:rsidR="00B5732B">
          <w:fldChar w:fldCharType="end"/>
        </w:r>
      </w:hyperlink>
    </w:p>
    <w:p w:rsidR="00274D4E" w:rsidRDefault="00FA71B5">
      <w:pPr>
        <w:pStyle w:val="23"/>
        <w:tabs>
          <w:tab w:val="clear" w:pos="9344"/>
          <w:tab w:val="right" w:leader="dot" w:pos="9354"/>
        </w:tabs>
      </w:pPr>
      <w:hyperlink w:anchor="_Toc18884" w:history="1">
        <w:r w:rsidR="00B5732B">
          <w:rPr>
            <w:rFonts w:ascii="黑体" w:eastAsia="黑体" w:hAnsi="Times New Roman" w:hint="eastAsia"/>
            <w:kern w:val="0"/>
            <w14:scene3d>
              <w14:camera w14:prst="orthographicFront"/>
              <w14:lightRig w14:rig="threePt" w14:dir="t">
                <w14:rot w14:lat="0" w14:lon="0" w14:rev="0"/>
              </w14:lightRig>
            </w14:scene3d>
          </w:rPr>
          <w:t xml:space="preserve">4.3  </w:t>
        </w:r>
        <w:r w:rsidR="00B5732B">
          <w:rPr>
            <w:rFonts w:hint="eastAsia"/>
          </w:rPr>
          <w:t>检测范围</w:t>
        </w:r>
        <w:r w:rsidR="00B5732B">
          <w:tab/>
        </w:r>
        <w:r w:rsidR="00B5732B">
          <w:fldChar w:fldCharType="begin"/>
        </w:r>
        <w:r w:rsidR="00B5732B">
          <w:instrText xml:space="preserve"> PAGEREF _Toc18884 \h </w:instrText>
        </w:r>
        <w:r w:rsidR="00B5732B">
          <w:fldChar w:fldCharType="separate"/>
        </w:r>
        <w:r w:rsidR="00B5732B">
          <w:t>7</w:t>
        </w:r>
        <w:r w:rsidR="00B5732B">
          <w:fldChar w:fldCharType="end"/>
        </w:r>
      </w:hyperlink>
    </w:p>
    <w:p w:rsidR="00274D4E" w:rsidRDefault="00FA71B5">
      <w:pPr>
        <w:pStyle w:val="23"/>
        <w:tabs>
          <w:tab w:val="clear" w:pos="9344"/>
          <w:tab w:val="right" w:leader="dot" w:pos="9354"/>
        </w:tabs>
      </w:pPr>
      <w:hyperlink w:anchor="_Toc5658" w:history="1">
        <w:r w:rsidR="00B5732B">
          <w:rPr>
            <w:rFonts w:ascii="黑体" w:eastAsia="黑体" w:hAnsi="Times New Roman" w:hint="eastAsia"/>
            <w:kern w:val="0"/>
            <w14:scene3d>
              <w14:camera w14:prst="orthographicFront"/>
              <w14:lightRig w14:rig="threePt" w14:dir="t">
                <w14:rot w14:lat="0" w14:lon="0" w14:rev="0"/>
              </w14:lightRig>
            </w14:scene3d>
          </w:rPr>
          <w:t xml:space="preserve">4.4  </w:t>
        </w:r>
        <w:r w:rsidR="00B5732B">
          <w:rPr>
            <w:rFonts w:hint="eastAsia"/>
          </w:rPr>
          <w:t>检测区域</w:t>
        </w:r>
        <w:r w:rsidR="00B5732B">
          <w:tab/>
        </w:r>
        <w:r w:rsidR="00B5732B">
          <w:fldChar w:fldCharType="begin"/>
        </w:r>
        <w:r w:rsidR="00B5732B">
          <w:instrText xml:space="preserve"> PAGEREF _Toc5658 \h </w:instrText>
        </w:r>
        <w:r w:rsidR="00B5732B">
          <w:fldChar w:fldCharType="separate"/>
        </w:r>
        <w:r w:rsidR="00B5732B">
          <w:t>7</w:t>
        </w:r>
        <w:r w:rsidR="00B5732B">
          <w:fldChar w:fldCharType="end"/>
        </w:r>
      </w:hyperlink>
    </w:p>
    <w:p w:rsidR="00274D4E" w:rsidRDefault="00FA71B5">
      <w:pPr>
        <w:pStyle w:val="23"/>
        <w:tabs>
          <w:tab w:val="clear" w:pos="9344"/>
          <w:tab w:val="right" w:leader="dot" w:pos="9354"/>
        </w:tabs>
      </w:pPr>
      <w:hyperlink w:anchor="_Toc16740" w:history="1">
        <w:r w:rsidR="00B5732B">
          <w:rPr>
            <w:rFonts w:ascii="黑体" w:eastAsia="黑体" w:hAnsi="Times New Roman" w:hint="eastAsia"/>
            <w:kern w:val="0"/>
            <w14:scene3d>
              <w14:camera w14:prst="orthographicFront"/>
              <w14:lightRig w14:rig="threePt" w14:dir="t">
                <w14:rot w14:lat="0" w14:lon="0" w14:rev="0"/>
              </w14:lightRig>
            </w14:scene3d>
          </w:rPr>
          <w:t xml:space="preserve">4.5  </w:t>
        </w:r>
        <w:r w:rsidR="00B5732B">
          <w:rPr>
            <w:rFonts w:hint="eastAsia"/>
          </w:rPr>
          <w:t>检测时机和周期</w:t>
        </w:r>
        <w:r w:rsidR="00B5732B">
          <w:tab/>
        </w:r>
        <w:r w:rsidR="00B5732B">
          <w:fldChar w:fldCharType="begin"/>
        </w:r>
        <w:r w:rsidR="00B5732B">
          <w:instrText xml:space="preserve"> PAGEREF _Toc16740 \h </w:instrText>
        </w:r>
        <w:r w:rsidR="00B5732B">
          <w:fldChar w:fldCharType="separate"/>
        </w:r>
        <w:r w:rsidR="00B5732B">
          <w:t>7</w:t>
        </w:r>
        <w:r w:rsidR="00B5732B">
          <w:fldChar w:fldCharType="end"/>
        </w:r>
      </w:hyperlink>
    </w:p>
    <w:p w:rsidR="00274D4E" w:rsidRDefault="00FA71B5">
      <w:pPr>
        <w:pStyle w:val="30"/>
        <w:tabs>
          <w:tab w:val="right" w:leader="dot" w:pos="9354"/>
        </w:tabs>
      </w:pPr>
      <w:hyperlink w:anchor="_Toc32082" w:history="1">
        <w:r w:rsidR="00B5732B">
          <w:rPr>
            <w:rFonts w:ascii="黑体" w:eastAsia="黑体" w:hint="eastAsia"/>
          </w:rPr>
          <w:t xml:space="preserve">4.5.1  </w:t>
        </w:r>
        <w:r w:rsidR="00B5732B">
          <w:rPr>
            <w:rFonts w:hint="eastAsia"/>
          </w:rPr>
          <w:t>定期检测</w:t>
        </w:r>
        <w:r w:rsidR="00B5732B">
          <w:tab/>
        </w:r>
        <w:r w:rsidR="00B5732B">
          <w:fldChar w:fldCharType="begin"/>
        </w:r>
        <w:r w:rsidR="00B5732B">
          <w:instrText xml:space="preserve"> PAGEREF _Toc32082 \h </w:instrText>
        </w:r>
        <w:r w:rsidR="00B5732B">
          <w:fldChar w:fldCharType="separate"/>
        </w:r>
        <w:r w:rsidR="00B5732B">
          <w:t>7</w:t>
        </w:r>
        <w:r w:rsidR="00B5732B">
          <w:fldChar w:fldCharType="end"/>
        </w:r>
      </w:hyperlink>
    </w:p>
    <w:p w:rsidR="00274D4E" w:rsidRDefault="00FA71B5">
      <w:pPr>
        <w:pStyle w:val="30"/>
        <w:tabs>
          <w:tab w:val="right" w:leader="dot" w:pos="9354"/>
        </w:tabs>
      </w:pPr>
      <w:hyperlink w:anchor="_Toc1044" w:history="1">
        <w:r w:rsidR="00B5732B">
          <w:rPr>
            <w:rFonts w:ascii="黑体" w:eastAsia="黑体" w:hint="eastAsia"/>
          </w:rPr>
          <w:t xml:space="preserve">4.5.2  </w:t>
        </w:r>
        <w:r w:rsidR="00B5732B">
          <w:rPr>
            <w:rFonts w:hint="eastAsia"/>
          </w:rPr>
          <w:t>专项检测</w:t>
        </w:r>
        <w:r w:rsidR="00B5732B">
          <w:tab/>
        </w:r>
        <w:r w:rsidR="00B5732B">
          <w:fldChar w:fldCharType="begin"/>
        </w:r>
        <w:r w:rsidR="00B5732B">
          <w:instrText xml:space="preserve"> PAGEREF _Toc1044 \h </w:instrText>
        </w:r>
        <w:r w:rsidR="00B5732B">
          <w:fldChar w:fldCharType="separate"/>
        </w:r>
        <w:r w:rsidR="00B5732B">
          <w:t>7</w:t>
        </w:r>
        <w:r w:rsidR="00B5732B">
          <w:fldChar w:fldCharType="end"/>
        </w:r>
      </w:hyperlink>
    </w:p>
    <w:p w:rsidR="00274D4E" w:rsidRDefault="00FA71B5">
      <w:pPr>
        <w:pStyle w:val="30"/>
        <w:tabs>
          <w:tab w:val="right" w:leader="dot" w:pos="9354"/>
        </w:tabs>
      </w:pPr>
      <w:hyperlink w:anchor="_Toc9308" w:history="1">
        <w:r w:rsidR="00B5732B">
          <w:rPr>
            <w:rFonts w:ascii="黑体" w:eastAsia="黑体" w:hint="eastAsia"/>
          </w:rPr>
          <w:t xml:space="preserve">4.5.3  </w:t>
        </w:r>
        <w:r w:rsidR="00B5732B">
          <w:rPr>
            <w:rFonts w:hint="eastAsia"/>
          </w:rPr>
          <w:t>应急性检测</w:t>
        </w:r>
        <w:r w:rsidR="00B5732B">
          <w:tab/>
        </w:r>
        <w:r w:rsidR="00B5732B">
          <w:fldChar w:fldCharType="begin"/>
        </w:r>
        <w:r w:rsidR="00B5732B">
          <w:instrText xml:space="preserve"> PAGEREF _Toc9308 \h </w:instrText>
        </w:r>
        <w:r w:rsidR="00B5732B">
          <w:fldChar w:fldCharType="separate"/>
        </w:r>
        <w:r w:rsidR="00B5732B">
          <w:t>7</w:t>
        </w:r>
        <w:r w:rsidR="00B5732B">
          <w:fldChar w:fldCharType="end"/>
        </w:r>
      </w:hyperlink>
    </w:p>
    <w:p w:rsidR="00274D4E" w:rsidRDefault="00FA71B5">
      <w:pPr>
        <w:pStyle w:val="23"/>
        <w:tabs>
          <w:tab w:val="clear" w:pos="9344"/>
          <w:tab w:val="right" w:leader="dot" w:pos="9354"/>
        </w:tabs>
      </w:pPr>
      <w:hyperlink w:anchor="_Toc14667" w:history="1">
        <w:r w:rsidR="00B5732B">
          <w:rPr>
            <w:rFonts w:ascii="黑体" w:eastAsia="黑体" w:hAnsi="Times New Roman" w:hint="eastAsia"/>
            <w:kern w:val="0"/>
            <w14:scene3d>
              <w14:camera w14:prst="orthographicFront"/>
              <w14:lightRig w14:rig="threePt" w14:dir="t">
                <w14:rot w14:lat="0" w14:lon="0" w14:rev="0"/>
              </w14:lightRig>
            </w14:scene3d>
          </w:rPr>
          <w:t xml:space="preserve">4.6  </w:t>
        </w:r>
        <w:r w:rsidR="00B5732B">
          <w:rPr>
            <w:rFonts w:hint="eastAsia"/>
          </w:rPr>
          <w:t>工作流程</w:t>
        </w:r>
        <w:r w:rsidR="00B5732B">
          <w:tab/>
        </w:r>
        <w:r w:rsidR="00B5732B">
          <w:fldChar w:fldCharType="begin"/>
        </w:r>
        <w:r w:rsidR="00B5732B">
          <w:instrText xml:space="preserve"> PAGEREF _Toc14667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7900" w:history="1">
        <w:r w:rsidR="00B5732B">
          <w:rPr>
            <w:rFonts w:ascii="黑体" w:eastAsia="黑体" w:hAnsi="Times New Roman" w:hint="eastAsia"/>
            <w:kern w:val="0"/>
            <w14:scene3d>
              <w14:camera w14:prst="orthographicFront"/>
              <w14:lightRig w14:rig="threePt" w14:dir="t">
                <w14:rot w14:lat="0" w14:lon="0" w14:rev="0"/>
              </w14:lightRig>
            </w14:scene3d>
          </w:rPr>
          <w:t xml:space="preserve">4.7  </w:t>
        </w:r>
        <w:r w:rsidR="00B5732B">
          <w:rPr>
            <w:rFonts w:hint="eastAsia"/>
          </w:rPr>
          <w:t>工作准备</w:t>
        </w:r>
        <w:r w:rsidR="00B5732B">
          <w:tab/>
        </w:r>
        <w:r w:rsidR="00B5732B">
          <w:fldChar w:fldCharType="begin"/>
        </w:r>
        <w:r w:rsidR="00B5732B">
          <w:instrText xml:space="preserve"> PAGEREF _Toc7900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12283" w:history="1">
        <w:r w:rsidR="00B5732B">
          <w:rPr>
            <w:rFonts w:ascii="黑体" w:eastAsia="黑体" w:hAnsi="Times New Roman" w:hint="eastAsia"/>
            <w:kern w:val="0"/>
            <w14:scene3d>
              <w14:camera w14:prst="orthographicFront"/>
              <w14:lightRig w14:rig="threePt" w14:dir="t">
                <w14:rot w14:lat="0" w14:lon="0" w14:rev="0"/>
              </w14:lightRig>
            </w14:scene3d>
          </w:rPr>
          <w:t xml:space="preserve">4.8  </w:t>
        </w:r>
        <w:r w:rsidR="00B5732B">
          <w:rPr>
            <w:rFonts w:hint="eastAsia"/>
          </w:rPr>
          <w:t>现场数据采集</w:t>
        </w:r>
        <w:r w:rsidR="00B5732B">
          <w:tab/>
        </w:r>
        <w:r w:rsidR="00B5732B">
          <w:fldChar w:fldCharType="begin"/>
        </w:r>
        <w:r w:rsidR="00B5732B">
          <w:instrText xml:space="preserve"> PAGEREF _Toc12283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27221" w:history="1">
        <w:r w:rsidR="00B5732B">
          <w:rPr>
            <w:rFonts w:ascii="黑体" w:eastAsia="黑体" w:hAnsi="Times New Roman" w:hint="eastAsia"/>
            <w:kern w:val="0"/>
            <w14:scene3d>
              <w14:camera w14:prst="orthographicFront"/>
              <w14:lightRig w14:rig="threePt" w14:dir="t">
                <w14:rot w14:lat="0" w14:lon="0" w14:rev="0"/>
              </w14:lightRig>
            </w14:scene3d>
          </w:rPr>
          <w:t xml:space="preserve">4.9  </w:t>
        </w:r>
        <w:r w:rsidR="00B5732B">
          <w:rPr>
            <w:rFonts w:hint="eastAsia"/>
          </w:rPr>
          <w:t>数据处理和解释</w:t>
        </w:r>
        <w:r w:rsidR="00B5732B">
          <w:tab/>
        </w:r>
        <w:r w:rsidR="00B5732B">
          <w:fldChar w:fldCharType="begin"/>
        </w:r>
        <w:r w:rsidR="00B5732B">
          <w:instrText xml:space="preserve"> PAGEREF _Toc27221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6290" w:history="1">
        <w:r w:rsidR="00B5732B">
          <w:rPr>
            <w:rFonts w:ascii="黑体" w:eastAsia="黑体" w:hAnsi="Times New Roman" w:hint="eastAsia"/>
            <w:kern w:val="0"/>
            <w14:scene3d>
              <w14:camera w14:prst="orthographicFront"/>
              <w14:lightRig w14:rig="threePt" w14:dir="t">
                <w14:rot w14:lat="0" w14:lon="0" w14:rev="0"/>
              </w14:lightRig>
            </w14:scene3d>
          </w:rPr>
          <w:t xml:space="preserve">4.10  </w:t>
        </w:r>
        <w:r w:rsidR="00B5732B">
          <w:rPr>
            <w:rFonts w:hint="eastAsia"/>
          </w:rPr>
          <w:t>复核与验证</w:t>
        </w:r>
        <w:r w:rsidR="00B5732B">
          <w:tab/>
        </w:r>
        <w:r w:rsidR="00B5732B">
          <w:fldChar w:fldCharType="begin"/>
        </w:r>
        <w:r w:rsidR="00B5732B">
          <w:instrText xml:space="preserve"> PAGEREF _Toc6290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17065" w:history="1">
        <w:r w:rsidR="00B5732B">
          <w:rPr>
            <w:rFonts w:ascii="黑体" w:eastAsia="黑体" w:hAnsi="Times New Roman" w:hint="eastAsia"/>
            <w:kern w:val="0"/>
            <w14:scene3d>
              <w14:camera w14:prst="orthographicFront"/>
              <w14:lightRig w14:rig="threePt" w14:dir="t">
                <w14:rot w14:lat="0" w14:lon="0" w14:rev="0"/>
              </w14:lightRig>
            </w14:scene3d>
          </w:rPr>
          <w:t xml:space="preserve">4.11  </w:t>
        </w:r>
        <w:r w:rsidR="00B5732B">
          <w:rPr>
            <w:rFonts w:hint="eastAsia"/>
          </w:rPr>
          <w:t>质量检查</w:t>
        </w:r>
        <w:r w:rsidR="00B5732B">
          <w:tab/>
        </w:r>
        <w:r w:rsidR="00B5732B">
          <w:fldChar w:fldCharType="begin"/>
        </w:r>
        <w:r w:rsidR="00B5732B">
          <w:instrText xml:space="preserve"> PAGEREF _Toc17065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32748" w:history="1">
        <w:r w:rsidR="00B5732B">
          <w:rPr>
            <w:rFonts w:ascii="黑体" w:eastAsia="黑体" w:hAnsi="Times New Roman" w:hint="eastAsia"/>
            <w:kern w:val="0"/>
            <w14:scene3d>
              <w14:camera w14:prst="orthographicFront"/>
              <w14:lightRig w14:rig="threePt" w14:dir="t">
                <w14:rot w14:lat="0" w14:lon="0" w14:rev="0"/>
              </w14:lightRig>
            </w14:scene3d>
          </w:rPr>
          <w:t xml:space="preserve">4.12  </w:t>
        </w:r>
        <w:r w:rsidR="00B5732B">
          <w:rPr>
            <w:rFonts w:hint="eastAsia"/>
          </w:rPr>
          <w:t>风险评估及处置</w:t>
        </w:r>
        <w:r w:rsidR="00B5732B">
          <w:tab/>
        </w:r>
        <w:r w:rsidR="00B5732B">
          <w:fldChar w:fldCharType="begin"/>
        </w:r>
        <w:r w:rsidR="00B5732B">
          <w:instrText xml:space="preserve"> PAGEREF _Toc32748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18367" w:history="1">
        <w:r w:rsidR="00B5732B">
          <w:rPr>
            <w:rFonts w:ascii="黑体" w:eastAsia="黑体" w:hAnsi="Times New Roman" w:hint="eastAsia"/>
            <w:kern w:val="0"/>
            <w14:scene3d>
              <w14:camera w14:prst="orthographicFront"/>
              <w14:lightRig w14:rig="threePt" w14:dir="t">
                <w14:rot w14:lat="0" w14:lon="0" w14:rev="0"/>
              </w14:lightRig>
            </w14:scene3d>
          </w:rPr>
          <w:t xml:space="preserve">4.13  </w:t>
        </w:r>
        <w:r w:rsidR="00B5732B">
          <w:rPr>
            <w:rFonts w:hint="eastAsia"/>
          </w:rPr>
          <w:t>安全保护</w:t>
        </w:r>
        <w:r w:rsidR="00B5732B">
          <w:tab/>
        </w:r>
        <w:r w:rsidR="00B5732B">
          <w:fldChar w:fldCharType="begin"/>
        </w:r>
        <w:r w:rsidR="00B5732B">
          <w:instrText xml:space="preserve"> PAGEREF _Toc18367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6881" w:history="1">
        <w:r w:rsidR="00B5732B">
          <w:rPr>
            <w:rFonts w:ascii="黑体" w:eastAsia="黑体" w:hAnsi="Times New Roman" w:hint="eastAsia"/>
            <w:kern w:val="0"/>
            <w14:scene3d>
              <w14:camera w14:prst="orthographicFront"/>
              <w14:lightRig w14:rig="threePt" w14:dir="t">
                <w14:rot w14:lat="0" w14:lon="0" w14:rev="0"/>
              </w14:lightRig>
            </w14:scene3d>
          </w:rPr>
          <w:t xml:space="preserve">4.14  </w:t>
        </w:r>
        <w:r w:rsidR="00B5732B">
          <w:rPr>
            <w:rFonts w:hint="eastAsia"/>
          </w:rPr>
          <w:t>信息化</w:t>
        </w:r>
        <w:r w:rsidR="00B5732B">
          <w:tab/>
        </w:r>
        <w:r w:rsidR="00B5732B">
          <w:fldChar w:fldCharType="begin"/>
        </w:r>
        <w:r w:rsidR="00B5732B">
          <w:instrText xml:space="preserve"> PAGEREF _Toc6881 \h </w:instrText>
        </w:r>
        <w:r w:rsidR="00B5732B">
          <w:fldChar w:fldCharType="separate"/>
        </w:r>
        <w:r w:rsidR="00B5732B">
          <w:t>8</w:t>
        </w:r>
        <w:r w:rsidR="00B5732B">
          <w:fldChar w:fldCharType="end"/>
        </w:r>
      </w:hyperlink>
    </w:p>
    <w:p w:rsidR="00274D4E" w:rsidRDefault="00FA71B5">
      <w:pPr>
        <w:pStyle w:val="23"/>
        <w:tabs>
          <w:tab w:val="clear" w:pos="9344"/>
          <w:tab w:val="right" w:leader="dot" w:pos="9354"/>
        </w:tabs>
      </w:pPr>
      <w:hyperlink w:anchor="_Toc25940" w:history="1">
        <w:r w:rsidR="00B5732B">
          <w:rPr>
            <w:rFonts w:ascii="黑体" w:eastAsia="黑体" w:hAnsi="Times New Roman" w:hint="eastAsia"/>
            <w:kern w:val="0"/>
            <w14:scene3d>
              <w14:camera w14:prst="orthographicFront"/>
              <w14:lightRig w14:rig="threePt" w14:dir="t">
                <w14:rot w14:lat="0" w14:lon="0" w14:rev="0"/>
              </w14:lightRig>
            </w14:scene3d>
          </w:rPr>
          <w:t xml:space="preserve">4.15  </w:t>
        </w:r>
        <w:r w:rsidR="00B5732B">
          <w:rPr>
            <w:rFonts w:hint="eastAsia"/>
          </w:rPr>
          <w:t>新技术与新方法</w:t>
        </w:r>
        <w:r w:rsidR="00B5732B">
          <w:tab/>
        </w:r>
        <w:r w:rsidR="00B5732B">
          <w:fldChar w:fldCharType="begin"/>
        </w:r>
        <w:r w:rsidR="00B5732B">
          <w:instrText xml:space="preserve"> PAGEREF _Toc25940 \h </w:instrText>
        </w:r>
        <w:r w:rsidR="00B5732B">
          <w:fldChar w:fldCharType="separate"/>
        </w:r>
        <w:r w:rsidR="00B5732B">
          <w:t>9</w:t>
        </w:r>
        <w:r w:rsidR="00B5732B">
          <w:fldChar w:fldCharType="end"/>
        </w:r>
      </w:hyperlink>
    </w:p>
    <w:p w:rsidR="00274D4E" w:rsidRDefault="00FA71B5">
      <w:pPr>
        <w:pStyle w:val="10"/>
        <w:tabs>
          <w:tab w:val="right" w:leader="dot" w:pos="9354"/>
        </w:tabs>
      </w:pPr>
      <w:hyperlink w:anchor="_Toc12129" w:history="1">
        <w:r w:rsidR="00B5732B">
          <w:rPr>
            <w:rFonts w:ascii="黑体" w:eastAsia="黑体" w:hint="eastAsia"/>
          </w:rPr>
          <w:t xml:space="preserve">5  </w:t>
        </w:r>
        <w:r w:rsidR="00B5732B">
          <w:rPr>
            <w:rFonts w:ascii="黑体" w:eastAsia="黑体" w:hAnsi="黑体" w:cs="黑体" w:hint="eastAsia"/>
            <w:szCs w:val="20"/>
          </w:rPr>
          <w:t>工</w:t>
        </w:r>
        <w:r w:rsidR="00B5732B">
          <w:rPr>
            <w:rFonts w:eastAsia="黑体" w:hAnsi="黑体" w:cs="黑体" w:hint="eastAsia"/>
            <w:szCs w:val="20"/>
          </w:rPr>
          <w:t>作准备</w:t>
        </w:r>
        <w:r w:rsidR="00B5732B">
          <w:tab/>
        </w:r>
        <w:r w:rsidR="00B5732B">
          <w:fldChar w:fldCharType="begin"/>
        </w:r>
        <w:r w:rsidR="00B5732B">
          <w:instrText xml:space="preserve"> PAGEREF _Toc12129 \h </w:instrText>
        </w:r>
        <w:r w:rsidR="00B5732B">
          <w:fldChar w:fldCharType="separate"/>
        </w:r>
        <w:r w:rsidR="00B5732B">
          <w:t>9</w:t>
        </w:r>
        <w:r w:rsidR="00B5732B">
          <w:fldChar w:fldCharType="end"/>
        </w:r>
      </w:hyperlink>
    </w:p>
    <w:p w:rsidR="00274D4E" w:rsidRDefault="00FA71B5">
      <w:pPr>
        <w:pStyle w:val="23"/>
        <w:tabs>
          <w:tab w:val="clear" w:pos="9344"/>
          <w:tab w:val="right" w:leader="dot" w:pos="9354"/>
        </w:tabs>
      </w:pPr>
      <w:hyperlink w:anchor="_Toc13879" w:history="1">
        <w:r w:rsidR="00B5732B">
          <w:rPr>
            <w:rFonts w:ascii="黑体" w:eastAsia="黑体" w:hAnsi="Times New Roman" w:hint="eastAsia"/>
            <w:kern w:val="0"/>
            <w14:scene3d>
              <w14:camera w14:prst="orthographicFront"/>
              <w14:lightRig w14:rig="threePt" w14:dir="t">
                <w14:rot w14:lat="0" w14:lon="0" w14:rev="0"/>
              </w14:lightRig>
            </w14:scene3d>
          </w:rPr>
          <w:t xml:space="preserve">5.1  </w:t>
        </w:r>
        <w:r w:rsidR="00B5732B">
          <w:rPr>
            <w:rFonts w:hint="eastAsia"/>
          </w:rPr>
          <w:t>一般要求</w:t>
        </w:r>
        <w:r w:rsidR="00B5732B">
          <w:tab/>
        </w:r>
        <w:r w:rsidR="00B5732B">
          <w:fldChar w:fldCharType="begin"/>
        </w:r>
        <w:r w:rsidR="00B5732B">
          <w:instrText xml:space="preserve"> PAGEREF _Toc13879 \h </w:instrText>
        </w:r>
        <w:r w:rsidR="00B5732B">
          <w:fldChar w:fldCharType="separate"/>
        </w:r>
        <w:r w:rsidR="00B5732B">
          <w:t>9</w:t>
        </w:r>
        <w:r w:rsidR="00B5732B">
          <w:fldChar w:fldCharType="end"/>
        </w:r>
      </w:hyperlink>
    </w:p>
    <w:p w:rsidR="00274D4E" w:rsidRDefault="00FA71B5">
      <w:pPr>
        <w:pStyle w:val="23"/>
        <w:tabs>
          <w:tab w:val="clear" w:pos="9344"/>
          <w:tab w:val="right" w:leader="dot" w:pos="9354"/>
        </w:tabs>
      </w:pPr>
      <w:hyperlink w:anchor="_Toc3890" w:history="1">
        <w:r w:rsidR="00B5732B">
          <w:rPr>
            <w:rFonts w:ascii="黑体" w:eastAsia="黑体" w:hAnsi="Times New Roman" w:hint="eastAsia"/>
            <w:kern w:val="0"/>
            <w14:scene3d>
              <w14:camera w14:prst="orthographicFront"/>
              <w14:lightRig w14:rig="threePt" w14:dir="t">
                <w14:rot w14:lat="0" w14:lon="0" w14:rev="0"/>
              </w14:lightRig>
            </w14:scene3d>
          </w:rPr>
          <w:t xml:space="preserve">5.2  </w:t>
        </w:r>
        <w:r w:rsidR="00B5732B">
          <w:rPr>
            <w:rFonts w:hint="eastAsia"/>
          </w:rPr>
          <w:t>人员和组织</w:t>
        </w:r>
        <w:r w:rsidR="00B5732B">
          <w:tab/>
        </w:r>
        <w:r w:rsidR="00B5732B">
          <w:fldChar w:fldCharType="begin"/>
        </w:r>
        <w:r w:rsidR="00B5732B">
          <w:instrText xml:space="preserve"> PAGEREF _Toc3890 \h </w:instrText>
        </w:r>
        <w:r w:rsidR="00B5732B">
          <w:fldChar w:fldCharType="separate"/>
        </w:r>
        <w:r w:rsidR="00B5732B">
          <w:t>9</w:t>
        </w:r>
        <w:r w:rsidR="00B5732B">
          <w:fldChar w:fldCharType="end"/>
        </w:r>
      </w:hyperlink>
    </w:p>
    <w:p w:rsidR="00274D4E" w:rsidRDefault="00FA71B5">
      <w:pPr>
        <w:pStyle w:val="23"/>
        <w:tabs>
          <w:tab w:val="clear" w:pos="9344"/>
          <w:tab w:val="right" w:leader="dot" w:pos="9354"/>
        </w:tabs>
      </w:pPr>
      <w:hyperlink w:anchor="_Toc9857" w:history="1">
        <w:r w:rsidR="00B5732B">
          <w:rPr>
            <w:rFonts w:ascii="黑体" w:eastAsia="黑体" w:hAnsi="Times New Roman" w:hint="eastAsia"/>
            <w:kern w:val="0"/>
            <w14:scene3d>
              <w14:camera w14:prst="orthographicFront"/>
              <w14:lightRig w14:rig="threePt" w14:dir="t">
                <w14:rot w14:lat="0" w14:lon="0" w14:rev="0"/>
              </w14:lightRig>
            </w14:scene3d>
          </w:rPr>
          <w:t xml:space="preserve">5.3  </w:t>
        </w:r>
        <w:r w:rsidR="00B5732B">
          <w:rPr>
            <w:rFonts w:hint="eastAsia"/>
          </w:rPr>
          <w:t>设备配置</w:t>
        </w:r>
        <w:r w:rsidR="00B5732B">
          <w:tab/>
        </w:r>
        <w:r w:rsidR="00B5732B">
          <w:fldChar w:fldCharType="begin"/>
        </w:r>
        <w:r w:rsidR="00B5732B">
          <w:instrText xml:space="preserve"> PAGEREF _Toc9857 \h </w:instrText>
        </w:r>
        <w:r w:rsidR="00B5732B">
          <w:fldChar w:fldCharType="separate"/>
        </w:r>
        <w:r w:rsidR="00B5732B">
          <w:t>9</w:t>
        </w:r>
        <w:r w:rsidR="00B5732B">
          <w:fldChar w:fldCharType="end"/>
        </w:r>
      </w:hyperlink>
    </w:p>
    <w:p w:rsidR="00274D4E" w:rsidRDefault="00FA71B5">
      <w:pPr>
        <w:pStyle w:val="23"/>
        <w:tabs>
          <w:tab w:val="clear" w:pos="9344"/>
          <w:tab w:val="right" w:leader="dot" w:pos="9354"/>
        </w:tabs>
      </w:pPr>
      <w:hyperlink w:anchor="_Toc31173" w:history="1">
        <w:r w:rsidR="00B5732B">
          <w:rPr>
            <w:rFonts w:ascii="黑体" w:eastAsia="黑体" w:hAnsi="Times New Roman" w:hint="eastAsia"/>
            <w:kern w:val="0"/>
            <w14:scene3d>
              <w14:camera w14:prst="orthographicFront"/>
              <w14:lightRig w14:rig="threePt" w14:dir="t">
                <w14:rot w14:lat="0" w14:lon="0" w14:rev="0"/>
              </w14:lightRig>
            </w14:scene3d>
          </w:rPr>
          <w:t xml:space="preserve">5.4  </w:t>
        </w:r>
        <w:r w:rsidR="00B5732B">
          <w:rPr>
            <w:rFonts w:hint="eastAsia"/>
          </w:rPr>
          <w:t>设备要求</w:t>
        </w:r>
        <w:r w:rsidR="00B5732B">
          <w:tab/>
        </w:r>
        <w:r w:rsidR="00B5732B">
          <w:fldChar w:fldCharType="begin"/>
        </w:r>
        <w:r w:rsidR="00B5732B">
          <w:instrText xml:space="preserve"> PAGEREF _Toc31173 \h </w:instrText>
        </w:r>
        <w:r w:rsidR="00B5732B">
          <w:fldChar w:fldCharType="separate"/>
        </w:r>
        <w:r w:rsidR="00B5732B">
          <w:t>9</w:t>
        </w:r>
        <w:r w:rsidR="00B5732B">
          <w:fldChar w:fldCharType="end"/>
        </w:r>
      </w:hyperlink>
    </w:p>
    <w:p w:rsidR="00274D4E" w:rsidRDefault="00FA71B5">
      <w:pPr>
        <w:pStyle w:val="30"/>
        <w:tabs>
          <w:tab w:val="right" w:leader="dot" w:pos="9354"/>
        </w:tabs>
      </w:pPr>
      <w:hyperlink w:anchor="_Toc29840" w:history="1">
        <w:r w:rsidR="00B5732B">
          <w:rPr>
            <w:rFonts w:ascii="黑体" w:eastAsia="黑体" w:hint="eastAsia"/>
          </w:rPr>
          <w:t xml:space="preserve">5.4.1  </w:t>
        </w:r>
        <w:r w:rsidR="00B5732B">
          <w:rPr>
            <w:rFonts w:hint="eastAsia"/>
          </w:rPr>
          <w:t>一般要求</w:t>
        </w:r>
        <w:r w:rsidR="00B5732B">
          <w:tab/>
        </w:r>
        <w:r w:rsidR="00B5732B">
          <w:fldChar w:fldCharType="begin"/>
        </w:r>
        <w:r w:rsidR="00B5732B">
          <w:instrText xml:space="preserve"> PAGEREF _Toc29840 \h </w:instrText>
        </w:r>
        <w:r w:rsidR="00B5732B">
          <w:fldChar w:fldCharType="separate"/>
        </w:r>
        <w:r w:rsidR="00B5732B">
          <w:t>9</w:t>
        </w:r>
        <w:r w:rsidR="00B5732B">
          <w:fldChar w:fldCharType="end"/>
        </w:r>
      </w:hyperlink>
    </w:p>
    <w:p w:rsidR="00274D4E" w:rsidRDefault="00FA71B5">
      <w:pPr>
        <w:pStyle w:val="30"/>
        <w:tabs>
          <w:tab w:val="right" w:leader="dot" w:pos="9354"/>
        </w:tabs>
      </w:pPr>
      <w:hyperlink w:anchor="_Toc9684" w:history="1">
        <w:r w:rsidR="00B5732B">
          <w:rPr>
            <w:rFonts w:ascii="黑体" w:eastAsia="黑体" w:hint="eastAsia"/>
          </w:rPr>
          <w:t xml:space="preserve">5.4.2  </w:t>
        </w:r>
        <w:r w:rsidR="00B5732B">
          <w:rPr>
            <w:rFonts w:hint="eastAsia"/>
          </w:rPr>
          <w:t>道路结构层病害检测设备</w:t>
        </w:r>
        <w:r w:rsidR="00B5732B">
          <w:tab/>
        </w:r>
        <w:r w:rsidR="00B5732B">
          <w:fldChar w:fldCharType="begin"/>
        </w:r>
        <w:r w:rsidR="00B5732B">
          <w:instrText xml:space="preserve"> PAGEREF _Toc9684 \h </w:instrText>
        </w:r>
        <w:r w:rsidR="00B5732B">
          <w:fldChar w:fldCharType="separate"/>
        </w:r>
        <w:r w:rsidR="00B5732B">
          <w:t>9</w:t>
        </w:r>
        <w:r w:rsidR="00B5732B">
          <w:fldChar w:fldCharType="end"/>
        </w:r>
      </w:hyperlink>
    </w:p>
    <w:p w:rsidR="00274D4E" w:rsidRDefault="00FA71B5">
      <w:pPr>
        <w:pStyle w:val="30"/>
        <w:tabs>
          <w:tab w:val="right" w:leader="dot" w:pos="9354"/>
        </w:tabs>
      </w:pPr>
      <w:hyperlink w:anchor="_Toc28362" w:history="1">
        <w:r w:rsidR="00B5732B">
          <w:rPr>
            <w:rFonts w:ascii="黑体" w:eastAsia="黑体" w:hint="eastAsia"/>
          </w:rPr>
          <w:t xml:space="preserve">5.4.3  </w:t>
        </w:r>
        <w:r w:rsidR="00B5732B">
          <w:rPr>
            <w:rFonts w:hint="eastAsia"/>
          </w:rPr>
          <w:t>路基土体坍塌病害检测设备</w:t>
        </w:r>
        <w:r w:rsidR="00B5732B">
          <w:tab/>
        </w:r>
        <w:r w:rsidR="00B5732B">
          <w:fldChar w:fldCharType="begin"/>
        </w:r>
        <w:r w:rsidR="00B5732B">
          <w:instrText xml:space="preserve"> PAGEREF _Toc28362 \h </w:instrText>
        </w:r>
        <w:r w:rsidR="00B5732B">
          <w:fldChar w:fldCharType="separate"/>
        </w:r>
        <w:r w:rsidR="00B5732B">
          <w:t>9</w:t>
        </w:r>
        <w:r w:rsidR="00B5732B">
          <w:fldChar w:fldCharType="end"/>
        </w:r>
      </w:hyperlink>
    </w:p>
    <w:p w:rsidR="00274D4E" w:rsidRDefault="00FA71B5">
      <w:pPr>
        <w:pStyle w:val="23"/>
        <w:tabs>
          <w:tab w:val="clear" w:pos="9344"/>
          <w:tab w:val="right" w:leader="dot" w:pos="9354"/>
        </w:tabs>
      </w:pPr>
      <w:hyperlink w:anchor="_Toc30866" w:history="1">
        <w:r w:rsidR="00B5732B">
          <w:rPr>
            <w:rFonts w:ascii="黑体" w:eastAsia="黑体" w:hAnsi="Times New Roman" w:hint="eastAsia"/>
            <w:kern w:val="0"/>
            <w14:scene3d>
              <w14:camera w14:prst="orthographicFront"/>
              <w14:lightRig w14:rig="threePt" w14:dir="t">
                <w14:rot w14:lat="0" w14:lon="0" w14:rev="0"/>
              </w14:lightRig>
            </w14:scene3d>
          </w:rPr>
          <w:t xml:space="preserve">5.5  </w:t>
        </w:r>
        <w:r w:rsidR="00B5732B">
          <w:rPr>
            <w:rFonts w:hint="eastAsia"/>
          </w:rPr>
          <w:t>资料收集</w:t>
        </w:r>
        <w:r w:rsidR="00B5732B">
          <w:tab/>
        </w:r>
        <w:r w:rsidR="00B5732B">
          <w:fldChar w:fldCharType="begin"/>
        </w:r>
        <w:r w:rsidR="00B5732B">
          <w:instrText xml:space="preserve"> PAGEREF _Toc30866 \h </w:instrText>
        </w:r>
        <w:r w:rsidR="00B5732B">
          <w:fldChar w:fldCharType="separate"/>
        </w:r>
        <w:r w:rsidR="00B5732B">
          <w:t>10</w:t>
        </w:r>
        <w:r w:rsidR="00B5732B">
          <w:fldChar w:fldCharType="end"/>
        </w:r>
      </w:hyperlink>
    </w:p>
    <w:p w:rsidR="00274D4E" w:rsidRDefault="00FA71B5">
      <w:pPr>
        <w:pStyle w:val="23"/>
        <w:tabs>
          <w:tab w:val="clear" w:pos="9344"/>
          <w:tab w:val="right" w:leader="dot" w:pos="9354"/>
        </w:tabs>
      </w:pPr>
      <w:hyperlink w:anchor="_Toc31853" w:history="1">
        <w:r w:rsidR="00B5732B">
          <w:rPr>
            <w:rFonts w:ascii="黑体" w:eastAsia="黑体" w:hAnsi="Times New Roman" w:hint="eastAsia"/>
            <w:kern w:val="0"/>
            <w14:scene3d>
              <w14:camera w14:prst="orthographicFront"/>
              <w14:lightRig w14:rig="threePt" w14:dir="t">
                <w14:rot w14:lat="0" w14:lon="0" w14:rev="0"/>
              </w14:lightRig>
            </w14:scene3d>
          </w:rPr>
          <w:t xml:space="preserve">5.6  </w:t>
        </w:r>
        <w:r w:rsidR="00B5732B">
          <w:rPr>
            <w:rFonts w:hint="eastAsia"/>
          </w:rPr>
          <w:t>现场踏勘</w:t>
        </w:r>
        <w:r w:rsidR="00B5732B">
          <w:tab/>
        </w:r>
        <w:r w:rsidR="00B5732B">
          <w:fldChar w:fldCharType="begin"/>
        </w:r>
        <w:r w:rsidR="00B5732B">
          <w:instrText xml:space="preserve"> PAGEREF _Toc31853 \h </w:instrText>
        </w:r>
        <w:r w:rsidR="00B5732B">
          <w:fldChar w:fldCharType="separate"/>
        </w:r>
        <w:r w:rsidR="00B5732B">
          <w:t>10</w:t>
        </w:r>
        <w:r w:rsidR="00B5732B">
          <w:fldChar w:fldCharType="end"/>
        </w:r>
      </w:hyperlink>
    </w:p>
    <w:p w:rsidR="00274D4E" w:rsidRDefault="00FA71B5">
      <w:pPr>
        <w:pStyle w:val="23"/>
        <w:tabs>
          <w:tab w:val="clear" w:pos="9344"/>
          <w:tab w:val="right" w:leader="dot" w:pos="9354"/>
        </w:tabs>
      </w:pPr>
      <w:hyperlink w:anchor="_Toc24502" w:history="1">
        <w:r w:rsidR="00B5732B">
          <w:rPr>
            <w:rFonts w:ascii="黑体" w:eastAsia="黑体" w:hAnsi="Times New Roman" w:hint="eastAsia"/>
            <w:kern w:val="0"/>
            <w14:scene3d>
              <w14:camera w14:prst="orthographicFront"/>
              <w14:lightRig w14:rig="threePt" w14:dir="t">
                <w14:rot w14:lat="0" w14:lon="0" w14:rev="0"/>
              </w14:lightRig>
            </w14:scene3d>
          </w:rPr>
          <w:t xml:space="preserve">5.7  </w:t>
        </w:r>
        <w:r w:rsidR="00B5732B">
          <w:rPr>
            <w:rFonts w:hint="eastAsia"/>
          </w:rPr>
          <w:t>方案编制</w:t>
        </w:r>
        <w:r w:rsidR="00B5732B">
          <w:tab/>
        </w:r>
        <w:r w:rsidR="00B5732B">
          <w:fldChar w:fldCharType="begin"/>
        </w:r>
        <w:r w:rsidR="00B5732B">
          <w:instrText xml:space="preserve"> PAGEREF _Toc24502 \h </w:instrText>
        </w:r>
        <w:r w:rsidR="00B5732B">
          <w:fldChar w:fldCharType="separate"/>
        </w:r>
        <w:r w:rsidR="00B5732B">
          <w:t>10</w:t>
        </w:r>
        <w:r w:rsidR="00B5732B">
          <w:fldChar w:fldCharType="end"/>
        </w:r>
      </w:hyperlink>
    </w:p>
    <w:p w:rsidR="00274D4E" w:rsidRDefault="00FA71B5">
      <w:pPr>
        <w:pStyle w:val="10"/>
        <w:tabs>
          <w:tab w:val="right" w:leader="dot" w:pos="9354"/>
        </w:tabs>
      </w:pPr>
      <w:hyperlink w:anchor="_Toc12797" w:history="1">
        <w:r w:rsidR="00B5732B">
          <w:rPr>
            <w:rFonts w:ascii="黑体" w:eastAsia="黑体" w:hint="eastAsia"/>
          </w:rPr>
          <w:t xml:space="preserve">6  </w:t>
        </w:r>
        <w:r w:rsidR="00B5732B">
          <w:rPr>
            <w:rFonts w:ascii="黑体" w:eastAsia="黑体" w:hAnsi="黑体" w:cs="黑体" w:hint="eastAsia"/>
            <w:kern w:val="0"/>
            <w:szCs w:val="20"/>
          </w:rPr>
          <w:t>道路结构层病害检测</w:t>
        </w:r>
        <w:r w:rsidR="00B5732B">
          <w:tab/>
        </w:r>
        <w:r w:rsidR="00B5732B">
          <w:fldChar w:fldCharType="begin"/>
        </w:r>
        <w:r w:rsidR="00B5732B">
          <w:instrText xml:space="preserve"> PAGEREF _Toc12797 \h </w:instrText>
        </w:r>
        <w:r w:rsidR="00B5732B">
          <w:fldChar w:fldCharType="separate"/>
        </w:r>
        <w:r w:rsidR="00B5732B">
          <w:t>11</w:t>
        </w:r>
        <w:r w:rsidR="00B5732B">
          <w:fldChar w:fldCharType="end"/>
        </w:r>
      </w:hyperlink>
    </w:p>
    <w:p w:rsidR="00274D4E" w:rsidRDefault="00FA71B5">
      <w:pPr>
        <w:pStyle w:val="23"/>
        <w:tabs>
          <w:tab w:val="clear" w:pos="9344"/>
          <w:tab w:val="right" w:leader="dot" w:pos="9354"/>
        </w:tabs>
      </w:pPr>
      <w:hyperlink w:anchor="_Toc11447" w:history="1">
        <w:r w:rsidR="00B5732B">
          <w:rPr>
            <w:rFonts w:ascii="黑体" w:eastAsia="黑体" w:hAnsi="Times New Roman" w:hint="eastAsia"/>
            <w:kern w:val="0"/>
            <w14:scene3d>
              <w14:camera w14:prst="orthographicFront"/>
              <w14:lightRig w14:rig="threePt" w14:dir="t">
                <w14:rot w14:lat="0" w14:lon="0" w14:rev="0"/>
              </w14:lightRig>
            </w14:scene3d>
          </w:rPr>
          <w:t xml:space="preserve">6.1  </w:t>
        </w:r>
        <w:r w:rsidR="00B5732B">
          <w:rPr>
            <w:rFonts w:hint="eastAsia"/>
          </w:rPr>
          <w:t>一般要求</w:t>
        </w:r>
        <w:r w:rsidR="00B5732B">
          <w:tab/>
        </w:r>
        <w:r w:rsidR="00B5732B">
          <w:fldChar w:fldCharType="begin"/>
        </w:r>
        <w:r w:rsidR="00B5732B">
          <w:instrText xml:space="preserve"> PAGEREF _Toc11447 \h </w:instrText>
        </w:r>
        <w:r w:rsidR="00B5732B">
          <w:fldChar w:fldCharType="separate"/>
        </w:r>
        <w:r w:rsidR="00B5732B">
          <w:t>11</w:t>
        </w:r>
        <w:r w:rsidR="00B5732B">
          <w:fldChar w:fldCharType="end"/>
        </w:r>
      </w:hyperlink>
    </w:p>
    <w:p w:rsidR="00274D4E" w:rsidRDefault="00FA71B5">
      <w:pPr>
        <w:pStyle w:val="23"/>
        <w:tabs>
          <w:tab w:val="clear" w:pos="9344"/>
          <w:tab w:val="right" w:leader="dot" w:pos="9354"/>
        </w:tabs>
      </w:pPr>
      <w:hyperlink w:anchor="_Toc30223" w:history="1">
        <w:r w:rsidR="00B5732B">
          <w:rPr>
            <w:rFonts w:ascii="黑体" w:eastAsia="黑体" w:hAnsi="Times New Roman" w:hint="eastAsia"/>
            <w:kern w:val="0"/>
            <w14:scene3d>
              <w14:camera w14:prst="orthographicFront"/>
              <w14:lightRig w14:rig="threePt" w14:dir="t">
                <w14:rot w14:lat="0" w14:lon="0" w14:rev="0"/>
              </w14:lightRig>
            </w14:scene3d>
          </w:rPr>
          <w:t xml:space="preserve">6.2  </w:t>
        </w:r>
        <w:r w:rsidR="00B5732B">
          <w:rPr>
            <w:rFonts w:hint="eastAsia"/>
          </w:rPr>
          <w:t>现场数据采集</w:t>
        </w:r>
        <w:r w:rsidR="00B5732B">
          <w:tab/>
        </w:r>
        <w:r w:rsidR="00B5732B">
          <w:fldChar w:fldCharType="begin"/>
        </w:r>
        <w:r w:rsidR="00B5732B">
          <w:instrText xml:space="preserve"> PAGEREF _Toc30223 \h </w:instrText>
        </w:r>
        <w:r w:rsidR="00B5732B">
          <w:fldChar w:fldCharType="separate"/>
        </w:r>
        <w:r w:rsidR="00B5732B">
          <w:t>11</w:t>
        </w:r>
        <w:r w:rsidR="00B5732B">
          <w:fldChar w:fldCharType="end"/>
        </w:r>
      </w:hyperlink>
    </w:p>
    <w:p w:rsidR="00274D4E" w:rsidRDefault="00FA71B5">
      <w:pPr>
        <w:pStyle w:val="23"/>
        <w:tabs>
          <w:tab w:val="clear" w:pos="9344"/>
          <w:tab w:val="right" w:leader="dot" w:pos="9354"/>
        </w:tabs>
      </w:pPr>
      <w:hyperlink w:anchor="_Toc738" w:history="1">
        <w:r w:rsidR="00B5732B">
          <w:rPr>
            <w:rFonts w:ascii="黑体" w:eastAsia="黑体" w:hAnsi="Times New Roman" w:hint="eastAsia"/>
            <w:kern w:val="0"/>
            <w14:scene3d>
              <w14:camera w14:prst="orthographicFront"/>
              <w14:lightRig w14:rig="threePt" w14:dir="t">
                <w14:rot w14:lat="0" w14:lon="0" w14:rev="0"/>
              </w14:lightRig>
            </w14:scene3d>
          </w:rPr>
          <w:t xml:space="preserve">6.3  </w:t>
        </w:r>
        <w:r w:rsidR="00B5732B">
          <w:rPr>
            <w:rFonts w:hint="eastAsia"/>
          </w:rPr>
          <w:t>数据处理与解释</w:t>
        </w:r>
        <w:r w:rsidR="00B5732B">
          <w:tab/>
        </w:r>
        <w:r w:rsidR="00B5732B">
          <w:fldChar w:fldCharType="begin"/>
        </w:r>
        <w:r w:rsidR="00B5732B">
          <w:instrText xml:space="preserve"> PAGEREF _Toc738 \h </w:instrText>
        </w:r>
        <w:r w:rsidR="00B5732B">
          <w:fldChar w:fldCharType="separate"/>
        </w:r>
        <w:r w:rsidR="00B5732B">
          <w:t>12</w:t>
        </w:r>
        <w:r w:rsidR="00B5732B">
          <w:fldChar w:fldCharType="end"/>
        </w:r>
      </w:hyperlink>
    </w:p>
    <w:p w:rsidR="00274D4E" w:rsidRDefault="00FA71B5">
      <w:pPr>
        <w:pStyle w:val="30"/>
        <w:tabs>
          <w:tab w:val="right" w:leader="dot" w:pos="9354"/>
        </w:tabs>
      </w:pPr>
      <w:hyperlink w:anchor="_Toc8580" w:history="1">
        <w:r w:rsidR="00B5732B">
          <w:rPr>
            <w:rFonts w:ascii="黑体" w:eastAsia="黑体" w:hint="eastAsia"/>
          </w:rPr>
          <w:t xml:space="preserve">6.3.1  </w:t>
        </w:r>
        <w:r w:rsidR="00B5732B">
          <w:rPr>
            <w:rFonts w:hint="eastAsia"/>
          </w:rPr>
          <w:t>数据处理</w:t>
        </w:r>
        <w:r w:rsidR="00B5732B">
          <w:tab/>
        </w:r>
        <w:r w:rsidR="00B5732B">
          <w:fldChar w:fldCharType="begin"/>
        </w:r>
        <w:r w:rsidR="00B5732B">
          <w:instrText xml:space="preserve"> PAGEREF _Toc8580 \h </w:instrText>
        </w:r>
        <w:r w:rsidR="00B5732B">
          <w:fldChar w:fldCharType="separate"/>
        </w:r>
        <w:r w:rsidR="00B5732B">
          <w:t>12</w:t>
        </w:r>
        <w:r w:rsidR="00B5732B">
          <w:fldChar w:fldCharType="end"/>
        </w:r>
      </w:hyperlink>
    </w:p>
    <w:p w:rsidR="00274D4E" w:rsidRDefault="00FA71B5">
      <w:pPr>
        <w:pStyle w:val="30"/>
        <w:tabs>
          <w:tab w:val="right" w:leader="dot" w:pos="9354"/>
        </w:tabs>
      </w:pPr>
      <w:hyperlink w:anchor="_Toc14140" w:history="1">
        <w:r w:rsidR="00B5732B">
          <w:rPr>
            <w:rFonts w:ascii="黑体" w:eastAsia="黑体" w:hint="eastAsia"/>
          </w:rPr>
          <w:t xml:space="preserve">6.3.2  </w:t>
        </w:r>
        <w:r w:rsidR="00B5732B">
          <w:rPr>
            <w:rFonts w:hint="eastAsia"/>
          </w:rPr>
          <w:t>数据解释</w:t>
        </w:r>
        <w:r w:rsidR="00B5732B">
          <w:tab/>
        </w:r>
        <w:r w:rsidR="00B5732B">
          <w:fldChar w:fldCharType="begin"/>
        </w:r>
        <w:r w:rsidR="00B5732B">
          <w:instrText xml:space="preserve"> PAGEREF _Toc14140 \h </w:instrText>
        </w:r>
        <w:r w:rsidR="00B5732B">
          <w:fldChar w:fldCharType="separate"/>
        </w:r>
        <w:r w:rsidR="00B5732B">
          <w:t>13</w:t>
        </w:r>
        <w:r w:rsidR="00B5732B">
          <w:fldChar w:fldCharType="end"/>
        </w:r>
      </w:hyperlink>
    </w:p>
    <w:p w:rsidR="00274D4E" w:rsidRDefault="00FA71B5">
      <w:pPr>
        <w:pStyle w:val="10"/>
        <w:tabs>
          <w:tab w:val="right" w:leader="dot" w:pos="9354"/>
        </w:tabs>
      </w:pPr>
      <w:hyperlink w:anchor="_Toc7787" w:history="1">
        <w:r w:rsidR="00B5732B">
          <w:rPr>
            <w:rFonts w:ascii="黑体" w:eastAsia="黑体" w:hint="eastAsia"/>
          </w:rPr>
          <w:t xml:space="preserve">7  </w:t>
        </w:r>
        <w:r w:rsidR="00B5732B">
          <w:rPr>
            <w:rFonts w:hint="eastAsia"/>
          </w:rPr>
          <w:t>路基土体坍塌病害检测</w:t>
        </w:r>
        <w:r w:rsidR="00B5732B">
          <w:tab/>
        </w:r>
        <w:r w:rsidR="00B5732B">
          <w:fldChar w:fldCharType="begin"/>
        </w:r>
        <w:r w:rsidR="00B5732B">
          <w:instrText xml:space="preserve"> PAGEREF _Toc7787 \h </w:instrText>
        </w:r>
        <w:r w:rsidR="00B5732B">
          <w:fldChar w:fldCharType="separate"/>
        </w:r>
        <w:r w:rsidR="00B5732B">
          <w:t>14</w:t>
        </w:r>
        <w:r w:rsidR="00B5732B">
          <w:fldChar w:fldCharType="end"/>
        </w:r>
      </w:hyperlink>
    </w:p>
    <w:p w:rsidR="00274D4E" w:rsidRDefault="00FA71B5">
      <w:pPr>
        <w:pStyle w:val="23"/>
        <w:tabs>
          <w:tab w:val="clear" w:pos="9344"/>
          <w:tab w:val="right" w:leader="dot" w:pos="9354"/>
        </w:tabs>
      </w:pPr>
      <w:hyperlink w:anchor="_Toc14408" w:history="1">
        <w:r w:rsidR="00B5732B">
          <w:rPr>
            <w:rFonts w:ascii="黑体" w:eastAsia="黑体" w:hAnsi="Times New Roman" w:hint="eastAsia"/>
            <w:kern w:val="0"/>
            <w14:scene3d>
              <w14:camera w14:prst="orthographicFront"/>
              <w14:lightRig w14:rig="threePt" w14:dir="t">
                <w14:rot w14:lat="0" w14:lon="0" w14:rev="0"/>
              </w14:lightRig>
            </w14:scene3d>
          </w:rPr>
          <w:t xml:space="preserve">7.1  </w:t>
        </w:r>
        <w:r w:rsidR="00B5732B">
          <w:rPr>
            <w:rFonts w:hint="eastAsia"/>
          </w:rPr>
          <w:t>一般要求</w:t>
        </w:r>
        <w:r w:rsidR="00B5732B">
          <w:tab/>
        </w:r>
        <w:r w:rsidR="00B5732B">
          <w:fldChar w:fldCharType="begin"/>
        </w:r>
        <w:r w:rsidR="00B5732B">
          <w:instrText xml:space="preserve"> PAGEREF _Toc14408 \h </w:instrText>
        </w:r>
        <w:r w:rsidR="00B5732B">
          <w:fldChar w:fldCharType="separate"/>
        </w:r>
        <w:r w:rsidR="00B5732B">
          <w:t>14</w:t>
        </w:r>
        <w:r w:rsidR="00B5732B">
          <w:fldChar w:fldCharType="end"/>
        </w:r>
      </w:hyperlink>
    </w:p>
    <w:p w:rsidR="00274D4E" w:rsidRDefault="00FA71B5">
      <w:pPr>
        <w:pStyle w:val="23"/>
        <w:tabs>
          <w:tab w:val="clear" w:pos="9344"/>
          <w:tab w:val="right" w:leader="dot" w:pos="9354"/>
        </w:tabs>
      </w:pPr>
      <w:hyperlink w:anchor="_Toc25380" w:history="1">
        <w:r w:rsidR="00B5732B">
          <w:rPr>
            <w:rFonts w:ascii="黑体" w:eastAsia="黑体" w:hAnsi="Times New Roman" w:hint="eastAsia"/>
            <w:kern w:val="0"/>
            <w14:scene3d>
              <w14:camera w14:prst="orthographicFront"/>
              <w14:lightRig w14:rig="threePt" w14:dir="t">
                <w14:rot w14:lat="0" w14:lon="0" w14:rev="0"/>
              </w14:lightRig>
            </w14:scene3d>
          </w:rPr>
          <w:t xml:space="preserve">7.2  </w:t>
        </w:r>
        <w:r w:rsidR="00B5732B">
          <w:rPr>
            <w:rFonts w:hint="eastAsia"/>
          </w:rPr>
          <w:t>现场数据采集</w:t>
        </w:r>
        <w:r w:rsidR="00B5732B">
          <w:tab/>
        </w:r>
        <w:r w:rsidR="00B5732B">
          <w:fldChar w:fldCharType="begin"/>
        </w:r>
        <w:r w:rsidR="00B5732B">
          <w:instrText xml:space="preserve"> PAGEREF _Toc25380 \h </w:instrText>
        </w:r>
        <w:r w:rsidR="00B5732B">
          <w:fldChar w:fldCharType="separate"/>
        </w:r>
        <w:r w:rsidR="00B5732B">
          <w:t>14</w:t>
        </w:r>
        <w:r w:rsidR="00B5732B">
          <w:fldChar w:fldCharType="end"/>
        </w:r>
      </w:hyperlink>
    </w:p>
    <w:p w:rsidR="00274D4E" w:rsidRDefault="00FA71B5">
      <w:pPr>
        <w:pStyle w:val="23"/>
        <w:tabs>
          <w:tab w:val="clear" w:pos="9344"/>
          <w:tab w:val="right" w:leader="dot" w:pos="9354"/>
        </w:tabs>
      </w:pPr>
      <w:hyperlink w:anchor="_Toc1320" w:history="1">
        <w:r w:rsidR="00B5732B">
          <w:rPr>
            <w:rFonts w:ascii="黑体" w:eastAsia="黑体" w:hAnsi="Times New Roman" w:hint="eastAsia"/>
            <w:kern w:val="0"/>
            <w14:scene3d>
              <w14:camera w14:prst="orthographicFront"/>
              <w14:lightRig w14:rig="threePt" w14:dir="t">
                <w14:rot w14:lat="0" w14:lon="0" w14:rev="0"/>
              </w14:lightRig>
            </w14:scene3d>
          </w:rPr>
          <w:t xml:space="preserve">7.3  </w:t>
        </w:r>
        <w:r w:rsidR="00B5732B">
          <w:rPr>
            <w:rFonts w:hint="eastAsia"/>
          </w:rPr>
          <w:t>测线定位与测量</w:t>
        </w:r>
        <w:r w:rsidR="00B5732B">
          <w:tab/>
        </w:r>
        <w:r w:rsidR="00B5732B">
          <w:fldChar w:fldCharType="begin"/>
        </w:r>
        <w:r w:rsidR="00B5732B">
          <w:instrText xml:space="preserve"> PAGEREF _Toc1320 \h </w:instrText>
        </w:r>
        <w:r w:rsidR="00B5732B">
          <w:fldChar w:fldCharType="separate"/>
        </w:r>
        <w:r w:rsidR="00B5732B">
          <w:t>15</w:t>
        </w:r>
        <w:r w:rsidR="00B5732B">
          <w:fldChar w:fldCharType="end"/>
        </w:r>
      </w:hyperlink>
    </w:p>
    <w:p w:rsidR="00274D4E" w:rsidRDefault="00FA71B5">
      <w:pPr>
        <w:pStyle w:val="23"/>
        <w:tabs>
          <w:tab w:val="clear" w:pos="9344"/>
          <w:tab w:val="right" w:leader="dot" w:pos="9354"/>
        </w:tabs>
      </w:pPr>
      <w:hyperlink w:anchor="_Toc21376" w:history="1">
        <w:r w:rsidR="00B5732B">
          <w:rPr>
            <w:rFonts w:ascii="黑体" w:eastAsia="黑体" w:hAnsi="Times New Roman" w:hint="eastAsia"/>
            <w:kern w:val="0"/>
            <w14:scene3d>
              <w14:camera w14:prst="orthographicFront"/>
              <w14:lightRig w14:rig="threePt" w14:dir="t">
                <w14:rot w14:lat="0" w14:lon="0" w14:rev="0"/>
              </w14:lightRig>
            </w14:scene3d>
          </w:rPr>
          <w:t xml:space="preserve">7.4  </w:t>
        </w:r>
        <w:r w:rsidR="00B5732B">
          <w:rPr>
            <w:rFonts w:hint="eastAsia"/>
          </w:rPr>
          <w:t>数据处理与解释</w:t>
        </w:r>
        <w:r w:rsidR="00B5732B">
          <w:tab/>
        </w:r>
        <w:r w:rsidR="00B5732B">
          <w:fldChar w:fldCharType="begin"/>
        </w:r>
        <w:r w:rsidR="00B5732B">
          <w:instrText xml:space="preserve"> PAGEREF _Toc21376 \h </w:instrText>
        </w:r>
        <w:r w:rsidR="00B5732B">
          <w:fldChar w:fldCharType="separate"/>
        </w:r>
        <w:r w:rsidR="00B5732B">
          <w:t>16</w:t>
        </w:r>
        <w:r w:rsidR="00B5732B">
          <w:fldChar w:fldCharType="end"/>
        </w:r>
      </w:hyperlink>
    </w:p>
    <w:p w:rsidR="00274D4E" w:rsidRDefault="00FA71B5">
      <w:pPr>
        <w:pStyle w:val="30"/>
        <w:tabs>
          <w:tab w:val="right" w:leader="dot" w:pos="9354"/>
        </w:tabs>
      </w:pPr>
      <w:hyperlink w:anchor="_Toc14013" w:history="1">
        <w:r w:rsidR="00B5732B">
          <w:rPr>
            <w:rFonts w:ascii="黑体" w:eastAsia="黑体" w:hint="eastAsia"/>
          </w:rPr>
          <w:t xml:space="preserve">7.4.1  </w:t>
        </w:r>
        <w:r w:rsidR="00B5732B">
          <w:rPr>
            <w:rFonts w:hint="eastAsia"/>
          </w:rPr>
          <w:t>数据处理</w:t>
        </w:r>
        <w:r w:rsidR="00B5732B">
          <w:tab/>
        </w:r>
        <w:r w:rsidR="00B5732B">
          <w:fldChar w:fldCharType="begin"/>
        </w:r>
        <w:r w:rsidR="00B5732B">
          <w:instrText xml:space="preserve"> PAGEREF _Toc14013 \h </w:instrText>
        </w:r>
        <w:r w:rsidR="00B5732B">
          <w:fldChar w:fldCharType="separate"/>
        </w:r>
        <w:r w:rsidR="00B5732B">
          <w:t>16</w:t>
        </w:r>
        <w:r w:rsidR="00B5732B">
          <w:fldChar w:fldCharType="end"/>
        </w:r>
      </w:hyperlink>
    </w:p>
    <w:p w:rsidR="00274D4E" w:rsidRDefault="00FA71B5">
      <w:pPr>
        <w:pStyle w:val="30"/>
        <w:tabs>
          <w:tab w:val="right" w:leader="dot" w:pos="9354"/>
        </w:tabs>
      </w:pPr>
      <w:hyperlink w:anchor="_Toc8171" w:history="1">
        <w:r w:rsidR="00B5732B">
          <w:rPr>
            <w:rFonts w:ascii="黑体" w:eastAsia="黑体" w:hint="eastAsia"/>
          </w:rPr>
          <w:t xml:space="preserve">7.4.2  </w:t>
        </w:r>
        <w:r w:rsidR="00B5732B">
          <w:rPr>
            <w:rFonts w:hint="eastAsia"/>
          </w:rPr>
          <w:t>数据解释</w:t>
        </w:r>
        <w:r w:rsidR="00B5732B">
          <w:tab/>
        </w:r>
        <w:r w:rsidR="00B5732B">
          <w:fldChar w:fldCharType="begin"/>
        </w:r>
        <w:r w:rsidR="00B5732B">
          <w:instrText xml:space="preserve"> PAGEREF _Toc8171 \h </w:instrText>
        </w:r>
        <w:r w:rsidR="00B5732B">
          <w:fldChar w:fldCharType="separate"/>
        </w:r>
        <w:r w:rsidR="00B5732B">
          <w:t>16</w:t>
        </w:r>
        <w:r w:rsidR="00B5732B">
          <w:fldChar w:fldCharType="end"/>
        </w:r>
      </w:hyperlink>
    </w:p>
    <w:p w:rsidR="00274D4E" w:rsidRDefault="00FA71B5">
      <w:pPr>
        <w:pStyle w:val="10"/>
        <w:tabs>
          <w:tab w:val="right" w:leader="dot" w:pos="9354"/>
        </w:tabs>
      </w:pPr>
      <w:hyperlink w:anchor="_Toc29347" w:history="1">
        <w:r w:rsidR="00B5732B">
          <w:rPr>
            <w:rFonts w:ascii="黑体" w:eastAsia="黑体" w:hint="eastAsia"/>
          </w:rPr>
          <w:t xml:space="preserve">8  </w:t>
        </w:r>
        <w:r w:rsidR="00B5732B">
          <w:rPr>
            <w:rFonts w:hint="eastAsia"/>
          </w:rPr>
          <w:t>复核与验证</w:t>
        </w:r>
        <w:r w:rsidR="00B5732B">
          <w:tab/>
        </w:r>
        <w:r w:rsidR="00B5732B">
          <w:fldChar w:fldCharType="begin"/>
        </w:r>
        <w:r w:rsidR="00B5732B">
          <w:instrText xml:space="preserve"> PAGEREF _Toc29347 \h </w:instrText>
        </w:r>
        <w:r w:rsidR="00B5732B">
          <w:fldChar w:fldCharType="separate"/>
        </w:r>
        <w:r w:rsidR="00B5732B">
          <w:t>19</w:t>
        </w:r>
        <w:r w:rsidR="00B5732B">
          <w:fldChar w:fldCharType="end"/>
        </w:r>
      </w:hyperlink>
    </w:p>
    <w:p w:rsidR="00274D4E" w:rsidRDefault="00FA71B5">
      <w:pPr>
        <w:pStyle w:val="23"/>
        <w:tabs>
          <w:tab w:val="clear" w:pos="9344"/>
          <w:tab w:val="right" w:leader="dot" w:pos="9354"/>
        </w:tabs>
      </w:pPr>
      <w:hyperlink w:anchor="_Toc15079" w:history="1">
        <w:r w:rsidR="00B5732B">
          <w:rPr>
            <w:rFonts w:ascii="黑体" w:eastAsia="黑体" w:hAnsi="Times New Roman" w:hint="eastAsia"/>
            <w:kern w:val="0"/>
            <w14:scene3d>
              <w14:camera w14:prst="orthographicFront"/>
              <w14:lightRig w14:rig="threePt" w14:dir="t">
                <w14:rot w14:lat="0" w14:lon="0" w14:rev="0"/>
              </w14:lightRig>
            </w14:scene3d>
          </w:rPr>
          <w:t xml:space="preserve">8.1  </w:t>
        </w:r>
        <w:r w:rsidR="00B5732B">
          <w:rPr>
            <w:rFonts w:hint="eastAsia"/>
          </w:rPr>
          <w:t>一般要求</w:t>
        </w:r>
        <w:r w:rsidR="00B5732B">
          <w:tab/>
        </w:r>
        <w:r w:rsidR="00B5732B">
          <w:fldChar w:fldCharType="begin"/>
        </w:r>
        <w:r w:rsidR="00B5732B">
          <w:instrText xml:space="preserve"> PAGEREF _Toc15079 \h </w:instrText>
        </w:r>
        <w:r w:rsidR="00B5732B">
          <w:fldChar w:fldCharType="separate"/>
        </w:r>
        <w:r w:rsidR="00B5732B">
          <w:t>19</w:t>
        </w:r>
        <w:r w:rsidR="00B5732B">
          <w:fldChar w:fldCharType="end"/>
        </w:r>
      </w:hyperlink>
    </w:p>
    <w:p w:rsidR="00274D4E" w:rsidRDefault="00FA71B5">
      <w:pPr>
        <w:pStyle w:val="23"/>
        <w:tabs>
          <w:tab w:val="clear" w:pos="9344"/>
          <w:tab w:val="right" w:leader="dot" w:pos="9354"/>
        </w:tabs>
      </w:pPr>
      <w:hyperlink w:anchor="_Toc8003" w:history="1">
        <w:r w:rsidR="00B5732B">
          <w:rPr>
            <w:rFonts w:ascii="黑体" w:eastAsia="黑体" w:hAnsi="Times New Roman" w:hint="eastAsia"/>
            <w:kern w:val="0"/>
            <w14:scene3d>
              <w14:camera w14:prst="orthographicFront"/>
              <w14:lightRig w14:rig="threePt" w14:dir="t">
                <w14:rot w14:lat="0" w14:lon="0" w14:rev="0"/>
              </w14:lightRig>
            </w14:scene3d>
          </w:rPr>
          <w:t xml:space="preserve">8.2  </w:t>
        </w:r>
        <w:r w:rsidR="00B5732B">
          <w:rPr>
            <w:rFonts w:hint="eastAsia"/>
          </w:rPr>
          <w:t>道路结构层病害复核</w:t>
        </w:r>
        <w:r w:rsidR="00B5732B">
          <w:tab/>
        </w:r>
        <w:r w:rsidR="00B5732B">
          <w:fldChar w:fldCharType="begin"/>
        </w:r>
        <w:r w:rsidR="00B5732B">
          <w:instrText xml:space="preserve"> PAGEREF _Toc8003 \h </w:instrText>
        </w:r>
        <w:r w:rsidR="00B5732B">
          <w:fldChar w:fldCharType="separate"/>
        </w:r>
        <w:r w:rsidR="00B5732B">
          <w:t>19</w:t>
        </w:r>
        <w:r w:rsidR="00B5732B">
          <w:fldChar w:fldCharType="end"/>
        </w:r>
      </w:hyperlink>
    </w:p>
    <w:p w:rsidR="00274D4E" w:rsidRDefault="00FA71B5">
      <w:pPr>
        <w:pStyle w:val="23"/>
        <w:tabs>
          <w:tab w:val="clear" w:pos="9344"/>
          <w:tab w:val="right" w:leader="dot" w:pos="9354"/>
        </w:tabs>
      </w:pPr>
      <w:hyperlink w:anchor="_Toc32611" w:history="1">
        <w:r w:rsidR="00B5732B">
          <w:rPr>
            <w:rFonts w:ascii="黑体" w:eastAsia="黑体" w:hAnsi="Times New Roman" w:hint="eastAsia"/>
            <w:kern w:val="0"/>
            <w14:scene3d>
              <w14:camera w14:prst="orthographicFront"/>
              <w14:lightRig w14:rig="threePt" w14:dir="t">
                <w14:rot w14:lat="0" w14:lon="0" w14:rev="0"/>
              </w14:lightRig>
            </w14:scene3d>
          </w:rPr>
          <w:t xml:space="preserve">8.3  </w:t>
        </w:r>
        <w:r w:rsidR="00B5732B">
          <w:rPr>
            <w:rFonts w:hint="eastAsia"/>
          </w:rPr>
          <w:t>路基土体坍塌病害复核</w:t>
        </w:r>
        <w:r w:rsidR="00B5732B">
          <w:tab/>
        </w:r>
        <w:r w:rsidR="00B5732B">
          <w:fldChar w:fldCharType="begin"/>
        </w:r>
        <w:r w:rsidR="00B5732B">
          <w:instrText xml:space="preserve"> PAGEREF _Toc32611 \h </w:instrText>
        </w:r>
        <w:r w:rsidR="00B5732B">
          <w:fldChar w:fldCharType="separate"/>
        </w:r>
        <w:r w:rsidR="00B5732B">
          <w:t>20</w:t>
        </w:r>
        <w:r w:rsidR="00B5732B">
          <w:fldChar w:fldCharType="end"/>
        </w:r>
      </w:hyperlink>
    </w:p>
    <w:p w:rsidR="00274D4E" w:rsidRDefault="00FA71B5">
      <w:pPr>
        <w:pStyle w:val="23"/>
        <w:tabs>
          <w:tab w:val="clear" w:pos="9344"/>
          <w:tab w:val="right" w:leader="dot" w:pos="9354"/>
        </w:tabs>
      </w:pPr>
      <w:hyperlink w:anchor="_Toc10584" w:history="1">
        <w:r w:rsidR="00B5732B">
          <w:rPr>
            <w:rFonts w:ascii="黑体" w:eastAsia="黑体" w:hAnsi="Times New Roman" w:hint="eastAsia"/>
            <w:kern w:val="0"/>
            <w14:scene3d>
              <w14:camera w14:prst="orthographicFront"/>
              <w14:lightRig w14:rig="threePt" w14:dir="t">
                <w14:rot w14:lat="0" w14:lon="0" w14:rev="0"/>
              </w14:lightRig>
            </w14:scene3d>
          </w:rPr>
          <w:t xml:space="preserve">8.4  </w:t>
        </w:r>
        <w:r w:rsidR="00B5732B">
          <w:rPr>
            <w:rFonts w:hint="eastAsia"/>
          </w:rPr>
          <w:t>道路结构层病害验证</w:t>
        </w:r>
        <w:r w:rsidR="00B5732B">
          <w:tab/>
        </w:r>
        <w:r w:rsidR="00B5732B">
          <w:fldChar w:fldCharType="begin"/>
        </w:r>
        <w:r w:rsidR="00B5732B">
          <w:instrText xml:space="preserve"> PAGEREF _Toc10584 \h </w:instrText>
        </w:r>
        <w:r w:rsidR="00B5732B">
          <w:fldChar w:fldCharType="separate"/>
        </w:r>
        <w:r w:rsidR="00B5732B">
          <w:t>20</w:t>
        </w:r>
        <w:r w:rsidR="00B5732B">
          <w:fldChar w:fldCharType="end"/>
        </w:r>
      </w:hyperlink>
    </w:p>
    <w:p w:rsidR="00274D4E" w:rsidRDefault="00FA71B5">
      <w:pPr>
        <w:pStyle w:val="23"/>
        <w:tabs>
          <w:tab w:val="clear" w:pos="9344"/>
          <w:tab w:val="right" w:leader="dot" w:pos="9354"/>
        </w:tabs>
      </w:pPr>
      <w:hyperlink w:anchor="_Toc13996" w:history="1">
        <w:r w:rsidR="00B5732B">
          <w:rPr>
            <w:rFonts w:ascii="黑体" w:eastAsia="黑体" w:hAnsi="Times New Roman" w:hint="eastAsia"/>
            <w:kern w:val="0"/>
            <w14:scene3d>
              <w14:camera w14:prst="orthographicFront"/>
              <w14:lightRig w14:rig="threePt" w14:dir="t">
                <w14:rot w14:lat="0" w14:lon="0" w14:rev="0"/>
              </w14:lightRig>
            </w14:scene3d>
          </w:rPr>
          <w:t xml:space="preserve">8.5  </w:t>
        </w:r>
        <w:r w:rsidR="00B5732B">
          <w:rPr>
            <w:rFonts w:hint="eastAsia"/>
          </w:rPr>
          <w:t>路基土体坍塌病害验证</w:t>
        </w:r>
        <w:r w:rsidR="00B5732B">
          <w:tab/>
        </w:r>
        <w:r w:rsidR="00B5732B">
          <w:fldChar w:fldCharType="begin"/>
        </w:r>
        <w:r w:rsidR="00B5732B">
          <w:instrText xml:space="preserve"> PAGEREF _Toc13996 \h </w:instrText>
        </w:r>
        <w:r w:rsidR="00B5732B">
          <w:fldChar w:fldCharType="separate"/>
        </w:r>
        <w:r w:rsidR="00B5732B">
          <w:t>20</w:t>
        </w:r>
        <w:r w:rsidR="00B5732B">
          <w:fldChar w:fldCharType="end"/>
        </w:r>
      </w:hyperlink>
    </w:p>
    <w:p w:rsidR="00274D4E" w:rsidRDefault="00FA71B5">
      <w:pPr>
        <w:pStyle w:val="10"/>
        <w:tabs>
          <w:tab w:val="right" w:leader="dot" w:pos="9354"/>
        </w:tabs>
      </w:pPr>
      <w:hyperlink w:anchor="_Toc28299" w:history="1">
        <w:r w:rsidR="00B5732B">
          <w:rPr>
            <w:rFonts w:ascii="黑体" w:eastAsia="黑体" w:hint="eastAsia"/>
          </w:rPr>
          <w:t xml:space="preserve">9  </w:t>
        </w:r>
        <w:r w:rsidR="00B5732B">
          <w:rPr>
            <w:rFonts w:hint="eastAsia"/>
          </w:rPr>
          <w:t>路基土体坍塌病害风险评估及处置</w:t>
        </w:r>
        <w:r w:rsidR="00B5732B">
          <w:tab/>
        </w:r>
        <w:r w:rsidR="00B5732B">
          <w:fldChar w:fldCharType="begin"/>
        </w:r>
        <w:r w:rsidR="00B5732B">
          <w:instrText xml:space="preserve"> PAGEREF _Toc28299 \h </w:instrText>
        </w:r>
        <w:r w:rsidR="00B5732B">
          <w:fldChar w:fldCharType="separate"/>
        </w:r>
        <w:r w:rsidR="00B5732B">
          <w:t>21</w:t>
        </w:r>
        <w:r w:rsidR="00B5732B">
          <w:fldChar w:fldCharType="end"/>
        </w:r>
      </w:hyperlink>
    </w:p>
    <w:p w:rsidR="00274D4E" w:rsidRDefault="00FA71B5">
      <w:pPr>
        <w:pStyle w:val="23"/>
        <w:tabs>
          <w:tab w:val="clear" w:pos="9344"/>
          <w:tab w:val="right" w:leader="dot" w:pos="9354"/>
        </w:tabs>
      </w:pPr>
      <w:hyperlink w:anchor="_Toc25356" w:history="1">
        <w:r w:rsidR="00B5732B">
          <w:rPr>
            <w:rFonts w:ascii="黑体" w:eastAsia="黑体" w:hAnsi="Times New Roman" w:hint="eastAsia"/>
            <w:kern w:val="0"/>
            <w14:scene3d>
              <w14:camera w14:prst="orthographicFront"/>
              <w14:lightRig w14:rig="threePt" w14:dir="t">
                <w14:rot w14:lat="0" w14:lon="0" w14:rev="0"/>
              </w14:lightRig>
            </w14:scene3d>
          </w:rPr>
          <w:t xml:space="preserve">9.1  </w:t>
        </w:r>
        <w:r w:rsidR="00B5732B">
          <w:rPr>
            <w:rFonts w:hint="eastAsia"/>
          </w:rPr>
          <w:t>一般要求</w:t>
        </w:r>
        <w:r w:rsidR="00B5732B">
          <w:tab/>
        </w:r>
        <w:r w:rsidR="00B5732B">
          <w:fldChar w:fldCharType="begin"/>
        </w:r>
        <w:r w:rsidR="00B5732B">
          <w:instrText xml:space="preserve"> PAGEREF _Toc25356 \h </w:instrText>
        </w:r>
        <w:r w:rsidR="00B5732B">
          <w:fldChar w:fldCharType="separate"/>
        </w:r>
        <w:r w:rsidR="00B5732B">
          <w:t>21</w:t>
        </w:r>
        <w:r w:rsidR="00B5732B">
          <w:fldChar w:fldCharType="end"/>
        </w:r>
      </w:hyperlink>
    </w:p>
    <w:p w:rsidR="00274D4E" w:rsidRDefault="00FA71B5">
      <w:pPr>
        <w:pStyle w:val="23"/>
        <w:tabs>
          <w:tab w:val="clear" w:pos="9344"/>
          <w:tab w:val="right" w:leader="dot" w:pos="9354"/>
        </w:tabs>
      </w:pPr>
      <w:hyperlink w:anchor="_Toc15901" w:history="1">
        <w:r w:rsidR="00B5732B">
          <w:rPr>
            <w:rFonts w:ascii="黑体" w:eastAsia="黑体" w:hAnsi="Times New Roman" w:hint="eastAsia"/>
            <w:kern w:val="0"/>
            <w14:scene3d>
              <w14:camera w14:prst="orthographicFront"/>
              <w14:lightRig w14:rig="threePt" w14:dir="t">
                <w14:rot w14:lat="0" w14:lon="0" w14:rev="0"/>
              </w14:lightRig>
            </w14:scene3d>
          </w:rPr>
          <w:t xml:space="preserve">9.2  </w:t>
        </w:r>
        <w:r w:rsidR="00B5732B">
          <w:rPr>
            <w:rFonts w:hint="eastAsia"/>
          </w:rPr>
          <w:t>风险影响因素调查</w:t>
        </w:r>
        <w:r w:rsidR="00B5732B">
          <w:tab/>
        </w:r>
        <w:r w:rsidR="00B5732B">
          <w:fldChar w:fldCharType="begin"/>
        </w:r>
        <w:r w:rsidR="00B5732B">
          <w:instrText xml:space="preserve"> PAGEREF _Toc15901 \h </w:instrText>
        </w:r>
        <w:r w:rsidR="00B5732B">
          <w:fldChar w:fldCharType="separate"/>
        </w:r>
        <w:r w:rsidR="00B5732B">
          <w:t>21</w:t>
        </w:r>
        <w:r w:rsidR="00B5732B">
          <w:fldChar w:fldCharType="end"/>
        </w:r>
      </w:hyperlink>
    </w:p>
    <w:p w:rsidR="00274D4E" w:rsidRDefault="00FA71B5">
      <w:pPr>
        <w:pStyle w:val="23"/>
        <w:tabs>
          <w:tab w:val="clear" w:pos="9344"/>
          <w:tab w:val="right" w:leader="dot" w:pos="9354"/>
        </w:tabs>
      </w:pPr>
      <w:hyperlink w:anchor="_Toc7260" w:history="1">
        <w:r w:rsidR="00B5732B">
          <w:rPr>
            <w:rFonts w:ascii="黑体" w:eastAsia="黑体" w:hAnsi="Times New Roman" w:hint="eastAsia"/>
            <w:kern w:val="0"/>
            <w14:scene3d>
              <w14:camera w14:prst="orthographicFront"/>
              <w14:lightRig w14:rig="threePt" w14:dir="t">
                <w14:rot w14:lat="0" w14:lon="0" w14:rev="0"/>
              </w14:lightRig>
            </w14:scene3d>
          </w:rPr>
          <w:t xml:space="preserve">9.3  </w:t>
        </w:r>
        <w:r w:rsidR="00B5732B">
          <w:rPr>
            <w:rFonts w:hint="eastAsia"/>
          </w:rPr>
          <w:t>路基土体坍塌病害风险评估</w:t>
        </w:r>
        <w:r w:rsidR="00B5732B">
          <w:tab/>
        </w:r>
        <w:r w:rsidR="00B5732B">
          <w:fldChar w:fldCharType="begin"/>
        </w:r>
        <w:r w:rsidR="00B5732B">
          <w:instrText xml:space="preserve"> PAGEREF _Toc7260 \h </w:instrText>
        </w:r>
        <w:r w:rsidR="00B5732B">
          <w:fldChar w:fldCharType="separate"/>
        </w:r>
        <w:r w:rsidR="00B5732B">
          <w:t>22</w:t>
        </w:r>
        <w:r w:rsidR="00B5732B">
          <w:fldChar w:fldCharType="end"/>
        </w:r>
      </w:hyperlink>
    </w:p>
    <w:p w:rsidR="00274D4E" w:rsidRDefault="00FA71B5">
      <w:pPr>
        <w:pStyle w:val="30"/>
        <w:tabs>
          <w:tab w:val="right" w:leader="dot" w:pos="9354"/>
        </w:tabs>
      </w:pPr>
      <w:hyperlink w:anchor="_Toc10168" w:history="1">
        <w:r w:rsidR="00B5732B">
          <w:rPr>
            <w:rFonts w:ascii="黑体" w:eastAsia="黑体" w:hint="eastAsia"/>
          </w:rPr>
          <w:t xml:space="preserve">9.3.1  </w:t>
        </w:r>
        <w:r w:rsidR="00B5732B">
          <w:rPr>
            <w:rFonts w:hint="eastAsia"/>
          </w:rPr>
          <w:t>致塌风险可能性评估</w:t>
        </w:r>
        <w:r w:rsidR="00B5732B">
          <w:tab/>
        </w:r>
        <w:r w:rsidR="00B5732B">
          <w:fldChar w:fldCharType="begin"/>
        </w:r>
        <w:r w:rsidR="00B5732B">
          <w:instrText xml:space="preserve"> PAGEREF _Toc10168 \h </w:instrText>
        </w:r>
        <w:r w:rsidR="00B5732B">
          <w:fldChar w:fldCharType="separate"/>
        </w:r>
        <w:r w:rsidR="00B5732B">
          <w:t>22</w:t>
        </w:r>
        <w:r w:rsidR="00B5732B">
          <w:fldChar w:fldCharType="end"/>
        </w:r>
      </w:hyperlink>
    </w:p>
    <w:p w:rsidR="00274D4E" w:rsidRDefault="00FA71B5">
      <w:pPr>
        <w:pStyle w:val="30"/>
        <w:tabs>
          <w:tab w:val="right" w:leader="dot" w:pos="9354"/>
        </w:tabs>
      </w:pPr>
      <w:hyperlink w:anchor="_Toc30217" w:history="1">
        <w:r w:rsidR="00B5732B">
          <w:rPr>
            <w:rFonts w:ascii="黑体" w:eastAsia="黑体" w:hint="eastAsia"/>
          </w:rPr>
          <w:t xml:space="preserve">9.3.2  </w:t>
        </w:r>
        <w:r w:rsidR="00B5732B">
          <w:rPr>
            <w:rFonts w:hint="eastAsia"/>
          </w:rPr>
          <w:t>路基土体坍塌病害风险后果评价</w:t>
        </w:r>
        <w:r w:rsidR="00B5732B">
          <w:tab/>
        </w:r>
        <w:r w:rsidR="00B5732B">
          <w:fldChar w:fldCharType="begin"/>
        </w:r>
        <w:r w:rsidR="00B5732B">
          <w:instrText xml:space="preserve"> PAGEREF _Toc30217 \h </w:instrText>
        </w:r>
        <w:r w:rsidR="00B5732B">
          <w:fldChar w:fldCharType="separate"/>
        </w:r>
        <w:r w:rsidR="00B5732B">
          <w:t>23</w:t>
        </w:r>
        <w:r w:rsidR="00B5732B">
          <w:fldChar w:fldCharType="end"/>
        </w:r>
      </w:hyperlink>
    </w:p>
    <w:p w:rsidR="00274D4E" w:rsidRDefault="00FA71B5">
      <w:pPr>
        <w:pStyle w:val="30"/>
        <w:tabs>
          <w:tab w:val="right" w:leader="dot" w:pos="9354"/>
        </w:tabs>
      </w:pPr>
      <w:hyperlink w:anchor="_Toc20950" w:history="1">
        <w:r w:rsidR="00B5732B">
          <w:rPr>
            <w:rFonts w:ascii="黑体" w:eastAsia="黑体" w:hint="eastAsia"/>
          </w:rPr>
          <w:t xml:space="preserve">9.3.3  </w:t>
        </w:r>
        <w:r w:rsidR="00B5732B">
          <w:rPr>
            <w:rFonts w:hint="eastAsia"/>
          </w:rPr>
          <w:t>路基土体坍塌病害风险综合评估</w:t>
        </w:r>
        <w:r w:rsidR="00B5732B">
          <w:tab/>
        </w:r>
        <w:r w:rsidR="00B5732B">
          <w:fldChar w:fldCharType="begin"/>
        </w:r>
        <w:r w:rsidR="00B5732B">
          <w:instrText xml:space="preserve"> PAGEREF _Toc20950 \h </w:instrText>
        </w:r>
        <w:r w:rsidR="00B5732B">
          <w:fldChar w:fldCharType="separate"/>
        </w:r>
        <w:r w:rsidR="00B5732B">
          <w:t>23</w:t>
        </w:r>
        <w:r w:rsidR="00B5732B">
          <w:fldChar w:fldCharType="end"/>
        </w:r>
      </w:hyperlink>
    </w:p>
    <w:p w:rsidR="00274D4E" w:rsidRDefault="00FA71B5">
      <w:pPr>
        <w:pStyle w:val="23"/>
        <w:tabs>
          <w:tab w:val="clear" w:pos="9344"/>
          <w:tab w:val="right" w:leader="dot" w:pos="9354"/>
        </w:tabs>
      </w:pPr>
      <w:hyperlink w:anchor="_Toc25183" w:history="1">
        <w:r w:rsidR="00B5732B">
          <w:rPr>
            <w:rFonts w:ascii="黑体" w:eastAsia="黑体" w:hAnsi="Times New Roman" w:hint="eastAsia"/>
            <w:kern w:val="0"/>
            <w14:scene3d>
              <w14:camera w14:prst="orthographicFront"/>
              <w14:lightRig w14:rig="threePt" w14:dir="t">
                <w14:rot w14:lat="0" w14:lon="0" w14:rev="0"/>
              </w14:lightRig>
            </w14:scene3d>
          </w:rPr>
          <w:t xml:space="preserve">9.4  </w:t>
        </w:r>
        <w:r w:rsidR="00B5732B">
          <w:rPr>
            <w:rFonts w:hint="eastAsia"/>
          </w:rPr>
          <w:t>道路塌陷风险评估</w:t>
        </w:r>
        <w:r w:rsidR="00B5732B">
          <w:tab/>
        </w:r>
        <w:r w:rsidR="00B5732B">
          <w:fldChar w:fldCharType="begin"/>
        </w:r>
        <w:r w:rsidR="00B5732B">
          <w:instrText xml:space="preserve"> PAGEREF _Toc25183 \h </w:instrText>
        </w:r>
        <w:r w:rsidR="00B5732B">
          <w:fldChar w:fldCharType="separate"/>
        </w:r>
        <w:r w:rsidR="00B5732B">
          <w:t>24</w:t>
        </w:r>
        <w:r w:rsidR="00B5732B">
          <w:fldChar w:fldCharType="end"/>
        </w:r>
      </w:hyperlink>
    </w:p>
    <w:p w:rsidR="00274D4E" w:rsidRDefault="00FA71B5">
      <w:pPr>
        <w:pStyle w:val="23"/>
        <w:tabs>
          <w:tab w:val="clear" w:pos="9344"/>
          <w:tab w:val="right" w:leader="dot" w:pos="9354"/>
        </w:tabs>
      </w:pPr>
      <w:hyperlink w:anchor="_Toc7270" w:history="1">
        <w:r w:rsidR="00B5732B">
          <w:rPr>
            <w:rFonts w:ascii="黑体" w:eastAsia="黑体" w:hAnsi="Times New Roman" w:hint="eastAsia"/>
            <w:kern w:val="0"/>
            <w14:scene3d>
              <w14:camera w14:prst="orthographicFront"/>
              <w14:lightRig w14:rig="threePt" w14:dir="t">
                <w14:rot w14:lat="0" w14:lon="0" w14:rev="0"/>
              </w14:lightRig>
            </w14:scene3d>
          </w:rPr>
          <w:t xml:space="preserve">9.5  </w:t>
        </w:r>
        <w:r w:rsidR="00B5732B">
          <w:t>风险防控</w:t>
        </w:r>
        <w:r w:rsidR="00B5732B">
          <w:tab/>
        </w:r>
        <w:r w:rsidR="00B5732B">
          <w:fldChar w:fldCharType="begin"/>
        </w:r>
        <w:r w:rsidR="00B5732B">
          <w:instrText xml:space="preserve"> PAGEREF _Toc7270 \h </w:instrText>
        </w:r>
        <w:r w:rsidR="00B5732B">
          <w:fldChar w:fldCharType="separate"/>
        </w:r>
        <w:r w:rsidR="00B5732B">
          <w:t>27</w:t>
        </w:r>
        <w:r w:rsidR="00B5732B">
          <w:fldChar w:fldCharType="end"/>
        </w:r>
      </w:hyperlink>
    </w:p>
    <w:p w:rsidR="00274D4E" w:rsidRDefault="00FA71B5">
      <w:pPr>
        <w:pStyle w:val="30"/>
        <w:tabs>
          <w:tab w:val="right" w:leader="dot" w:pos="9354"/>
        </w:tabs>
      </w:pPr>
      <w:hyperlink w:anchor="_Toc25882" w:history="1">
        <w:r w:rsidR="00B5732B">
          <w:rPr>
            <w:rFonts w:ascii="黑体" w:eastAsia="黑体" w:hint="eastAsia"/>
          </w:rPr>
          <w:t xml:space="preserve">9.5.1  </w:t>
        </w:r>
        <w:r w:rsidR="00B5732B">
          <w:rPr>
            <w:rFonts w:cs="宋体" w:hint="eastAsia"/>
          </w:rPr>
          <w:t>路基土体坍塌病害</w:t>
        </w:r>
        <w:r w:rsidR="00B5732B">
          <w:rPr>
            <w:rFonts w:hint="eastAsia"/>
          </w:rPr>
          <w:t>防控对策</w:t>
        </w:r>
        <w:r w:rsidR="00B5732B">
          <w:tab/>
        </w:r>
        <w:r w:rsidR="00B5732B">
          <w:fldChar w:fldCharType="begin"/>
        </w:r>
        <w:r w:rsidR="00B5732B">
          <w:instrText xml:space="preserve"> PAGEREF _Toc25882 \h </w:instrText>
        </w:r>
        <w:r w:rsidR="00B5732B">
          <w:fldChar w:fldCharType="separate"/>
        </w:r>
        <w:r w:rsidR="00B5732B">
          <w:t>27</w:t>
        </w:r>
        <w:r w:rsidR="00B5732B">
          <w:fldChar w:fldCharType="end"/>
        </w:r>
      </w:hyperlink>
    </w:p>
    <w:p w:rsidR="00274D4E" w:rsidRDefault="00FA71B5">
      <w:pPr>
        <w:pStyle w:val="30"/>
        <w:tabs>
          <w:tab w:val="right" w:leader="dot" w:pos="9354"/>
        </w:tabs>
      </w:pPr>
      <w:hyperlink w:anchor="_Toc14742" w:history="1">
        <w:r w:rsidR="00B5732B">
          <w:rPr>
            <w:rFonts w:ascii="黑体" w:eastAsia="黑体" w:hint="eastAsia"/>
          </w:rPr>
          <w:t xml:space="preserve">9.5.2  </w:t>
        </w:r>
        <w:r w:rsidR="00B5732B">
          <w:rPr>
            <w:rFonts w:hint="eastAsia"/>
          </w:rPr>
          <w:t>道路塌陷防控对策</w:t>
        </w:r>
        <w:r w:rsidR="00B5732B">
          <w:tab/>
        </w:r>
        <w:r w:rsidR="00B5732B">
          <w:fldChar w:fldCharType="begin"/>
        </w:r>
        <w:r w:rsidR="00B5732B">
          <w:instrText xml:space="preserve"> PAGEREF _Toc14742 \h </w:instrText>
        </w:r>
        <w:r w:rsidR="00B5732B">
          <w:fldChar w:fldCharType="separate"/>
        </w:r>
        <w:r w:rsidR="00B5732B">
          <w:t>28</w:t>
        </w:r>
        <w:r w:rsidR="00B5732B">
          <w:fldChar w:fldCharType="end"/>
        </w:r>
      </w:hyperlink>
    </w:p>
    <w:p w:rsidR="00274D4E" w:rsidRDefault="00FA71B5">
      <w:pPr>
        <w:pStyle w:val="23"/>
        <w:tabs>
          <w:tab w:val="clear" w:pos="9344"/>
          <w:tab w:val="right" w:leader="dot" w:pos="9354"/>
        </w:tabs>
      </w:pPr>
      <w:hyperlink w:anchor="_Toc14216" w:history="1">
        <w:r w:rsidR="00B5732B">
          <w:rPr>
            <w:rFonts w:ascii="黑体" w:eastAsia="黑体" w:hAnsi="Times New Roman" w:hint="eastAsia"/>
            <w:kern w:val="0"/>
            <w14:scene3d>
              <w14:camera w14:prst="orthographicFront"/>
              <w14:lightRig w14:rig="threePt" w14:dir="t">
                <w14:rot w14:lat="0" w14:lon="0" w14:rev="0"/>
              </w14:lightRig>
            </w14:scene3d>
          </w:rPr>
          <w:t xml:space="preserve">9.6  </w:t>
        </w:r>
        <w:r w:rsidR="00B5732B">
          <w:t>工程处置</w:t>
        </w:r>
        <w:r w:rsidR="00B5732B">
          <w:tab/>
        </w:r>
        <w:r w:rsidR="00B5732B">
          <w:fldChar w:fldCharType="begin"/>
        </w:r>
        <w:r w:rsidR="00B5732B">
          <w:instrText xml:space="preserve"> PAGEREF _Toc14216 \h </w:instrText>
        </w:r>
        <w:r w:rsidR="00B5732B">
          <w:fldChar w:fldCharType="separate"/>
        </w:r>
        <w:r w:rsidR="00B5732B">
          <w:t>29</w:t>
        </w:r>
        <w:r w:rsidR="00B5732B">
          <w:fldChar w:fldCharType="end"/>
        </w:r>
      </w:hyperlink>
    </w:p>
    <w:p w:rsidR="00274D4E" w:rsidRDefault="00FA71B5">
      <w:pPr>
        <w:pStyle w:val="30"/>
        <w:tabs>
          <w:tab w:val="right" w:leader="dot" w:pos="9354"/>
        </w:tabs>
      </w:pPr>
      <w:hyperlink w:anchor="_Toc30187" w:history="1">
        <w:r w:rsidR="00B5732B">
          <w:rPr>
            <w:rFonts w:ascii="黑体" w:eastAsia="黑体" w:hint="eastAsia"/>
          </w:rPr>
          <w:t xml:space="preserve">9.6.1  </w:t>
        </w:r>
        <w:r w:rsidR="00B5732B">
          <w:rPr>
            <w:rFonts w:hint="eastAsia"/>
          </w:rPr>
          <w:t>处置原则</w:t>
        </w:r>
        <w:r w:rsidR="00B5732B">
          <w:tab/>
        </w:r>
        <w:r w:rsidR="00B5732B">
          <w:fldChar w:fldCharType="begin"/>
        </w:r>
        <w:r w:rsidR="00B5732B">
          <w:instrText xml:space="preserve"> PAGEREF _Toc30187 \h </w:instrText>
        </w:r>
        <w:r w:rsidR="00B5732B">
          <w:fldChar w:fldCharType="separate"/>
        </w:r>
        <w:r w:rsidR="00B5732B">
          <w:t>29</w:t>
        </w:r>
        <w:r w:rsidR="00B5732B">
          <w:fldChar w:fldCharType="end"/>
        </w:r>
      </w:hyperlink>
    </w:p>
    <w:p w:rsidR="00274D4E" w:rsidRDefault="00FA71B5">
      <w:pPr>
        <w:pStyle w:val="30"/>
        <w:tabs>
          <w:tab w:val="right" w:leader="dot" w:pos="9354"/>
        </w:tabs>
      </w:pPr>
      <w:hyperlink w:anchor="_Toc21194" w:history="1">
        <w:r w:rsidR="00B5732B">
          <w:rPr>
            <w:rFonts w:ascii="黑体" w:eastAsia="黑体" w:hint="eastAsia"/>
          </w:rPr>
          <w:t xml:space="preserve">9.6.2  </w:t>
        </w:r>
        <w:r w:rsidR="00B5732B">
          <w:rPr>
            <w:rFonts w:hint="eastAsia"/>
          </w:rPr>
          <w:t>处置流程</w:t>
        </w:r>
        <w:r w:rsidR="00B5732B">
          <w:tab/>
        </w:r>
        <w:r w:rsidR="00B5732B">
          <w:fldChar w:fldCharType="begin"/>
        </w:r>
        <w:r w:rsidR="00B5732B">
          <w:instrText xml:space="preserve"> PAGEREF _Toc21194 \h </w:instrText>
        </w:r>
        <w:r w:rsidR="00B5732B">
          <w:fldChar w:fldCharType="separate"/>
        </w:r>
        <w:r w:rsidR="00B5732B">
          <w:t>29</w:t>
        </w:r>
        <w:r w:rsidR="00B5732B">
          <w:fldChar w:fldCharType="end"/>
        </w:r>
      </w:hyperlink>
    </w:p>
    <w:p w:rsidR="00274D4E" w:rsidRDefault="00FA71B5">
      <w:pPr>
        <w:pStyle w:val="30"/>
        <w:tabs>
          <w:tab w:val="right" w:leader="dot" w:pos="9354"/>
        </w:tabs>
      </w:pPr>
      <w:hyperlink w:anchor="_Toc29192" w:history="1">
        <w:r w:rsidR="00B5732B">
          <w:rPr>
            <w:rFonts w:ascii="黑体" w:eastAsia="黑体" w:hint="eastAsia"/>
          </w:rPr>
          <w:t xml:space="preserve">9.6.3  </w:t>
        </w:r>
        <w:r w:rsidR="00B5732B">
          <w:rPr>
            <w:rFonts w:hint="eastAsia"/>
          </w:rPr>
          <w:t>处置方式</w:t>
        </w:r>
        <w:r w:rsidR="00B5732B">
          <w:tab/>
        </w:r>
        <w:r w:rsidR="00B5732B">
          <w:fldChar w:fldCharType="begin"/>
        </w:r>
        <w:r w:rsidR="00B5732B">
          <w:instrText xml:space="preserve"> PAGEREF _Toc29192 \h </w:instrText>
        </w:r>
        <w:r w:rsidR="00B5732B">
          <w:fldChar w:fldCharType="separate"/>
        </w:r>
        <w:r w:rsidR="00B5732B">
          <w:t>29</w:t>
        </w:r>
        <w:r w:rsidR="00B5732B">
          <w:fldChar w:fldCharType="end"/>
        </w:r>
      </w:hyperlink>
    </w:p>
    <w:p w:rsidR="00274D4E" w:rsidRDefault="00FA71B5">
      <w:pPr>
        <w:pStyle w:val="10"/>
        <w:tabs>
          <w:tab w:val="right" w:leader="dot" w:pos="9354"/>
        </w:tabs>
      </w:pPr>
      <w:hyperlink w:anchor="_Toc14571" w:history="1">
        <w:r w:rsidR="00B5732B">
          <w:rPr>
            <w:rFonts w:ascii="黑体" w:eastAsia="黑体" w:hint="eastAsia"/>
          </w:rPr>
          <w:t xml:space="preserve">10  </w:t>
        </w:r>
        <w:r w:rsidR="00B5732B">
          <w:rPr>
            <w:rFonts w:hint="eastAsia"/>
          </w:rPr>
          <w:t>成果编制与信息管理</w:t>
        </w:r>
        <w:r w:rsidR="00B5732B">
          <w:tab/>
        </w:r>
        <w:r w:rsidR="00B5732B">
          <w:fldChar w:fldCharType="begin"/>
        </w:r>
        <w:r w:rsidR="00B5732B">
          <w:instrText xml:space="preserve"> PAGEREF _Toc14571 \h </w:instrText>
        </w:r>
        <w:r w:rsidR="00B5732B">
          <w:fldChar w:fldCharType="separate"/>
        </w:r>
        <w:r w:rsidR="00B5732B">
          <w:t>29</w:t>
        </w:r>
        <w:r w:rsidR="00B5732B">
          <w:fldChar w:fldCharType="end"/>
        </w:r>
      </w:hyperlink>
    </w:p>
    <w:p w:rsidR="00274D4E" w:rsidRDefault="00B5732B" w:rsidP="00754DE2">
      <w:pPr>
        <w:pStyle w:val="affffff6"/>
        <w:spacing w:after="468"/>
        <w:sectPr w:rsidR="00274D4E">
          <w:headerReference w:type="even" r:id="rId15"/>
          <w:headerReference w:type="default" r:id="rId16"/>
          <w:footerReference w:type="even" r:id="rId17"/>
          <w:footerReference w:type="default" r:id="rId18"/>
          <w:pgSz w:w="11906" w:h="16838"/>
          <w:pgMar w:top="1928" w:right="1134" w:bottom="1134" w:left="1134" w:header="1418" w:footer="1134" w:gutter="284"/>
          <w:pgNumType w:fmt="upperRoman" w:start="1"/>
          <w:cols w:space="425"/>
          <w:formProt w:val="0"/>
          <w:docGrid w:type="lines" w:linePitch="312"/>
        </w:sectPr>
      </w:pPr>
      <w:r>
        <w:rPr>
          <w:rFonts w:hint="eastAsia"/>
        </w:rPr>
        <w:fldChar w:fldCharType="end"/>
      </w:r>
    </w:p>
    <w:p w:rsidR="00274D4E" w:rsidRDefault="00B5732B" w:rsidP="00754DE2">
      <w:pPr>
        <w:pStyle w:val="a5"/>
        <w:spacing w:before="560" w:after="468"/>
      </w:pPr>
      <w:bookmarkStart w:id="22" w:name="_Toc14005"/>
      <w:bookmarkStart w:id="23" w:name="BookMark2"/>
      <w:bookmarkEnd w:id="21"/>
      <w:r>
        <w:rPr>
          <w:rFonts w:hint="eastAsia"/>
          <w:spacing w:val="320"/>
        </w:rPr>
        <w:lastRenderedPageBreak/>
        <w:t>前</w:t>
      </w:r>
      <w:r>
        <w:rPr>
          <w:rFonts w:hint="eastAsia"/>
        </w:rPr>
        <w:t>言</w:t>
      </w:r>
      <w:bookmarkEnd w:id="22"/>
    </w:p>
    <w:p w:rsidR="00274D4E" w:rsidRDefault="00B5732B" w:rsidP="00754DE2">
      <w:pPr>
        <w:pStyle w:val="afffff1"/>
        <w:ind w:firstLine="420"/>
      </w:pPr>
      <w:r>
        <w:rPr>
          <w:rFonts w:hint="eastAsia"/>
        </w:rPr>
        <w:t>本文件按照GB/T 1.1—2020《标准化工作导则  第1部分：标准化文件的结构和起草规则》的规定起草。</w:t>
      </w:r>
    </w:p>
    <w:p w:rsidR="00274D4E" w:rsidRDefault="00B5732B" w:rsidP="00754DE2">
      <w:pPr>
        <w:pStyle w:val="afffff1"/>
        <w:ind w:firstLine="420"/>
      </w:pPr>
      <w:r>
        <w:rPr>
          <w:rFonts w:hint="eastAsia"/>
        </w:rPr>
        <w:t>本文件由北京市交通委员会提出</w:t>
      </w:r>
      <w:r w:rsidR="00CE294F">
        <w:rPr>
          <w:rFonts w:hint="eastAsia"/>
        </w:rPr>
        <w:t>并归口</w:t>
      </w:r>
      <w:r>
        <w:rPr>
          <w:rFonts w:hint="eastAsia"/>
        </w:rPr>
        <w:t>。</w:t>
      </w:r>
    </w:p>
    <w:p w:rsidR="00274D4E" w:rsidRDefault="00B5732B" w:rsidP="00754DE2">
      <w:pPr>
        <w:pStyle w:val="afffff1"/>
        <w:ind w:firstLine="420"/>
      </w:pPr>
      <w:r>
        <w:rPr>
          <w:rFonts w:hint="eastAsia"/>
        </w:rPr>
        <w:t>本文件由北京市交通委员会</w:t>
      </w:r>
      <w:r w:rsidR="00CE294F">
        <w:rPr>
          <w:rFonts w:hint="eastAsia"/>
        </w:rPr>
        <w:t>组织实施</w:t>
      </w:r>
      <w:r>
        <w:rPr>
          <w:rFonts w:hint="eastAsia"/>
        </w:rPr>
        <w:t>。</w:t>
      </w:r>
    </w:p>
    <w:p w:rsidR="00274D4E" w:rsidRDefault="00B5732B" w:rsidP="00754DE2">
      <w:pPr>
        <w:pStyle w:val="afffff1"/>
        <w:ind w:firstLine="420"/>
      </w:pPr>
      <w:r>
        <w:rPr>
          <w:rFonts w:hint="eastAsia"/>
        </w:rPr>
        <w:t>本文件起草单位：北京市城市道路养护管理中心</w:t>
      </w:r>
    </w:p>
    <w:p w:rsidR="00274D4E" w:rsidRDefault="00B5732B" w:rsidP="00754DE2">
      <w:pPr>
        <w:pStyle w:val="afffff1"/>
        <w:ind w:firstLine="420"/>
      </w:pPr>
      <w:r>
        <w:rPr>
          <w:rFonts w:hint="eastAsia"/>
        </w:rPr>
        <w:t>本文件主要起草人：</w:t>
      </w:r>
    </w:p>
    <w:p w:rsidR="00274D4E" w:rsidRDefault="00274D4E" w:rsidP="00754DE2">
      <w:pPr>
        <w:pStyle w:val="afffff1"/>
        <w:ind w:firstLine="420"/>
      </w:pPr>
    </w:p>
    <w:p w:rsidR="00274D4E" w:rsidRDefault="00274D4E" w:rsidP="00754DE2">
      <w:pPr>
        <w:pStyle w:val="afffff1"/>
        <w:ind w:firstLine="420"/>
        <w:sectPr w:rsidR="00274D4E">
          <w:headerReference w:type="even" r:id="rId19"/>
          <w:headerReference w:type="default" r:id="rId20"/>
          <w:footerReference w:type="even" r:id="rId21"/>
          <w:footerReference w:type="default" r:id="rId22"/>
          <w:pgSz w:w="11906" w:h="16838"/>
          <w:pgMar w:top="1928" w:right="1134" w:bottom="1134" w:left="1134" w:header="1418" w:footer="1134" w:gutter="284"/>
          <w:pgNumType w:fmt="upperRoman"/>
          <w:cols w:space="425"/>
          <w:formProt w:val="0"/>
          <w:docGrid w:type="lines" w:linePitch="312"/>
        </w:sectPr>
      </w:pPr>
    </w:p>
    <w:p w:rsidR="00274D4E" w:rsidRDefault="00B5732B" w:rsidP="00754DE2">
      <w:pPr>
        <w:pStyle w:val="a5"/>
        <w:spacing w:after="468"/>
      </w:pPr>
      <w:bookmarkStart w:id="24" w:name="_Toc18203"/>
      <w:bookmarkStart w:id="25" w:name="BookMark3"/>
      <w:bookmarkEnd w:id="23"/>
      <w:r>
        <w:rPr>
          <w:rFonts w:hint="eastAsia"/>
          <w:spacing w:val="320"/>
        </w:rPr>
        <w:lastRenderedPageBreak/>
        <w:t>引</w:t>
      </w:r>
      <w:r>
        <w:rPr>
          <w:rFonts w:hint="eastAsia"/>
        </w:rPr>
        <w:t>言</w:t>
      </w:r>
      <w:bookmarkEnd w:id="24"/>
    </w:p>
    <w:p w:rsidR="00274D4E" w:rsidRDefault="00B5732B">
      <w:pPr>
        <w:adjustRightInd/>
        <w:spacing w:line="240" w:lineRule="auto"/>
        <w:ind w:firstLineChars="200" w:firstLine="456"/>
        <w:rPr>
          <w:rFonts w:ascii="宋体" w:hAnsi="宋体" w:cs="宋体"/>
          <w:spacing w:val="9"/>
        </w:rPr>
      </w:pPr>
      <w:r>
        <w:rPr>
          <w:rFonts w:ascii="宋体" w:hAnsi="宋体" w:cs="宋体"/>
          <w:spacing w:val="9"/>
        </w:rPr>
        <w:t>为规范北京市城市道路</w:t>
      </w:r>
      <w:r>
        <w:rPr>
          <w:rFonts w:ascii="宋体" w:hAnsi="宋体" w:cs="宋体" w:hint="eastAsia"/>
          <w:spacing w:val="9"/>
        </w:rPr>
        <w:t>结构层病害和路基土体坍塌病害</w:t>
      </w:r>
      <w:r>
        <w:rPr>
          <w:rFonts w:ascii="宋体" w:hAnsi="宋体" w:cs="宋体"/>
          <w:spacing w:val="9"/>
        </w:rPr>
        <w:t>探地雷达检测工作，统一探地雷达检测标准，提高检测技术水平和成效，在参考有关现行国家标准、行业标准和地方标准的基础上，结合北京市现状需求，编制</w:t>
      </w:r>
      <w:r>
        <w:rPr>
          <w:rFonts w:ascii="宋体" w:hAnsi="宋体" w:cs="宋体" w:hint="eastAsia"/>
          <w:spacing w:val="9"/>
        </w:rPr>
        <w:t>本文件</w:t>
      </w:r>
      <w:r>
        <w:rPr>
          <w:rFonts w:ascii="宋体" w:hAnsi="宋体" w:cs="宋体"/>
          <w:spacing w:val="9"/>
        </w:rPr>
        <w:t>。</w:t>
      </w:r>
    </w:p>
    <w:p w:rsidR="00274D4E" w:rsidRDefault="00B5732B">
      <w:pPr>
        <w:adjustRightInd/>
        <w:spacing w:line="240" w:lineRule="auto"/>
        <w:ind w:firstLineChars="200" w:firstLine="456"/>
        <w:rPr>
          <w:rFonts w:ascii="宋体" w:hAnsi="宋体" w:cs="宋体"/>
          <w:spacing w:val="9"/>
        </w:rPr>
      </w:pPr>
      <w:r>
        <w:rPr>
          <w:rFonts w:ascii="宋体" w:hAnsi="宋体" w:cs="宋体"/>
          <w:spacing w:val="9"/>
        </w:rPr>
        <w:t>本</w:t>
      </w:r>
      <w:r>
        <w:rPr>
          <w:rFonts w:ascii="宋体" w:hAnsi="宋体" w:cs="宋体" w:hint="eastAsia"/>
          <w:spacing w:val="9"/>
        </w:rPr>
        <w:t>文件主要为通过探地雷达技术</w:t>
      </w:r>
      <w:r>
        <w:rPr>
          <w:rFonts w:ascii="宋体" w:hAnsi="宋体" w:cs="宋体"/>
          <w:spacing w:val="9"/>
        </w:rPr>
        <w:t>对北京市道路结构层</w:t>
      </w:r>
      <w:r>
        <w:rPr>
          <w:rFonts w:ascii="宋体" w:hAnsi="宋体" w:cs="宋体" w:hint="eastAsia"/>
          <w:spacing w:val="9"/>
        </w:rPr>
        <w:t>病害或</w:t>
      </w:r>
      <w:r>
        <w:rPr>
          <w:rFonts w:ascii="宋体" w:hAnsi="宋体" w:cs="宋体"/>
          <w:spacing w:val="9"/>
        </w:rPr>
        <w:t>路基土体</w:t>
      </w:r>
      <w:r>
        <w:rPr>
          <w:rFonts w:ascii="宋体" w:hAnsi="宋体" w:cs="宋体" w:hint="eastAsia"/>
          <w:spacing w:val="9"/>
        </w:rPr>
        <w:t>坍塌病害进行检测，道路结构层病害检测主要检测道路结构层内部发育的空洞、脱空、结构层裂缝、结构层内松散等病害，查明其属性和分布情况，为道路大中修或道路修复提供技术依据；路基土体坍塌病害检测主要检测发育于路基及土体中的空洞、脱空、疏松体等病害，查明其属性和分布情况，采取有效措施防控道路塌陷，保障道路安全运行。</w:t>
      </w:r>
    </w:p>
    <w:p w:rsidR="00274D4E" w:rsidRDefault="00B5732B">
      <w:pPr>
        <w:adjustRightInd/>
        <w:spacing w:line="240" w:lineRule="auto"/>
        <w:ind w:firstLineChars="200" w:firstLine="456"/>
        <w:rPr>
          <w:rFonts w:ascii="宋体" w:hAnsi="宋体" w:cs="宋体"/>
          <w:spacing w:val="9"/>
        </w:rPr>
      </w:pPr>
      <w:r>
        <w:rPr>
          <w:rFonts w:ascii="宋体" w:hAnsi="宋体" w:cs="宋体" w:hint="eastAsia"/>
          <w:spacing w:val="9"/>
        </w:rPr>
        <w:t>目前，北京市道路地下病害检测和防治可参考的标准有《城市地下病害体综合探测与风险评估技术标准》（JGJ/T437-2018）和《城市道路与管线地下病害探测及评价技术规范》（DB11/T1399-2017），该两种规范是基于城市路基土体地下病害或地下管线及周边病害探测，对综合探测方法进行了规定，但缺少探地雷达法检测的详细规定以及近年来三维探地雷达检测技术的要求；另一方面缺少道路结构层病害探地雷达检测相关规定，并未专门以城市道路为研究主体。本文件对探地雷达技术方法检测城市道路结构层病害和路基土体坍塌病害进行了详细的规定。</w:t>
      </w:r>
    </w:p>
    <w:p w:rsidR="00274D4E" w:rsidRDefault="00B5732B" w:rsidP="00754DE2">
      <w:pPr>
        <w:pStyle w:val="afffff1"/>
        <w:ind w:firstLine="456"/>
        <w:rPr>
          <w:rFonts w:hAnsi="宋体" w:cs="宋体"/>
          <w:spacing w:val="9"/>
          <w:szCs w:val="21"/>
        </w:rPr>
      </w:pPr>
      <w:r>
        <w:rPr>
          <w:rFonts w:hAnsi="宋体" w:cs="宋体"/>
          <w:spacing w:val="9"/>
          <w:szCs w:val="21"/>
        </w:rPr>
        <w:t>本文件的实施有利于规范北京市城市道路</w:t>
      </w:r>
      <w:r>
        <w:rPr>
          <w:rFonts w:hAnsi="宋体" w:cs="宋体" w:hint="eastAsia"/>
          <w:spacing w:val="9"/>
          <w:szCs w:val="21"/>
        </w:rPr>
        <w:t>结构层</w:t>
      </w:r>
      <w:r>
        <w:rPr>
          <w:rFonts w:hAnsi="宋体" w:cs="宋体"/>
          <w:spacing w:val="9"/>
          <w:szCs w:val="21"/>
        </w:rPr>
        <w:t>病害</w:t>
      </w:r>
      <w:r>
        <w:rPr>
          <w:rFonts w:hAnsi="宋体" w:cs="宋体" w:hint="eastAsia"/>
          <w:spacing w:val="9"/>
          <w:szCs w:val="21"/>
        </w:rPr>
        <w:t>和路基土体坍塌病害的</w:t>
      </w:r>
      <w:r>
        <w:rPr>
          <w:rFonts w:hAnsi="宋体" w:cs="宋体"/>
          <w:spacing w:val="9"/>
          <w:szCs w:val="21"/>
        </w:rPr>
        <w:t>探地雷达检测工作，提高检测质量，助力</w:t>
      </w:r>
      <w:r>
        <w:rPr>
          <w:rFonts w:hAnsi="宋体" w:cs="宋体" w:hint="eastAsia"/>
          <w:spacing w:val="9"/>
          <w:szCs w:val="21"/>
        </w:rPr>
        <w:t>道路修复、</w:t>
      </w:r>
      <w:r>
        <w:rPr>
          <w:rFonts w:hAnsi="宋体" w:cs="宋体"/>
          <w:spacing w:val="9"/>
          <w:szCs w:val="21"/>
        </w:rPr>
        <w:t>地面坍塌防范和城市安全治理</w:t>
      </w:r>
      <w:r>
        <w:rPr>
          <w:rFonts w:hAnsi="宋体" w:cs="宋体" w:hint="eastAsia"/>
          <w:spacing w:val="9"/>
          <w:szCs w:val="21"/>
        </w:rPr>
        <w:t>。</w:t>
      </w:r>
    </w:p>
    <w:p w:rsidR="00274D4E" w:rsidRDefault="00274D4E">
      <w:pPr>
        <w:adjustRightInd/>
        <w:spacing w:line="360" w:lineRule="auto"/>
        <w:ind w:firstLineChars="200" w:firstLine="456"/>
        <w:rPr>
          <w:rFonts w:ascii="宋体" w:hAnsi="宋体" w:cs="宋体"/>
          <w:spacing w:val="9"/>
        </w:rPr>
      </w:pPr>
    </w:p>
    <w:p w:rsidR="00274D4E" w:rsidRDefault="00274D4E" w:rsidP="00754DE2">
      <w:pPr>
        <w:pStyle w:val="afffff1"/>
        <w:ind w:firstLine="456"/>
        <w:rPr>
          <w:rFonts w:hAnsi="宋体" w:cs="宋体"/>
          <w:spacing w:val="9"/>
          <w:szCs w:val="21"/>
        </w:rPr>
      </w:pPr>
    </w:p>
    <w:p w:rsidR="00274D4E" w:rsidRDefault="00274D4E" w:rsidP="00754DE2">
      <w:pPr>
        <w:pStyle w:val="afffff1"/>
        <w:ind w:firstLine="456"/>
        <w:rPr>
          <w:rFonts w:hAnsi="宋体" w:cs="宋体"/>
          <w:spacing w:val="9"/>
          <w:szCs w:val="21"/>
        </w:rPr>
      </w:pPr>
    </w:p>
    <w:p w:rsidR="00274D4E" w:rsidRDefault="00274D4E" w:rsidP="00754DE2">
      <w:pPr>
        <w:pStyle w:val="afffff1"/>
        <w:ind w:firstLine="456"/>
        <w:rPr>
          <w:rFonts w:hAnsi="宋体" w:cs="宋体"/>
          <w:spacing w:val="9"/>
          <w:szCs w:val="21"/>
        </w:rPr>
      </w:pPr>
    </w:p>
    <w:p w:rsidR="00274D4E" w:rsidRDefault="00274D4E" w:rsidP="00754DE2">
      <w:pPr>
        <w:pStyle w:val="afffff1"/>
        <w:ind w:firstLine="420"/>
      </w:pPr>
    </w:p>
    <w:p w:rsidR="00274D4E" w:rsidRDefault="00274D4E" w:rsidP="00754DE2">
      <w:pPr>
        <w:pStyle w:val="afffff1"/>
        <w:ind w:firstLine="420"/>
        <w:sectPr w:rsidR="00274D4E">
          <w:headerReference w:type="even" r:id="rId23"/>
          <w:headerReference w:type="default" r:id="rId24"/>
          <w:footerReference w:type="even" r:id="rId25"/>
          <w:footerReference w:type="default" r:id="rId26"/>
          <w:pgSz w:w="11906" w:h="16838"/>
          <w:pgMar w:top="1928" w:right="1134" w:bottom="1134" w:left="1134" w:header="1418" w:footer="1134" w:gutter="284"/>
          <w:pgNumType w:fmt="upperRoman"/>
          <w:cols w:space="425"/>
          <w:formProt w:val="0"/>
          <w:docGrid w:type="lines" w:linePitch="312"/>
        </w:sectPr>
      </w:pPr>
    </w:p>
    <w:bookmarkEnd w:id="25" w:displacedByCustomXml="next"/>
    <w:bookmarkStart w:id="26" w:name="NEW_STAND_NAME" w:displacedByCustomXml="next"/>
    <w:bookmarkStart w:id="27" w:name="BookMark4" w:displacedByCustomXml="next"/>
    <w:sdt>
      <w:sdtPr>
        <w:tag w:val="NEW_STAND_NAME"/>
        <w:id w:val="595910757"/>
        <w:lock w:val="sdtLocked"/>
        <w:placeholder>
          <w:docPart w:val="E29255EA8535446A8698BCEB2DD58785"/>
        </w:placeholder>
      </w:sdtPr>
      <w:sdtContent>
        <w:p w:rsidR="00274D4E" w:rsidRDefault="0031175A" w:rsidP="00754DE2">
          <w:pPr>
            <w:pStyle w:val="afffffffff4"/>
            <w:spacing w:beforeLines="100" w:before="312" w:afterLines="220" w:after="686"/>
          </w:pPr>
          <w:r>
            <w:t>城市道路坍塌隐患探地雷达探测技术规范</w:t>
          </w:r>
        </w:p>
      </w:sdtContent>
    </w:sdt>
    <w:p w:rsidR="00274D4E" w:rsidRDefault="00B5732B">
      <w:pPr>
        <w:pStyle w:val="affd"/>
        <w:spacing w:before="312" w:after="312"/>
      </w:pPr>
      <w:bookmarkStart w:id="28" w:name="_Toc24884211"/>
      <w:bookmarkStart w:id="29" w:name="_Toc11879"/>
      <w:bookmarkStart w:id="30" w:name="_Toc28040"/>
      <w:bookmarkStart w:id="31" w:name="_Toc17233333"/>
      <w:bookmarkStart w:id="32" w:name="_Toc26986530"/>
      <w:bookmarkStart w:id="33" w:name="_Toc26718930"/>
      <w:bookmarkStart w:id="34" w:name="_Toc26648465"/>
      <w:bookmarkStart w:id="35" w:name="_Toc24884218"/>
      <w:bookmarkStart w:id="36" w:name="_Toc26986771"/>
      <w:bookmarkStart w:id="37" w:name="_Toc17233325"/>
      <w:bookmarkStart w:id="38" w:name="_Toc97191423"/>
      <w:bookmarkEnd w:id="26"/>
      <w:r>
        <w:rPr>
          <w:rFonts w:hint="eastAsia"/>
        </w:rPr>
        <w:t>范围</w:t>
      </w:r>
      <w:bookmarkEnd w:id="28"/>
      <w:bookmarkEnd w:id="29"/>
      <w:bookmarkEnd w:id="30"/>
      <w:bookmarkEnd w:id="31"/>
      <w:bookmarkEnd w:id="32"/>
      <w:bookmarkEnd w:id="33"/>
      <w:bookmarkEnd w:id="34"/>
      <w:bookmarkEnd w:id="35"/>
      <w:bookmarkEnd w:id="36"/>
      <w:bookmarkEnd w:id="37"/>
      <w:bookmarkEnd w:id="38"/>
    </w:p>
    <w:p w:rsidR="00274D4E" w:rsidRDefault="00B5732B" w:rsidP="00754DE2">
      <w:pPr>
        <w:pStyle w:val="afffff1"/>
        <w:ind w:firstLine="420"/>
      </w:pPr>
      <w:bookmarkStart w:id="39" w:name="_Toc17233334"/>
      <w:bookmarkStart w:id="40" w:name="_Toc24884219"/>
      <w:bookmarkStart w:id="41" w:name="_Toc17233326"/>
      <w:bookmarkStart w:id="42" w:name="_Toc24884212"/>
      <w:bookmarkStart w:id="43" w:name="_Toc26648466"/>
      <w:r>
        <w:rPr>
          <w:rFonts w:hint="eastAsia"/>
        </w:rPr>
        <w:t>本文件规定了通过探地雷达技术检测城市道路结构层病害、路基土体坍塌病害的技术要求、工作准备、现场检测、复核与验证、风险评估、工程处置及成果资料与信息管理的工作要求。</w:t>
      </w:r>
    </w:p>
    <w:p w:rsidR="00274D4E" w:rsidRDefault="00B5732B" w:rsidP="00754DE2">
      <w:pPr>
        <w:pStyle w:val="afffff1"/>
        <w:ind w:firstLine="420"/>
      </w:pPr>
      <w:r>
        <w:rPr>
          <w:rFonts w:hint="eastAsia"/>
        </w:rPr>
        <w:t>本文件适用于城市道路结构层病害或路基土体坍塌病害的探地雷达检测。</w:t>
      </w:r>
    </w:p>
    <w:p w:rsidR="00274D4E" w:rsidRDefault="00B5732B">
      <w:pPr>
        <w:pStyle w:val="affd"/>
        <w:spacing w:before="312" w:after="312"/>
      </w:pPr>
      <w:bookmarkStart w:id="44" w:name="_Toc6238"/>
      <w:bookmarkStart w:id="45" w:name="_Toc26718931"/>
      <w:bookmarkStart w:id="46" w:name="_Toc32700"/>
      <w:bookmarkStart w:id="47" w:name="_Toc97191424"/>
      <w:bookmarkStart w:id="48" w:name="_Toc26986531"/>
      <w:bookmarkStart w:id="49" w:name="_Toc26986772"/>
      <w:r>
        <w:rPr>
          <w:rFonts w:hint="eastAsia"/>
        </w:rPr>
        <w:t>规范性引用文件</w:t>
      </w:r>
      <w:bookmarkEnd w:id="39"/>
      <w:bookmarkEnd w:id="40"/>
      <w:bookmarkEnd w:id="41"/>
      <w:bookmarkEnd w:id="42"/>
      <w:bookmarkEnd w:id="43"/>
      <w:bookmarkEnd w:id="44"/>
      <w:bookmarkEnd w:id="45"/>
      <w:bookmarkEnd w:id="46"/>
      <w:bookmarkEnd w:id="47"/>
      <w:bookmarkEnd w:id="48"/>
      <w:bookmarkEnd w:id="49"/>
    </w:p>
    <w:sdt>
      <w:sdtPr>
        <w:rPr>
          <w:rFonts w:hint="eastAsia"/>
        </w:rPr>
        <w:id w:val="715848253"/>
        <w:placeholder>
          <w:docPart w:val="8AB26F249DB443D0B5D6F273C4C91EB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274D4E" w:rsidRDefault="00B5732B">
          <w:pPr>
            <w:pStyle w:val="afffff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274D4E" w:rsidRDefault="00B5732B">
      <w:pPr>
        <w:pStyle w:val="afffffffffff6"/>
        <w:rPr>
          <w:rFonts w:hAnsi="宋体" w:cs="宋体"/>
        </w:rPr>
      </w:pPr>
      <w:r>
        <w:rPr>
          <w:rFonts w:hAnsi="宋体" w:cs="宋体" w:hint="eastAsia"/>
        </w:rPr>
        <w:t>GB/T 22239　信息安全技术 网络安全等级保护基本要求</w:t>
      </w:r>
    </w:p>
    <w:p w:rsidR="00274D4E" w:rsidRDefault="00B5732B">
      <w:pPr>
        <w:pStyle w:val="afffffffffff6"/>
        <w:rPr>
          <w:rFonts w:hAnsi="宋体" w:cs="宋体"/>
        </w:rPr>
      </w:pPr>
      <w:r>
        <w:rPr>
          <w:rFonts w:hAnsi="宋体" w:cs="宋体" w:hint="eastAsia"/>
        </w:rPr>
        <w:t>GB/T 33453　基础地理信息数据库建设规范</w:t>
      </w:r>
    </w:p>
    <w:p w:rsidR="00274D4E" w:rsidRDefault="00B5732B">
      <w:pPr>
        <w:pStyle w:val="afffffffffff6"/>
        <w:rPr>
          <w:rFonts w:hAnsi="宋体" w:cs="宋体"/>
        </w:rPr>
      </w:pPr>
      <w:r>
        <w:rPr>
          <w:rFonts w:hAnsi="宋体" w:cs="宋体" w:hint="eastAsia"/>
        </w:rPr>
        <w:t>GB 50026　工程测量标准</w:t>
      </w:r>
    </w:p>
    <w:p w:rsidR="005873AB" w:rsidRDefault="005873AB" w:rsidP="005873AB">
      <w:pPr>
        <w:pStyle w:val="afffff1"/>
        <w:ind w:firstLine="420"/>
      </w:pPr>
      <w:r>
        <w:rPr>
          <w:rFonts w:hint="eastAsia"/>
        </w:rPr>
        <w:t>GB/T 50585  岩土工程勘察安全标准</w:t>
      </w:r>
    </w:p>
    <w:p w:rsidR="005873AB" w:rsidRDefault="005873AB" w:rsidP="005873AB">
      <w:pPr>
        <w:pStyle w:val="afffff1"/>
        <w:ind w:firstLine="420"/>
      </w:pPr>
      <w:r>
        <w:rPr>
          <w:rFonts w:hint="eastAsia"/>
        </w:rPr>
        <w:t>GB 50911 城市轨道交通工程监测技术规范</w:t>
      </w:r>
    </w:p>
    <w:p w:rsidR="00274D4E" w:rsidRDefault="00B5732B">
      <w:pPr>
        <w:pStyle w:val="afffffffffff6"/>
        <w:rPr>
          <w:rFonts w:hAnsi="宋体" w:cs="宋体"/>
        </w:rPr>
      </w:pPr>
      <w:r>
        <w:rPr>
          <w:rFonts w:hAnsi="宋体" w:cs="宋体" w:hint="eastAsia"/>
        </w:rPr>
        <w:t>CJJ/T 100　城市基础地理信息系统技术标准</w:t>
      </w:r>
    </w:p>
    <w:p w:rsidR="00274D4E" w:rsidRDefault="00B5732B" w:rsidP="00754DE2">
      <w:pPr>
        <w:pStyle w:val="afffff1"/>
        <w:ind w:firstLine="420"/>
      </w:pPr>
      <w:r>
        <w:rPr>
          <w:rFonts w:hint="eastAsia"/>
        </w:rPr>
        <w:t>JGJ/T 437 城市地下病害体综合探测与风险评估技术标准</w:t>
      </w:r>
    </w:p>
    <w:p w:rsidR="00274D4E" w:rsidRDefault="00B5732B" w:rsidP="00754DE2">
      <w:pPr>
        <w:pStyle w:val="afffff1"/>
        <w:ind w:firstLine="420"/>
      </w:pPr>
      <w:r>
        <w:rPr>
          <w:rFonts w:hint="eastAsia"/>
        </w:rPr>
        <w:t>DB11/</w:t>
      </w:r>
      <w:r w:rsidR="005873AB">
        <w:rPr>
          <w:rFonts w:hint="eastAsia"/>
        </w:rPr>
        <w:t xml:space="preserve"> </w:t>
      </w:r>
      <w:r>
        <w:rPr>
          <w:rFonts w:hint="eastAsia"/>
        </w:rPr>
        <w:t>490  地铁工程监控量测技术规程</w:t>
      </w:r>
    </w:p>
    <w:p w:rsidR="00274D4E" w:rsidRDefault="00B5732B" w:rsidP="00754DE2">
      <w:pPr>
        <w:pStyle w:val="afffff1"/>
        <w:ind w:firstLine="420"/>
      </w:pPr>
      <w:r>
        <w:rPr>
          <w:rFonts w:hint="eastAsia"/>
        </w:rPr>
        <w:t>DB11/T</w:t>
      </w:r>
      <w:r w:rsidR="005873AB">
        <w:rPr>
          <w:rFonts w:hint="eastAsia"/>
        </w:rPr>
        <w:t xml:space="preserve"> </w:t>
      </w:r>
      <w:r>
        <w:rPr>
          <w:rFonts w:hint="eastAsia"/>
        </w:rPr>
        <w:t>1399  城市道路与管线地下病害探测及评价技术规范</w:t>
      </w:r>
    </w:p>
    <w:p w:rsidR="00274D4E" w:rsidRDefault="00274D4E" w:rsidP="00754DE2">
      <w:pPr>
        <w:pStyle w:val="afffff1"/>
        <w:ind w:firstLine="420"/>
      </w:pPr>
    </w:p>
    <w:p w:rsidR="00274D4E" w:rsidRDefault="00B5732B">
      <w:pPr>
        <w:pStyle w:val="affd"/>
        <w:spacing w:before="312" w:after="312"/>
      </w:pPr>
      <w:bookmarkStart w:id="50" w:name="_Toc18807"/>
      <w:bookmarkStart w:id="51" w:name="_Toc17406"/>
      <w:bookmarkStart w:id="52" w:name="_Toc97191425"/>
      <w:r>
        <w:rPr>
          <w:rFonts w:hint="eastAsia"/>
          <w:szCs w:val="21"/>
        </w:rPr>
        <w:t>术语和定义</w:t>
      </w:r>
      <w:bookmarkEnd w:id="50"/>
      <w:bookmarkEnd w:id="51"/>
      <w:bookmarkEnd w:id="52"/>
    </w:p>
    <w:bookmarkStart w:id="53" w:name="_Toc26986532" w:displacedByCustomXml="next"/>
    <w:bookmarkEnd w:id="53" w:displacedByCustomXml="next"/>
    <w:sdt>
      <w:sdtPr>
        <w:id w:val="-1909835108"/>
        <w:placeholder>
          <w:docPart w:val="55B6A2045FF84569944B83F618A356C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274D4E" w:rsidRDefault="00B5732B">
          <w:pPr>
            <w:pStyle w:val="afffff1"/>
            <w:ind w:firstLine="420"/>
            <w:rPr>
              <w:rFonts w:ascii="黑体" w:eastAsia="黑体" w:hAnsi="黑体" w:cs="黑体"/>
            </w:rPr>
          </w:pPr>
          <w:r>
            <w:rPr>
              <w:rFonts w:hint="eastAsia"/>
            </w:rPr>
            <w:t>下列术语和定义适用于本文件。</w:t>
          </w:r>
        </w:p>
      </w:sdtContent>
    </w:sdt>
    <w:p w:rsidR="00D07F02" w:rsidRDefault="00D07F02">
      <w:pPr>
        <w:pStyle w:val="afffffffffff0"/>
        <w:ind w:left="420" w:hangingChars="200" w:hanging="420"/>
        <w:rPr>
          <w:rFonts w:ascii="黑体" w:eastAsia="黑体" w:hAnsi="黑体" w:cs="黑体"/>
          <w:snapToGrid w:val="0"/>
          <w:lang w:bidi="ar"/>
        </w:rPr>
      </w:pPr>
    </w:p>
    <w:p w:rsidR="00274D4E" w:rsidRDefault="00B5732B" w:rsidP="00D07F02">
      <w:pPr>
        <w:pStyle w:val="afffffffffff0"/>
        <w:numPr>
          <w:ilvl w:val="0"/>
          <w:numId w:val="0"/>
        </w:numPr>
        <w:ind w:leftChars="200" w:left="420"/>
        <w:rPr>
          <w:rFonts w:ascii="黑体" w:eastAsia="黑体" w:hAnsi="黑体" w:cs="黑体"/>
          <w:snapToGrid w:val="0"/>
          <w:lang w:bidi="ar"/>
        </w:rPr>
      </w:pPr>
      <w:r>
        <w:rPr>
          <w:rFonts w:ascii="黑体" w:eastAsia="黑体" w:hAnsi="黑体" w:cs="黑体" w:hint="eastAsia"/>
          <w:snapToGrid w:val="0"/>
          <w:lang w:bidi="ar"/>
        </w:rPr>
        <w:t>道路结构层病害</w:t>
      </w:r>
      <w:r>
        <w:rPr>
          <w:rFonts w:eastAsia="黑体" w:hint="eastAsia"/>
        </w:rPr>
        <w:t xml:space="preserve">　</w:t>
      </w:r>
      <w:r>
        <w:rPr>
          <w:rFonts w:ascii="黑体" w:eastAsia="黑体" w:hAnsi="黑体" w:cs="黑体" w:hint="eastAsia"/>
          <w:snapToGrid w:val="0"/>
          <w:lang w:bidi="ar"/>
        </w:rPr>
        <w:t>pavement structural distress</w:t>
      </w:r>
    </w:p>
    <w:p w:rsidR="00274D4E" w:rsidRDefault="00B5732B" w:rsidP="00754DE2">
      <w:pPr>
        <w:pStyle w:val="afffff1"/>
        <w:ind w:firstLine="420"/>
      </w:pPr>
      <w:r>
        <w:rPr>
          <w:rFonts w:hint="eastAsia"/>
        </w:rPr>
        <w:t>发育在道路结构层内部、影响道路结构运行的空洞、脱空、</w:t>
      </w:r>
      <w:r>
        <w:rPr>
          <w:rFonts w:ascii="黑体" w:eastAsia="黑体" w:hAnsi="黑体" w:cs="黑体" w:hint="eastAsia"/>
          <w:snapToGrid w:val="0"/>
          <w:lang w:bidi="ar"/>
        </w:rPr>
        <w:t>结构层</w:t>
      </w:r>
      <w:r>
        <w:rPr>
          <w:rFonts w:hint="eastAsia"/>
        </w:rPr>
        <w:t>裂缝、富水、</w:t>
      </w:r>
      <w:r>
        <w:rPr>
          <w:rFonts w:ascii="黑体" w:eastAsia="黑体" w:hAnsi="黑体" w:cs="黑体" w:hint="eastAsia"/>
          <w:snapToGrid w:val="0"/>
          <w:lang w:bidi="ar"/>
        </w:rPr>
        <w:t>结构层</w:t>
      </w:r>
      <w:r>
        <w:rPr>
          <w:rFonts w:hint="eastAsia"/>
        </w:rPr>
        <w:t>松散等的病害。</w:t>
      </w:r>
    </w:p>
    <w:p w:rsidR="00274D4E" w:rsidRDefault="00B5732B">
      <w:pPr>
        <w:pStyle w:val="afffffffffff0"/>
        <w:ind w:left="420" w:hangingChars="200" w:hanging="420"/>
        <w:rPr>
          <w:rFonts w:ascii="黑体" w:eastAsia="黑体" w:hAnsi="黑体" w:cs="黑体"/>
          <w:snapToGrid w:val="0"/>
          <w:lang w:bidi="ar"/>
        </w:rPr>
      </w:pPr>
      <w:r>
        <w:rPr>
          <w:rFonts w:ascii="黑体" w:eastAsia="黑体" w:hAnsi="黑体" w:cs="黑体" w:hint="eastAsia"/>
          <w:snapToGrid w:val="0"/>
          <w:lang w:bidi="ar"/>
        </w:rPr>
        <w:br/>
        <w:t>结构层裂缝</w:t>
      </w:r>
      <w:r>
        <w:rPr>
          <w:rFonts w:eastAsia="黑体" w:hint="eastAsia"/>
        </w:rPr>
        <w:t xml:space="preserve">　</w:t>
      </w:r>
      <w:r>
        <w:rPr>
          <w:rFonts w:ascii="黑体" w:eastAsia="黑体" w:hAnsi="黑体" w:cs="黑体" w:hint="eastAsia"/>
          <w:snapToGrid w:val="0"/>
          <w:lang w:bidi="ar"/>
        </w:rPr>
        <w:t>structural crack</w:t>
      </w:r>
    </w:p>
    <w:p w:rsidR="00274D4E" w:rsidRDefault="00B5732B" w:rsidP="00754DE2">
      <w:pPr>
        <w:pStyle w:val="afffff1"/>
        <w:ind w:firstLine="420"/>
      </w:pPr>
      <w:r>
        <w:rPr>
          <w:rFonts w:hint="eastAsia"/>
        </w:rPr>
        <w:t>道路结构层内部由于道路材料的疲劳、温差膨胀、收缩或者地基沉陷产生的宽度大于等于5mm的裂缝。</w:t>
      </w:r>
    </w:p>
    <w:p w:rsidR="00274D4E" w:rsidRDefault="00B5732B">
      <w:pPr>
        <w:pStyle w:val="afffffffffff0"/>
        <w:ind w:left="420" w:hangingChars="200" w:hanging="420"/>
        <w:rPr>
          <w:rFonts w:ascii="黑体" w:eastAsia="黑体" w:hAnsi="黑体" w:cs="黑体"/>
          <w:snapToGrid w:val="0"/>
          <w:lang w:bidi="ar"/>
        </w:rPr>
      </w:pPr>
      <w:r>
        <w:rPr>
          <w:rFonts w:ascii="黑体" w:eastAsia="黑体" w:hAnsi="黑体" w:cs="黑体" w:hint="eastAsia"/>
          <w:snapToGrid w:val="0"/>
          <w:lang w:bidi="ar"/>
        </w:rPr>
        <w:br/>
        <w:t>结构层松散</w:t>
      </w:r>
      <w:r>
        <w:rPr>
          <w:rFonts w:eastAsia="黑体" w:hint="eastAsia"/>
        </w:rPr>
        <w:t xml:space="preserve">　</w:t>
      </w:r>
      <w:r>
        <w:rPr>
          <w:rFonts w:ascii="黑体" w:eastAsia="黑体" w:hAnsi="黑体" w:cs="黑体" w:hint="eastAsia"/>
          <w:snapToGrid w:val="0"/>
          <w:lang w:bidi="ar"/>
        </w:rPr>
        <w:t>structurally loose</w:t>
      </w:r>
    </w:p>
    <w:p w:rsidR="00274D4E" w:rsidRDefault="00B5732B" w:rsidP="00754DE2">
      <w:pPr>
        <w:pStyle w:val="afffff1"/>
        <w:ind w:firstLine="420"/>
      </w:pPr>
      <w:r>
        <w:rPr>
          <w:rFonts w:hint="eastAsia"/>
        </w:rPr>
        <w:t>道路结构层内部发育的不均匀、不连续和密实程度相对周边结构层较低的</w:t>
      </w:r>
      <w:r>
        <w:t>现象</w:t>
      </w:r>
      <w:r>
        <w:rPr>
          <w:rFonts w:hint="eastAsia"/>
        </w:rPr>
        <w:t>。</w:t>
      </w:r>
    </w:p>
    <w:p w:rsidR="00274D4E" w:rsidRDefault="00B5732B" w:rsidP="00754DE2">
      <w:pPr>
        <w:pStyle w:val="afffff1"/>
        <w:ind w:firstLine="420"/>
      </w:pPr>
      <w:r>
        <w:rPr>
          <w:rFonts w:ascii="黑体" w:eastAsia="黑体" w:hAnsi="黑体" w:cs="黑体" w:hint="eastAsia"/>
          <w:snapToGrid w:val="0"/>
          <w:lang w:bidi="ar"/>
        </w:rPr>
        <w:br/>
      </w:r>
    </w:p>
    <w:p w:rsidR="00274D4E" w:rsidRDefault="00B5732B">
      <w:pPr>
        <w:pStyle w:val="afffffffffff0"/>
        <w:ind w:left="420" w:hangingChars="200" w:hanging="420"/>
        <w:rPr>
          <w:rFonts w:ascii="黑体" w:eastAsia="黑体" w:hAnsi="黑体" w:cs="黑体"/>
        </w:rPr>
      </w:pPr>
      <w:r>
        <w:rPr>
          <w:rFonts w:ascii="黑体" w:eastAsia="黑体" w:hAnsi="黑体" w:cs="黑体" w:hint="eastAsia"/>
        </w:rPr>
        <w:lastRenderedPageBreak/>
        <w:br/>
        <w:t>路基土体坍塌病害</w:t>
      </w:r>
      <w:r>
        <w:rPr>
          <w:rFonts w:eastAsia="黑体" w:hint="eastAsia"/>
        </w:rPr>
        <w:t xml:space="preserve">　</w:t>
      </w:r>
      <w:r>
        <w:rPr>
          <w:rFonts w:ascii="黑体" w:eastAsia="黑体" w:hAnsi="黑体" w:cs="黑体" w:hint="eastAsia"/>
        </w:rPr>
        <w:t xml:space="preserve">subgrade soil </w:t>
      </w:r>
      <w:r>
        <w:rPr>
          <w:rFonts w:ascii="黑体" w:eastAsia="黑体" w:hAnsi="黑体" w:cs="黑体" w:hint="eastAsia"/>
          <w:kern w:val="2"/>
          <w:szCs w:val="21"/>
        </w:rPr>
        <w:t>collapse hazard</w:t>
      </w:r>
    </w:p>
    <w:p w:rsidR="00274D4E" w:rsidRDefault="00B5732B" w:rsidP="00754DE2">
      <w:pPr>
        <w:pStyle w:val="afffff1"/>
        <w:ind w:firstLine="420"/>
      </w:pPr>
      <w:r>
        <w:rPr>
          <w:rFonts w:hint="eastAsia"/>
        </w:rPr>
        <w:t>发育在道路路基或路基土体内部可能引发地面坍塌的地下空洞、脱空和疏松体、富水体等不良地质体。</w:t>
      </w:r>
    </w:p>
    <w:p w:rsidR="00274D4E" w:rsidRDefault="00B5732B">
      <w:pPr>
        <w:pStyle w:val="afffffffffff0"/>
        <w:ind w:left="420" w:hangingChars="200" w:hanging="420"/>
        <w:rPr>
          <w:rFonts w:ascii="黑体" w:eastAsia="黑体" w:hAnsi="黑体" w:cs="黑体"/>
          <w:snapToGrid w:val="0"/>
        </w:rPr>
      </w:pPr>
      <w:r>
        <w:rPr>
          <w:rFonts w:ascii="黑体" w:eastAsia="黑体" w:hAnsi="黑体" w:cs="黑体" w:hint="eastAsia"/>
        </w:rPr>
        <w:br/>
      </w:r>
      <w:r>
        <w:rPr>
          <w:rFonts w:ascii="黑体" w:eastAsia="黑体" w:hAnsi="黑体" w:cs="黑体" w:hint="eastAsia"/>
          <w:snapToGrid w:val="0"/>
        </w:rPr>
        <w:t>脱空</w:t>
      </w:r>
      <w:r>
        <w:rPr>
          <w:rFonts w:eastAsia="黑体" w:hint="eastAsia"/>
        </w:rPr>
        <w:t xml:space="preserve">　</w:t>
      </w:r>
      <w:r>
        <w:rPr>
          <w:rFonts w:ascii="黑体" w:eastAsia="黑体" w:hAnsi="黑体" w:cs="黑体" w:hint="eastAsia"/>
          <w:snapToGrid w:val="0"/>
        </w:rPr>
        <w:t>cavity underneath pavement</w:t>
      </w:r>
    </w:p>
    <w:p w:rsidR="00274D4E" w:rsidRDefault="00B5732B" w:rsidP="00754DE2">
      <w:pPr>
        <w:pStyle w:val="afffff1"/>
        <w:ind w:firstLine="420"/>
      </w:pPr>
      <w:r>
        <w:rPr>
          <w:rFonts w:hint="eastAsia"/>
        </w:rPr>
        <w:t>发育在道路内部不同结构层间或结构层与下部路基之间的净深不大于20cm的洞体。</w:t>
      </w:r>
    </w:p>
    <w:p w:rsidR="00274D4E" w:rsidRDefault="00B5732B">
      <w:pPr>
        <w:pStyle w:val="afffffffffff0"/>
        <w:ind w:left="420" w:hangingChars="200" w:hanging="420"/>
        <w:rPr>
          <w:rFonts w:ascii="黑体" w:eastAsia="黑体" w:hAnsi="黑体" w:cs="黑体"/>
          <w:snapToGrid w:val="0"/>
        </w:rPr>
      </w:pPr>
      <w:r>
        <w:rPr>
          <w:rFonts w:ascii="黑体" w:eastAsia="黑体" w:hAnsi="黑体" w:cs="黑体" w:hint="eastAsia"/>
          <w:snapToGrid w:val="0"/>
        </w:rPr>
        <w:br/>
        <w:t>空洞</w:t>
      </w:r>
      <w:r>
        <w:rPr>
          <w:rFonts w:eastAsia="黑体" w:hint="eastAsia"/>
        </w:rPr>
        <w:t xml:space="preserve">　</w:t>
      </w:r>
      <w:r>
        <w:rPr>
          <w:rFonts w:ascii="黑体" w:eastAsia="黑体" w:hAnsi="黑体" w:cs="黑体" w:hint="eastAsia"/>
          <w:snapToGrid w:val="0"/>
        </w:rPr>
        <w:t>cavity</w:t>
      </w:r>
    </w:p>
    <w:p w:rsidR="00274D4E" w:rsidRDefault="00B5732B" w:rsidP="00754DE2">
      <w:pPr>
        <w:pStyle w:val="afffff1"/>
        <w:ind w:firstLine="420"/>
      </w:pPr>
      <w:r>
        <w:rPr>
          <w:rFonts w:hint="eastAsia"/>
        </w:rPr>
        <w:t>发育在道路结构层内部、结构层与下部路基之间的净深大于20cm，或发育在路基土体内的洞体。</w:t>
      </w:r>
    </w:p>
    <w:p w:rsidR="00274D4E" w:rsidRDefault="00B5732B">
      <w:pPr>
        <w:pStyle w:val="afffffffffff0"/>
        <w:ind w:left="420" w:hangingChars="200" w:hanging="420"/>
        <w:rPr>
          <w:rFonts w:ascii="黑体" w:eastAsia="黑体" w:hAnsi="黑体" w:cs="黑体"/>
          <w:snapToGrid w:val="0"/>
        </w:rPr>
      </w:pPr>
      <w:r>
        <w:rPr>
          <w:rFonts w:ascii="黑体" w:eastAsia="黑体" w:hAnsi="黑体" w:cs="黑体" w:hint="eastAsia"/>
          <w:snapToGrid w:val="0"/>
        </w:rPr>
        <w:br/>
        <w:t>疏松体</w:t>
      </w:r>
      <w:r>
        <w:rPr>
          <w:rFonts w:eastAsia="黑体" w:hint="eastAsia"/>
        </w:rPr>
        <w:t xml:space="preserve">　</w:t>
      </w:r>
      <w:r>
        <w:rPr>
          <w:rFonts w:ascii="黑体" w:eastAsia="黑体" w:hAnsi="黑体" w:cs="黑体" w:hint="eastAsia"/>
          <w:snapToGrid w:val="0"/>
        </w:rPr>
        <w:t>loosely in</w:t>
      </w:r>
      <w:r w:rsidR="00320CFF">
        <w:rPr>
          <w:rFonts w:ascii="黑体" w:eastAsia="黑体" w:hAnsi="黑体" w:cs="黑体" w:hint="eastAsia"/>
          <w:snapToGrid w:val="0"/>
        </w:rPr>
        <w:t xml:space="preserve"> </w:t>
      </w:r>
      <w:r>
        <w:rPr>
          <w:rFonts w:ascii="黑体" w:eastAsia="黑体" w:hAnsi="黑体" w:cs="黑体" w:hint="eastAsia"/>
          <w:snapToGrid w:val="0"/>
        </w:rPr>
        <w:t>filled cavity</w:t>
      </w:r>
    </w:p>
    <w:p w:rsidR="00274D4E" w:rsidRDefault="00B5732B" w:rsidP="00754DE2">
      <w:pPr>
        <w:pStyle w:val="afffff1"/>
        <w:ind w:firstLine="420"/>
      </w:pPr>
      <w:r>
        <w:rPr>
          <w:rFonts w:hint="eastAsia"/>
        </w:rPr>
        <w:t>道路路基下发育的密实状态明显低于周边土体和路基的不良地质体。</w:t>
      </w:r>
    </w:p>
    <w:p w:rsidR="00274D4E" w:rsidRDefault="00B5732B">
      <w:pPr>
        <w:pStyle w:val="afffffffffff0"/>
        <w:ind w:left="420" w:hangingChars="200" w:hanging="420"/>
        <w:rPr>
          <w:rFonts w:ascii="黑体" w:eastAsia="黑体" w:hAnsi="黑体" w:cs="黑体"/>
          <w:snapToGrid w:val="0"/>
        </w:rPr>
      </w:pPr>
      <w:r>
        <w:rPr>
          <w:rFonts w:ascii="黑体" w:eastAsia="黑体" w:hAnsi="黑体" w:cs="黑体" w:hint="eastAsia"/>
          <w:snapToGrid w:val="0"/>
        </w:rPr>
        <w:br/>
        <w:t>富水体</w:t>
      </w:r>
      <w:r>
        <w:rPr>
          <w:rFonts w:eastAsia="黑体" w:hint="eastAsia"/>
        </w:rPr>
        <w:t xml:space="preserve">　</w:t>
      </w:r>
      <w:r>
        <w:rPr>
          <w:rFonts w:ascii="黑体" w:eastAsia="黑体" w:hAnsi="黑体" w:cs="黑体" w:hint="eastAsia"/>
          <w:snapToGrid w:val="0"/>
        </w:rPr>
        <w:t>water-rich body</w:t>
      </w:r>
    </w:p>
    <w:p w:rsidR="00274D4E" w:rsidRDefault="00B5732B" w:rsidP="00754DE2">
      <w:pPr>
        <w:pStyle w:val="afffff1"/>
        <w:ind w:firstLine="420"/>
      </w:pPr>
      <w:r>
        <w:rPr>
          <w:rFonts w:hint="eastAsia"/>
        </w:rPr>
        <w:t>含水量明显高于周边土体的不良地质体。</w:t>
      </w:r>
    </w:p>
    <w:p w:rsidR="00274D4E" w:rsidRDefault="00B5732B">
      <w:pPr>
        <w:pStyle w:val="afffffffffff0"/>
        <w:ind w:left="420" w:hangingChars="200" w:hanging="420"/>
        <w:rPr>
          <w:rFonts w:ascii="黑体" w:eastAsia="黑体" w:hAnsi="黑体" w:cs="黑体"/>
          <w:snapToGrid w:val="0"/>
        </w:rPr>
      </w:pPr>
      <w:r>
        <w:rPr>
          <w:rFonts w:ascii="黑体" w:eastAsia="黑体" w:hAnsi="黑体" w:cs="黑体" w:hint="eastAsia"/>
          <w:snapToGrid w:val="0"/>
        </w:rPr>
        <w:br/>
        <w:t>探地雷达检测</w:t>
      </w:r>
      <w:r>
        <w:rPr>
          <w:rFonts w:eastAsia="黑体" w:hint="eastAsia"/>
        </w:rPr>
        <w:t xml:space="preserve">　</w:t>
      </w:r>
      <w:r>
        <w:rPr>
          <w:rFonts w:ascii="黑体" w:eastAsia="黑体" w:hAnsi="黑体" w:cs="黑体" w:hint="eastAsia"/>
          <w:snapToGrid w:val="0"/>
        </w:rPr>
        <w:t>ground-penetrating radar detection</w:t>
      </w:r>
    </w:p>
    <w:p w:rsidR="00274D4E" w:rsidRDefault="00B5732B" w:rsidP="00754DE2">
      <w:pPr>
        <w:pStyle w:val="afffff1"/>
        <w:ind w:firstLine="420"/>
      </w:pPr>
      <w:r>
        <w:rPr>
          <w:rFonts w:hint="eastAsia"/>
        </w:rPr>
        <w:t>采用探地雷达方法查明地下介质结构体的类型、位置和规模等属性特征，并进行风险等级评估的活动。</w:t>
      </w:r>
    </w:p>
    <w:p w:rsidR="00274D4E" w:rsidRDefault="00B5732B">
      <w:pPr>
        <w:pStyle w:val="afffffffffff0"/>
        <w:ind w:left="420" w:hangingChars="200" w:hanging="420"/>
        <w:rPr>
          <w:rFonts w:ascii="黑体" w:eastAsia="黑体" w:hAnsi="黑体" w:cs="黑体"/>
          <w:snapToGrid w:val="0"/>
        </w:rPr>
      </w:pPr>
      <w:r>
        <w:rPr>
          <w:rFonts w:ascii="黑体" w:eastAsia="黑体" w:hAnsi="黑体" w:cs="黑体" w:hint="eastAsia"/>
          <w:snapToGrid w:val="0"/>
        </w:rPr>
        <w:br/>
        <w:t>二维探地雷达检测</w:t>
      </w:r>
      <w:r>
        <w:rPr>
          <w:rFonts w:eastAsia="黑体" w:hint="eastAsia"/>
        </w:rPr>
        <w:t xml:space="preserve">　</w:t>
      </w:r>
      <w:r>
        <w:rPr>
          <w:rFonts w:ascii="黑体" w:eastAsia="黑体" w:hAnsi="黑体" w:cs="黑体" w:hint="eastAsia"/>
          <w:snapToGrid w:val="0"/>
        </w:rPr>
        <w:t>two dimensional ground penetrating radar detection</w:t>
      </w:r>
    </w:p>
    <w:p w:rsidR="00274D4E" w:rsidRDefault="00B5732B" w:rsidP="00754DE2">
      <w:pPr>
        <w:pStyle w:val="afffff1"/>
        <w:ind w:firstLine="420"/>
      </w:pPr>
      <w:r>
        <w:rPr>
          <w:rFonts w:hint="eastAsia"/>
        </w:rPr>
        <w:t>采用单一频率或组合频率天线获得单条或多条时间（深度）剖面的探地雷达检测方法。</w:t>
      </w:r>
    </w:p>
    <w:p w:rsidR="00274D4E" w:rsidRDefault="00B5732B">
      <w:pPr>
        <w:pStyle w:val="afffffffffff0"/>
        <w:ind w:left="420" w:hangingChars="200" w:hanging="420"/>
        <w:rPr>
          <w:rFonts w:ascii="黑体" w:eastAsia="黑体" w:hAnsi="黑体" w:cs="黑体"/>
          <w:snapToGrid w:val="0"/>
        </w:rPr>
      </w:pPr>
      <w:bookmarkStart w:id="54" w:name="_Toc447714340"/>
      <w:bookmarkStart w:id="55" w:name="_Toc447888897"/>
      <w:bookmarkStart w:id="56" w:name="_Toc453830775"/>
      <w:bookmarkStart w:id="57" w:name="_Toc443547472"/>
      <w:bookmarkStart w:id="58" w:name="_Toc448839551"/>
      <w:bookmarkStart w:id="59" w:name="_Toc448475403"/>
      <w:bookmarkStart w:id="60" w:name="_Toc440893591"/>
      <w:bookmarkStart w:id="61" w:name="_Toc445219256"/>
      <w:bookmarkStart w:id="62" w:name="_Toc446840399"/>
      <w:bookmarkStart w:id="63" w:name="_Toc440530763"/>
      <w:bookmarkStart w:id="64" w:name="_Toc446683906"/>
      <w:bookmarkStart w:id="65" w:name="_Toc446840274"/>
      <w:bookmarkEnd w:id="54"/>
      <w:bookmarkEnd w:id="55"/>
      <w:bookmarkEnd w:id="56"/>
      <w:bookmarkEnd w:id="57"/>
      <w:bookmarkEnd w:id="58"/>
      <w:bookmarkEnd w:id="59"/>
      <w:bookmarkEnd w:id="60"/>
      <w:bookmarkEnd w:id="61"/>
      <w:bookmarkEnd w:id="62"/>
      <w:bookmarkEnd w:id="63"/>
      <w:bookmarkEnd w:id="64"/>
      <w:bookmarkEnd w:id="65"/>
      <w:r>
        <w:rPr>
          <w:rFonts w:ascii="黑体" w:eastAsia="黑体" w:hAnsi="黑体" w:cs="黑体" w:hint="eastAsia"/>
        </w:rPr>
        <w:br/>
      </w:r>
      <w:r>
        <w:rPr>
          <w:rFonts w:ascii="黑体" w:eastAsia="黑体" w:hAnsi="黑体" w:cs="黑体" w:hint="eastAsia"/>
          <w:snapToGrid w:val="0"/>
        </w:rPr>
        <w:t>三维探地雷达检测</w:t>
      </w:r>
      <w:r>
        <w:rPr>
          <w:rFonts w:eastAsia="黑体" w:hint="eastAsia"/>
        </w:rPr>
        <w:t xml:space="preserve">　</w:t>
      </w:r>
      <w:r>
        <w:rPr>
          <w:rFonts w:ascii="黑体" w:eastAsia="黑体" w:hAnsi="黑体" w:cs="黑体" w:hint="eastAsia"/>
          <w:snapToGrid w:val="0"/>
        </w:rPr>
        <w:t>three dimensional ground penetrating radar detection</w:t>
      </w:r>
    </w:p>
    <w:p w:rsidR="00274D4E" w:rsidRDefault="00B5732B" w:rsidP="00754DE2">
      <w:pPr>
        <w:pStyle w:val="afffff1"/>
        <w:ind w:firstLine="420"/>
      </w:pPr>
      <w:r>
        <w:rPr>
          <w:rFonts w:hint="eastAsia"/>
        </w:rPr>
        <w:t>采用阵列天线技术获得三维数据体的探地雷达检测方法。</w:t>
      </w:r>
    </w:p>
    <w:p w:rsidR="00274D4E" w:rsidRDefault="00B5732B" w:rsidP="00754DE2">
      <w:pPr>
        <w:pStyle w:val="affd"/>
        <w:spacing w:before="312" w:after="312"/>
      </w:pPr>
      <w:bookmarkStart w:id="66" w:name="_Toc9384"/>
      <w:r>
        <w:rPr>
          <w:rFonts w:hint="eastAsia"/>
        </w:rPr>
        <w:t>总体要求</w:t>
      </w:r>
      <w:bookmarkEnd w:id="66"/>
    </w:p>
    <w:p w:rsidR="00274D4E" w:rsidRDefault="00B5732B" w:rsidP="00754DE2">
      <w:pPr>
        <w:pStyle w:val="affe"/>
        <w:spacing w:before="156" w:after="156"/>
      </w:pPr>
      <w:bookmarkStart w:id="67" w:name="_Toc14279"/>
      <w:r>
        <w:rPr>
          <w:rFonts w:hint="eastAsia"/>
        </w:rPr>
        <w:t>工作内容</w:t>
      </w:r>
      <w:bookmarkEnd w:id="67"/>
    </w:p>
    <w:p w:rsidR="00274D4E" w:rsidRDefault="00B5732B" w:rsidP="00754DE2">
      <w:pPr>
        <w:pStyle w:val="afffff1"/>
        <w:ind w:firstLine="420"/>
      </w:pPr>
      <w:bookmarkStart w:id="68" w:name="_Toc7614"/>
      <w:r>
        <w:rPr>
          <w:rFonts w:hint="eastAsia"/>
        </w:rPr>
        <w:t>城市道路探地雷达检测依据项目要求，查明影响道路结构运行的道路结构层病害的发育特征和属性信息；或查明一定深度范围内路基土体坍塌病害的发育特征和属性信息、调查主要成因、评估病害风险等级、提出处置建议与对策等。</w:t>
      </w:r>
    </w:p>
    <w:p w:rsidR="00274D4E" w:rsidRDefault="00B5732B" w:rsidP="00754DE2">
      <w:pPr>
        <w:pStyle w:val="affe"/>
        <w:spacing w:before="156" w:after="156"/>
      </w:pPr>
      <w:bookmarkStart w:id="69" w:name="_Toc30622"/>
      <w:bookmarkStart w:id="70" w:name="_Toc11704"/>
      <w:bookmarkStart w:id="71" w:name="_Toc26304"/>
      <w:r>
        <w:rPr>
          <w:rFonts w:hint="eastAsia"/>
        </w:rPr>
        <w:t>工作方法</w:t>
      </w:r>
      <w:bookmarkEnd w:id="69"/>
      <w:bookmarkEnd w:id="70"/>
      <w:bookmarkEnd w:id="71"/>
    </w:p>
    <w:p w:rsidR="00274D4E" w:rsidRDefault="00B5732B" w:rsidP="00754DE2">
      <w:pPr>
        <w:pStyle w:val="afffff1"/>
        <w:ind w:firstLine="420"/>
      </w:pPr>
      <w:r>
        <w:rPr>
          <w:rFonts w:hint="eastAsia"/>
        </w:rPr>
        <w:t>城市道路探地雷达检测应根据任务要求、检测对象、环境特性、检测深度等因素，采用二维、三维探地雷达或组合的方式进行检测。</w:t>
      </w:r>
    </w:p>
    <w:p w:rsidR="00274D4E" w:rsidRDefault="00B5732B" w:rsidP="00754DE2">
      <w:pPr>
        <w:pStyle w:val="affe"/>
        <w:spacing w:before="156" w:after="156"/>
      </w:pPr>
      <w:bookmarkStart w:id="72" w:name="_Toc4793"/>
      <w:bookmarkStart w:id="73" w:name="_Toc18986"/>
      <w:bookmarkStart w:id="74" w:name="_Toc5658"/>
      <w:r>
        <w:rPr>
          <w:rFonts w:hint="eastAsia"/>
        </w:rPr>
        <w:t>检测区域</w:t>
      </w:r>
      <w:bookmarkEnd w:id="72"/>
      <w:bookmarkEnd w:id="73"/>
      <w:bookmarkEnd w:id="74"/>
    </w:p>
    <w:p w:rsidR="00274D4E" w:rsidRDefault="00B5732B" w:rsidP="00754DE2">
      <w:pPr>
        <w:pStyle w:val="afffff1"/>
        <w:ind w:firstLine="420"/>
      </w:pPr>
      <w:r>
        <w:rPr>
          <w:rFonts w:hint="eastAsia"/>
        </w:rPr>
        <w:t>检测区域应包含所有城市道路及涵洞、挡墙等其他道路基础设施，下列区域宜确定为重点检测区域:</w:t>
      </w:r>
    </w:p>
    <w:p w:rsidR="00274D4E" w:rsidRDefault="00B5732B">
      <w:pPr>
        <w:pStyle w:val="af8"/>
        <w:numPr>
          <w:ilvl w:val="0"/>
          <w:numId w:val="34"/>
        </w:numPr>
      </w:pPr>
      <w:r>
        <w:rPr>
          <w:rFonts w:hint="eastAsia"/>
        </w:rPr>
        <w:t>城市快速路、主干路等重点道路；</w:t>
      </w:r>
    </w:p>
    <w:p w:rsidR="00274D4E" w:rsidRDefault="00B5732B">
      <w:pPr>
        <w:pStyle w:val="af8"/>
        <w:numPr>
          <w:ilvl w:val="0"/>
          <w:numId w:val="34"/>
        </w:numPr>
      </w:pPr>
      <w:r>
        <w:rPr>
          <w:rFonts w:hint="eastAsia"/>
        </w:rPr>
        <w:t>地铁隧道、基坑、管涵等地下工程施工影响道路区域；</w:t>
      </w:r>
    </w:p>
    <w:p w:rsidR="00274D4E" w:rsidRDefault="00B5732B">
      <w:pPr>
        <w:pStyle w:val="af8"/>
        <w:numPr>
          <w:ilvl w:val="0"/>
          <w:numId w:val="34"/>
        </w:numPr>
      </w:pPr>
      <w:r>
        <w:rPr>
          <w:rFonts w:hint="eastAsia"/>
        </w:rPr>
        <w:lastRenderedPageBreak/>
        <w:t>地下管线建成年代久远、运行状况较差的道路；</w:t>
      </w:r>
    </w:p>
    <w:p w:rsidR="00274D4E" w:rsidRDefault="00B5732B">
      <w:pPr>
        <w:pStyle w:val="af8"/>
        <w:numPr>
          <w:ilvl w:val="0"/>
          <w:numId w:val="34"/>
        </w:numPr>
      </w:pPr>
      <w:r>
        <w:rPr>
          <w:rFonts w:hint="eastAsia"/>
        </w:rPr>
        <w:t>结构层受破坏或多次开挖修复的道路；</w:t>
      </w:r>
    </w:p>
    <w:p w:rsidR="00274D4E" w:rsidRDefault="00B5732B">
      <w:pPr>
        <w:pStyle w:val="af8"/>
        <w:numPr>
          <w:ilvl w:val="0"/>
          <w:numId w:val="34"/>
        </w:numPr>
      </w:pPr>
      <w:r>
        <w:rPr>
          <w:rFonts w:hint="eastAsia"/>
        </w:rPr>
        <w:t>城市道路塌陷易发和历史事故多发区；</w:t>
      </w:r>
    </w:p>
    <w:p w:rsidR="00274D4E" w:rsidRDefault="00B5732B">
      <w:pPr>
        <w:pStyle w:val="af8"/>
        <w:numPr>
          <w:ilvl w:val="0"/>
          <w:numId w:val="34"/>
        </w:numPr>
      </w:pPr>
      <w:r>
        <w:rPr>
          <w:rFonts w:hint="eastAsia"/>
        </w:rPr>
        <w:t>城市重大社会活动涉及的重要道路；</w:t>
      </w:r>
    </w:p>
    <w:p w:rsidR="00274D4E" w:rsidRDefault="00B5732B">
      <w:pPr>
        <w:pStyle w:val="af8"/>
        <w:numPr>
          <w:ilvl w:val="0"/>
          <w:numId w:val="34"/>
        </w:numPr>
      </w:pPr>
      <w:r>
        <w:rPr>
          <w:rFonts w:hint="eastAsia"/>
        </w:rPr>
        <w:t>发生严重地面变形或路面塌陷路段；</w:t>
      </w:r>
    </w:p>
    <w:p w:rsidR="00274D4E" w:rsidRDefault="00B5732B">
      <w:pPr>
        <w:pStyle w:val="af8"/>
        <w:numPr>
          <w:ilvl w:val="0"/>
          <w:numId w:val="34"/>
        </w:numPr>
      </w:pPr>
      <w:r>
        <w:t>发生</w:t>
      </w:r>
      <w:r>
        <w:rPr>
          <w:rFonts w:hint="eastAsia"/>
        </w:rPr>
        <w:t>了</w:t>
      </w:r>
      <w:r>
        <w:t>变形、破损</w:t>
      </w:r>
      <w:r>
        <w:rPr>
          <w:rFonts w:hint="eastAsia"/>
        </w:rPr>
        <w:t>或</w:t>
      </w:r>
      <w:r>
        <w:t>存在老化、渗</w:t>
      </w:r>
      <w:r>
        <w:rPr>
          <w:rFonts w:hint="eastAsia"/>
        </w:rPr>
        <w:t>漏等</w:t>
      </w:r>
      <w:r>
        <w:t>缺陷及</w:t>
      </w:r>
      <w:r>
        <w:rPr>
          <w:rFonts w:hint="eastAsia"/>
        </w:rPr>
        <w:t>病害的</w:t>
      </w:r>
      <w:r>
        <w:t>地下管线</w:t>
      </w:r>
      <w:r>
        <w:rPr>
          <w:rFonts w:hint="eastAsia"/>
        </w:rPr>
        <w:t>分布区</w:t>
      </w:r>
      <w:r>
        <w:t>的路段</w:t>
      </w:r>
      <w:r>
        <w:rPr>
          <w:rFonts w:hint="eastAsia"/>
        </w:rPr>
        <w:t>；</w:t>
      </w:r>
    </w:p>
    <w:p w:rsidR="00274D4E" w:rsidRDefault="00B5732B">
      <w:pPr>
        <w:pStyle w:val="af8"/>
        <w:numPr>
          <w:ilvl w:val="0"/>
          <w:numId w:val="34"/>
        </w:numPr>
      </w:pPr>
      <w:r>
        <w:rPr>
          <w:rFonts w:hint="eastAsia"/>
        </w:rPr>
        <w:t>其他需要重点检测道路。</w:t>
      </w:r>
    </w:p>
    <w:p w:rsidR="00274D4E" w:rsidRDefault="00B5732B" w:rsidP="00754DE2">
      <w:pPr>
        <w:pStyle w:val="affe"/>
        <w:spacing w:before="156" w:after="156"/>
      </w:pPr>
      <w:r>
        <w:rPr>
          <w:rFonts w:hint="eastAsia"/>
        </w:rPr>
        <w:t>检测范围</w:t>
      </w:r>
    </w:p>
    <w:p w:rsidR="00274D4E" w:rsidRDefault="00B5732B" w:rsidP="00754DE2">
      <w:pPr>
        <w:pStyle w:val="afffff1"/>
        <w:ind w:firstLine="420"/>
      </w:pPr>
      <w:r>
        <w:rPr>
          <w:rFonts w:hint="eastAsia"/>
        </w:rPr>
        <w:t>检测范围应根据城市道路病害主要影响因素、易发性及外观状况等综合确定，并符合以下要求：</w:t>
      </w:r>
    </w:p>
    <w:p w:rsidR="00274D4E" w:rsidRDefault="00B5732B">
      <w:pPr>
        <w:pStyle w:val="af8"/>
        <w:numPr>
          <w:ilvl w:val="0"/>
          <w:numId w:val="35"/>
        </w:numPr>
      </w:pPr>
      <w:r>
        <w:t>道路结构层病害检测时应根据道路表观病害发育范围、道路大中修或道路修复区域进行检测；</w:t>
      </w:r>
    </w:p>
    <w:p w:rsidR="00274D4E" w:rsidRDefault="00B5732B">
      <w:pPr>
        <w:pStyle w:val="af8"/>
        <w:numPr>
          <w:ilvl w:val="0"/>
          <w:numId w:val="35"/>
        </w:numPr>
      </w:pPr>
      <w:r>
        <w:rPr>
          <w:rFonts w:hint="eastAsia"/>
        </w:rPr>
        <w:t>城市道路地面变形或路面塌陷、地下管线坍塌或</w:t>
      </w:r>
      <w:r>
        <w:t>道路</w:t>
      </w:r>
      <w:r>
        <w:rPr>
          <w:rFonts w:hint="eastAsia"/>
        </w:rPr>
        <w:t>多次开挖修复</w:t>
      </w:r>
      <w:r>
        <w:t>等</w:t>
      </w:r>
      <w:r>
        <w:rPr>
          <w:rFonts w:hint="eastAsia"/>
        </w:rPr>
        <w:t>路段</w:t>
      </w:r>
      <w:r>
        <w:t>，</w:t>
      </w:r>
      <w:r>
        <w:rPr>
          <w:rFonts w:hint="eastAsia"/>
        </w:rPr>
        <w:t>应根据</w:t>
      </w:r>
      <w:r>
        <w:t>坍塌</w:t>
      </w:r>
      <w:r>
        <w:rPr>
          <w:rFonts w:hint="eastAsia"/>
        </w:rPr>
        <w:t>病害</w:t>
      </w:r>
      <w:r>
        <w:t>大小</w:t>
      </w:r>
      <w:r>
        <w:rPr>
          <w:rFonts w:hint="eastAsia"/>
        </w:rPr>
        <w:t>确定检测范围，至少应覆盖病害周边10米以内的道路范围；</w:t>
      </w:r>
    </w:p>
    <w:p w:rsidR="00274D4E" w:rsidRDefault="00B5732B">
      <w:pPr>
        <w:pStyle w:val="af8"/>
        <w:numPr>
          <w:ilvl w:val="0"/>
          <w:numId w:val="35"/>
        </w:numPr>
      </w:pPr>
      <w:r>
        <w:rPr>
          <w:rFonts w:hint="eastAsia"/>
        </w:rPr>
        <w:t>地下工程施工影响区域检测范围应为施工影响区范围内道路，施工影响区按GB 50911的规定确定</w:t>
      </w:r>
      <w:r>
        <w:t>。</w:t>
      </w:r>
    </w:p>
    <w:p w:rsidR="00274D4E" w:rsidRDefault="00B5732B" w:rsidP="00754DE2">
      <w:pPr>
        <w:pStyle w:val="affe"/>
        <w:spacing w:before="156" w:after="156"/>
      </w:pPr>
      <w:bookmarkStart w:id="75" w:name="_Toc12484"/>
      <w:bookmarkStart w:id="76" w:name="_Toc31443"/>
      <w:r>
        <w:rPr>
          <w:rFonts w:hint="eastAsia"/>
        </w:rPr>
        <w:t xml:space="preserve"> </w:t>
      </w:r>
      <w:bookmarkStart w:id="77" w:name="_Toc16740"/>
      <w:r>
        <w:rPr>
          <w:rFonts w:hint="eastAsia"/>
        </w:rPr>
        <w:t>检测时机和周期</w:t>
      </w:r>
      <w:bookmarkEnd w:id="75"/>
      <w:bookmarkEnd w:id="76"/>
      <w:bookmarkEnd w:id="77"/>
    </w:p>
    <w:p w:rsidR="00274D4E" w:rsidRDefault="00B5732B" w:rsidP="00754DE2">
      <w:pPr>
        <w:pStyle w:val="afffff1"/>
        <w:ind w:firstLine="420"/>
      </w:pPr>
      <w:r>
        <w:rPr>
          <w:rFonts w:hint="eastAsia"/>
        </w:rPr>
        <w:t>道路结构层病害检测宜在道路大中修或道路修复时进行；路基土体坍塌病害检测宜结合城市运行、道路运行状况、病害发育特征和影响因素等综合确定，可分为定期检测、专项检测和应急检测。</w:t>
      </w:r>
    </w:p>
    <w:p w:rsidR="00274D4E" w:rsidRDefault="00B5732B" w:rsidP="00754DE2">
      <w:pPr>
        <w:pStyle w:val="afff"/>
        <w:spacing w:before="156" w:after="156"/>
      </w:pPr>
      <w:bookmarkStart w:id="78" w:name="_Toc15167"/>
      <w:bookmarkStart w:id="79" w:name="_Toc32082"/>
      <w:r>
        <w:rPr>
          <w:rFonts w:hint="eastAsia"/>
        </w:rPr>
        <w:t>定期检测</w:t>
      </w:r>
      <w:bookmarkEnd w:id="78"/>
      <w:bookmarkEnd w:id="79"/>
    </w:p>
    <w:p w:rsidR="00274D4E" w:rsidRDefault="00B5732B" w:rsidP="00754DE2">
      <w:pPr>
        <w:pStyle w:val="afffff1"/>
        <w:ind w:firstLine="420"/>
      </w:pPr>
      <w:r>
        <w:rPr>
          <w:rFonts w:hint="eastAsia"/>
        </w:rPr>
        <w:t>城市道路宜每3</w:t>
      </w:r>
      <w:r>
        <w:rPr>
          <w:rFonts w:ascii="Times New Roman"/>
        </w:rPr>
        <w:t>~</w:t>
      </w:r>
      <w:r>
        <w:rPr>
          <w:rFonts w:hint="eastAsia"/>
        </w:rPr>
        <w:t>5年开展1次定期检测，重点检测区域宜结合实际情况加强检测。</w:t>
      </w:r>
    </w:p>
    <w:p w:rsidR="00274D4E" w:rsidRDefault="00B5732B" w:rsidP="00754DE2">
      <w:pPr>
        <w:pStyle w:val="afff"/>
        <w:spacing w:before="156" w:after="156"/>
      </w:pPr>
      <w:bookmarkStart w:id="80" w:name="_Toc1044"/>
      <w:bookmarkStart w:id="81" w:name="_Toc29416"/>
      <w:r>
        <w:rPr>
          <w:rFonts w:hint="eastAsia"/>
        </w:rPr>
        <w:t>专项检测</w:t>
      </w:r>
      <w:bookmarkEnd w:id="80"/>
      <w:bookmarkEnd w:id="81"/>
    </w:p>
    <w:p w:rsidR="00274D4E" w:rsidRDefault="00B5732B" w:rsidP="00754DE2">
      <w:pPr>
        <w:pStyle w:val="afffff1"/>
        <w:ind w:firstLine="420"/>
      </w:pPr>
      <w:r>
        <w:rPr>
          <w:rFonts w:hint="eastAsia"/>
        </w:rPr>
        <w:t>当遇到下列情况时，宜进行专项检测：</w:t>
      </w:r>
    </w:p>
    <w:p w:rsidR="00274D4E" w:rsidRDefault="00B5732B">
      <w:pPr>
        <w:pStyle w:val="af8"/>
        <w:numPr>
          <w:ilvl w:val="0"/>
          <w:numId w:val="36"/>
        </w:numPr>
      </w:pPr>
      <w:r>
        <w:rPr>
          <w:rFonts w:hint="eastAsia"/>
        </w:rPr>
        <w:t>重大活动保障涉及的道路，应在活动举办前开展；</w:t>
      </w:r>
    </w:p>
    <w:p w:rsidR="00274D4E" w:rsidRDefault="00B5732B">
      <w:pPr>
        <w:pStyle w:val="af8"/>
        <w:numPr>
          <w:ilvl w:val="0"/>
          <w:numId w:val="36"/>
        </w:numPr>
      </w:pPr>
      <w:r>
        <w:rPr>
          <w:rFonts w:hint="eastAsia"/>
        </w:rPr>
        <w:t>汛期后，发生损毁的临近排水管涵、暗渠、河道的道路应开展；</w:t>
      </w:r>
    </w:p>
    <w:p w:rsidR="00274D4E" w:rsidRDefault="00B5732B">
      <w:pPr>
        <w:pStyle w:val="af8"/>
        <w:numPr>
          <w:ilvl w:val="0"/>
          <w:numId w:val="36"/>
        </w:numPr>
      </w:pPr>
      <w:r>
        <w:rPr>
          <w:rFonts w:hint="eastAsia"/>
        </w:rPr>
        <w:t>改扩建或大修的道路，宜在施工前开展；</w:t>
      </w:r>
    </w:p>
    <w:p w:rsidR="00274D4E" w:rsidRDefault="00B5732B">
      <w:pPr>
        <w:pStyle w:val="af8"/>
        <w:numPr>
          <w:ilvl w:val="0"/>
          <w:numId w:val="36"/>
        </w:numPr>
      </w:pPr>
      <w:r>
        <w:rPr>
          <w:rFonts w:hint="eastAsia"/>
        </w:rPr>
        <w:t>受地下穿越或开挖工程影响的道路，施工前、施工中和竣工后1~3年内宜分别开展；</w:t>
      </w:r>
    </w:p>
    <w:p w:rsidR="00274D4E" w:rsidRDefault="00B5732B">
      <w:pPr>
        <w:pStyle w:val="af8"/>
        <w:numPr>
          <w:ilvl w:val="0"/>
          <w:numId w:val="36"/>
        </w:numPr>
      </w:pPr>
      <w:r>
        <w:rPr>
          <w:rFonts w:hint="eastAsia"/>
        </w:rPr>
        <w:t>拟产权移交的道路，宜在移交前开展；</w:t>
      </w:r>
    </w:p>
    <w:p w:rsidR="00274D4E" w:rsidRDefault="00B5732B">
      <w:pPr>
        <w:pStyle w:val="af8"/>
        <w:numPr>
          <w:ilvl w:val="0"/>
          <w:numId w:val="36"/>
        </w:numPr>
      </w:pPr>
      <w:r>
        <w:rPr>
          <w:rFonts w:hint="eastAsia"/>
        </w:rPr>
        <w:t>明确存在路基土体坍塌病害潜在安全风险时宜开展；</w:t>
      </w:r>
    </w:p>
    <w:p w:rsidR="00274D4E" w:rsidRDefault="00B5732B">
      <w:pPr>
        <w:pStyle w:val="af8"/>
        <w:numPr>
          <w:ilvl w:val="0"/>
          <w:numId w:val="36"/>
        </w:numPr>
      </w:pPr>
      <w:r>
        <w:rPr>
          <w:rFonts w:hint="eastAsia"/>
        </w:rPr>
        <w:t>其他存在城市道路病害发育风险的区域，宜择机检测。</w:t>
      </w:r>
    </w:p>
    <w:p w:rsidR="00274D4E" w:rsidRDefault="00B5732B" w:rsidP="00754DE2">
      <w:pPr>
        <w:pStyle w:val="afff"/>
        <w:spacing w:before="156" w:after="156"/>
      </w:pPr>
      <w:bookmarkStart w:id="82" w:name="_Toc9308"/>
      <w:bookmarkStart w:id="83" w:name="_Toc30669"/>
      <w:r>
        <w:rPr>
          <w:rFonts w:hint="eastAsia"/>
        </w:rPr>
        <w:t>应急性检测</w:t>
      </w:r>
      <w:bookmarkEnd w:id="82"/>
      <w:bookmarkEnd w:id="83"/>
    </w:p>
    <w:p w:rsidR="00274D4E" w:rsidRDefault="00B5732B" w:rsidP="00754DE2">
      <w:pPr>
        <w:pStyle w:val="afffff1"/>
        <w:ind w:firstLine="420"/>
      </w:pPr>
      <w:r>
        <w:rPr>
          <w:rFonts w:hint="eastAsia"/>
        </w:rPr>
        <w:t>当遇到下列情况时，应立即对影响范围内的城市道路进行应急检测：</w:t>
      </w:r>
    </w:p>
    <w:p w:rsidR="00274D4E" w:rsidRDefault="00B5732B">
      <w:pPr>
        <w:pStyle w:val="af8"/>
        <w:numPr>
          <w:ilvl w:val="0"/>
          <w:numId w:val="37"/>
        </w:numPr>
      </w:pPr>
      <w:r>
        <w:rPr>
          <w:rFonts w:hint="eastAsia"/>
        </w:rPr>
        <w:t>地铁隧道、基坑、管涵等地下工程施工造成路面发生严重变形、发生大量水土流失或发生小规模塌陷时；</w:t>
      </w:r>
    </w:p>
    <w:p w:rsidR="00274D4E" w:rsidRDefault="00B5732B">
      <w:pPr>
        <w:pStyle w:val="af8"/>
        <w:numPr>
          <w:ilvl w:val="0"/>
          <w:numId w:val="37"/>
        </w:numPr>
      </w:pPr>
      <w:r>
        <w:rPr>
          <w:rFonts w:hint="eastAsia"/>
        </w:rPr>
        <w:t>管道破损、渗漏等造成道路运行异常时；</w:t>
      </w:r>
    </w:p>
    <w:p w:rsidR="00274D4E" w:rsidRDefault="00B5732B">
      <w:pPr>
        <w:pStyle w:val="af8"/>
        <w:numPr>
          <w:ilvl w:val="0"/>
          <w:numId w:val="37"/>
        </w:numPr>
      </w:pPr>
      <w:r>
        <w:rPr>
          <w:rFonts w:hint="eastAsia"/>
        </w:rPr>
        <w:t>路面已观察到塌陷迹象或已发生塌陷情况时；</w:t>
      </w:r>
    </w:p>
    <w:p w:rsidR="00274D4E" w:rsidRDefault="00B5732B">
      <w:pPr>
        <w:pStyle w:val="af8"/>
        <w:numPr>
          <w:ilvl w:val="0"/>
          <w:numId w:val="37"/>
        </w:numPr>
      </w:pPr>
      <w:r>
        <w:rPr>
          <w:rFonts w:hint="eastAsia"/>
        </w:rPr>
        <w:t>路面发生缓沉、沉降或严重变形时；</w:t>
      </w:r>
    </w:p>
    <w:p w:rsidR="00274D4E" w:rsidRDefault="00B5732B">
      <w:pPr>
        <w:pStyle w:val="af8"/>
        <w:numPr>
          <w:ilvl w:val="0"/>
          <w:numId w:val="37"/>
        </w:numPr>
      </w:pPr>
      <w:r>
        <w:rPr>
          <w:rFonts w:hint="eastAsia"/>
        </w:rPr>
        <w:t>涵洞、挡墙等其他道路基础设施运行异常情况时；</w:t>
      </w:r>
    </w:p>
    <w:p w:rsidR="00274D4E" w:rsidRDefault="00B5732B">
      <w:pPr>
        <w:pStyle w:val="af8"/>
        <w:numPr>
          <w:ilvl w:val="0"/>
          <w:numId w:val="37"/>
        </w:numPr>
      </w:pPr>
      <w:r>
        <w:rPr>
          <w:rFonts w:hint="eastAsia"/>
        </w:rPr>
        <w:t>道路或周边发生其他影响道路工程运维安全的情况时。</w:t>
      </w:r>
    </w:p>
    <w:p w:rsidR="00274D4E" w:rsidRDefault="00B5732B" w:rsidP="00754DE2">
      <w:pPr>
        <w:pStyle w:val="affe"/>
        <w:spacing w:before="156" w:after="156"/>
      </w:pPr>
      <w:bookmarkStart w:id="84" w:name="_Toc20503"/>
      <w:bookmarkStart w:id="85" w:name="_Toc4591"/>
      <w:bookmarkStart w:id="86" w:name="_Toc14667"/>
      <w:r>
        <w:rPr>
          <w:rFonts w:hint="eastAsia"/>
        </w:rPr>
        <w:lastRenderedPageBreak/>
        <w:t>工作流程</w:t>
      </w:r>
      <w:bookmarkEnd w:id="84"/>
      <w:bookmarkEnd w:id="85"/>
      <w:bookmarkEnd w:id="86"/>
    </w:p>
    <w:p w:rsidR="00274D4E" w:rsidRDefault="00B5732B" w:rsidP="00754DE2">
      <w:pPr>
        <w:pStyle w:val="afffff1"/>
        <w:ind w:firstLine="420"/>
      </w:pPr>
      <w:r>
        <w:rPr>
          <w:rFonts w:hint="eastAsia"/>
        </w:rPr>
        <w:t>城市道路探地雷达检测工作应根据检测任务和目的，按照以下流程进行：</w:t>
      </w:r>
    </w:p>
    <w:p w:rsidR="00274D4E" w:rsidRDefault="00B5732B" w:rsidP="00754DE2">
      <w:pPr>
        <w:pStyle w:val="afffff1"/>
        <w:ind w:firstLine="420"/>
      </w:pPr>
      <w:r>
        <w:rPr>
          <w:rFonts w:hint="eastAsia"/>
        </w:rPr>
        <w:t>a）道路结构层病害检测工作宜按照资料搜集、现场踏勘、方案设计、数据采集、数据处理和病害识别、复核与验证、成果编制与信息管理等流程开展工作；</w:t>
      </w:r>
    </w:p>
    <w:p w:rsidR="00274D4E" w:rsidRDefault="00B5732B" w:rsidP="00754DE2">
      <w:pPr>
        <w:pStyle w:val="afffff1"/>
        <w:ind w:firstLine="420"/>
      </w:pPr>
      <w:r>
        <w:rPr>
          <w:rFonts w:hint="eastAsia"/>
        </w:rPr>
        <w:t>b）路基土体坍塌病害检测工作宜按照资料搜集、现场踏勘、方案设计、数据采集、数据处理和病害识别、复核与验证、风险评估、成果编制与信息管理等流程开展工作；</w:t>
      </w:r>
    </w:p>
    <w:p w:rsidR="00274D4E" w:rsidRDefault="00B5732B" w:rsidP="00754DE2">
      <w:pPr>
        <w:pStyle w:val="afffff1"/>
        <w:ind w:firstLine="420"/>
      </w:pPr>
      <w:r>
        <w:rPr>
          <w:rFonts w:hint="eastAsia"/>
        </w:rPr>
        <w:t>c）当开展应急检测或检测工作规模较小时，可简化相关流程。</w:t>
      </w:r>
    </w:p>
    <w:p w:rsidR="00274D4E" w:rsidRDefault="00B5732B" w:rsidP="00754DE2">
      <w:pPr>
        <w:pStyle w:val="affe"/>
        <w:spacing w:before="156" w:after="156"/>
      </w:pPr>
      <w:bookmarkStart w:id="87" w:name="_Toc12283"/>
      <w:r>
        <w:rPr>
          <w:rFonts w:hint="eastAsia"/>
        </w:rPr>
        <w:t>现场数据采集</w:t>
      </w:r>
      <w:bookmarkEnd w:id="87"/>
    </w:p>
    <w:p w:rsidR="00274D4E" w:rsidRDefault="00B5732B" w:rsidP="00754DE2">
      <w:pPr>
        <w:pStyle w:val="afffff1"/>
        <w:ind w:firstLine="420"/>
      </w:pPr>
      <w:r>
        <w:rPr>
          <w:rFonts w:hint="eastAsia"/>
        </w:rPr>
        <w:t>依据道路结构层病害或路基土体坍塌病害检测不同项目委托要求，在前期工作准备基础上，根据检测方案开展现场数据采集；现场数据采集宜遵循测线布设、现场试验、参数设置、数据采集、测线定位测量、数据检查与评价的流程开展工作。</w:t>
      </w:r>
    </w:p>
    <w:p w:rsidR="00274D4E" w:rsidRDefault="00B5732B" w:rsidP="00754DE2">
      <w:pPr>
        <w:pStyle w:val="affe"/>
        <w:spacing w:before="156" w:after="156"/>
      </w:pPr>
      <w:r>
        <w:rPr>
          <w:rFonts w:hint="eastAsia"/>
        </w:rPr>
        <w:t>高风险病害体的响应</w:t>
      </w:r>
    </w:p>
    <w:p w:rsidR="00274D4E" w:rsidRDefault="00B5732B" w:rsidP="00754DE2">
      <w:pPr>
        <w:pStyle w:val="afffff1"/>
        <w:ind w:firstLine="420"/>
      </w:pPr>
      <w:r>
        <w:rPr>
          <w:rFonts w:hint="eastAsia"/>
        </w:rPr>
        <w:t>当现场检测出中发现危险性较大的坍塌病害体时，应及时通报相关单位。</w:t>
      </w:r>
    </w:p>
    <w:p w:rsidR="00274D4E" w:rsidRDefault="00B5732B" w:rsidP="00754DE2">
      <w:pPr>
        <w:pStyle w:val="affe"/>
        <w:spacing w:before="156" w:after="156"/>
      </w:pPr>
      <w:bookmarkStart w:id="88" w:name="_Toc27221"/>
      <w:r>
        <w:rPr>
          <w:rFonts w:hint="eastAsia"/>
        </w:rPr>
        <w:t>数据处理和解释</w:t>
      </w:r>
      <w:bookmarkEnd w:id="88"/>
    </w:p>
    <w:p w:rsidR="00274D4E" w:rsidRDefault="00B5732B" w:rsidP="00754DE2">
      <w:pPr>
        <w:pStyle w:val="afffff1"/>
        <w:ind w:firstLine="420"/>
      </w:pPr>
      <w:r>
        <w:rPr>
          <w:rFonts w:hint="eastAsia"/>
        </w:rPr>
        <w:t>对采集</w:t>
      </w:r>
      <w:r w:rsidR="00D07F02">
        <w:rPr>
          <w:rFonts w:hint="eastAsia"/>
        </w:rPr>
        <w:t>的探地雷达数据采用适宜的方法进行处理，并根据探地雷达图谱特征</w:t>
      </w:r>
      <w:r>
        <w:rPr>
          <w:rFonts w:hint="eastAsia"/>
        </w:rPr>
        <w:t>进行解释，识别病害。</w:t>
      </w:r>
    </w:p>
    <w:p w:rsidR="00274D4E" w:rsidRDefault="00B5732B" w:rsidP="00754DE2">
      <w:pPr>
        <w:pStyle w:val="affe"/>
        <w:spacing w:before="156" w:after="156"/>
      </w:pPr>
      <w:bookmarkStart w:id="89" w:name="_Toc6290"/>
      <w:r>
        <w:rPr>
          <w:rFonts w:hint="eastAsia"/>
        </w:rPr>
        <w:t>复核与验证</w:t>
      </w:r>
      <w:bookmarkEnd w:id="89"/>
    </w:p>
    <w:p w:rsidR="00274D4E" w:rsidRDefault="00B5732B" w:rsidP="00754DE2">
      <w:pPr>
        <w:pStyle w:val="afffff1"/>
        <w:ind w:firstLine="420"/>
      </w:pPr>
      <w:r>
        <w:rPr>
          <w:rFonts w:hint="eastAsia"/>
        </w:rPr>
        <w:t>通过探地雷达或其他物探方法对解释的疑似道路结构层病害或路基土体坍塌病害进行探测，进一步明确病害的位置、范围及类型等属性信息；然后采取钻探或挖探等方法辅以影像手段对疑似道路结构层病害或路基土体坍塌病害进行验证核实。</w:t>
      </w:r>
    </w:p>
    <w:p w:rsidR="00274D4E" w:rsidRDefault="00B5732B" w:rsidP="00754DE2">
      <w:pPr>
        <w:pStyle w:val="affe"/>
        <w:spacing w:before="156" w:after="156"/>
      </w:pPr>
      <w:bookmarkStart w:id="90" w:name="_Toc971"/>
      <w:bookmarkStart w:id="91" w:name="_Toc17065"/>
      <w:bookmarkStart w:id="92" w:name="_Toc20159"/>
      <w:r>
        <w:rPr>
          <w:rFonts w:hint="eastAsia"/>
        </w:rPr>
        <w:t>质量检查</w:t>
      </w:r>
      <w:bookmarkEnd w:id="68"/>
      <w:bookmarkEnd w:id="90"/>
      <w:bookmarkEnd w:id="91"/>
      <w:bookmarkEnd w:id="92"/>
    </w:p>
    <w:p w:rsidR="00274D4E" w:rsidRDefault="00B5732B" w:rsidP="00754DE2">
      <w:pPr>
        <w:pStyle w:val="afffff1"/>
        <w:ind w:firstLine="420"/>
      </w:pPr>
      <w:r>
        <w:rPr>
          <w:rFonts w:hint="eastAsia"/>
        </w:rPr>
        <w:t>工作实施过程中宜采取有效的质量管控措施，确保数据真实有效，必要时可开展第三方监理工作。</w:t>
      </w:r>
    </w:p>
    <w:p w:rsidR="00274D4E" w:rsidRDefault="00B5732B" w:rsidP="00754DE2">
      <w:pPr>
        <w:pStyle w:val="affe"/>
        <w:spacing w:before="156" w:after="156"/>
      </w:pPr>
      <w:bookmarkStart w:id="93" w:name="_Toc32748"/>
      <w:r>
        <w:rPr>
          <w:rFonts w:hint="eastAsia"/>
        </w:rPr>
        <w:t>风险评估及处置</w:t>
      </w:r>
      <w:bookmarkEnd w:id="93"/>
    </w:p>
    <w:p w:rsidR="00274D4E" w:rsidRDefault="00B5732B" w:rsidP="00754DE2">
      <w:pPr>
        <w:pStyle w:val="afffff1"/>
        <w:ind w:firstLine="420"/>
      </w:pPr>
      <w:r>
        <w:rPr>
          <w:rFonts w:hint="eastAsia"/>
        </w:rPr>
        <w:t>对检测的路基土体坍塌病害应进行风险评估，可分为单个路基土体坍塌病害评估和道路整体坍塌风险评估；可根据路基土体坍塌病害的类型、埋深、规模，地下结构完损状况，区域工程地质、水文地质条件，周边环境、施工干扰，道路荷载，气象特征等孕险环境与致险因子，评价其造成道路坍塌的风险可能性和风险后果，综合判定其风险等级及道路整体坍塌风险，并提出相应的风险处置建议。</w:t>
      </w:r>
    </w:p>
    <w:p w:rsidR="00274D4E" w:rsidRDefault="00B5732B" w:rsidP="00754DE2">
      <w:pPr>
        <w:pStyle w:val="affe"/>
        <w:spacing w:before="156" w:after="156"/>
      </w:pPr>
      <w:bookmarkStart w:id="94" w:name="_Toc18367"/>
      <w:bookmarkStart w:id="95" w:name="_Toc31457"/>
      <w:bookmarkStart w:id="96" w:name="_Toc32093"/>
      <w:r>
        <w:rPr>
          <w:rFonts w:hint="eastAsia"/>
        </w:rPr>
        <w:t>安全保护</w:t>
      </w:r>
      <w:bookmarkEnd w:id="94"/>
      <w:bookmarkEnd w:id="95"/>
      <w:bookmarkEnd w:id="96"/>
    </w:p>
    <w:p w:rsidR="00274D4E" w:rsidRDefault="00B5732B" w:rsidP="00754DE2">
      <w:pPr>
        <w:pStyle w:val="afffff1"/>
        <w:ind w:firstLine="420"/>
      </w:pPr>
      <w:r>
        <w:rPr>
          <w:rFonts w:hint="eastAsia"/>
        </w:rPr>
        <w:t>现场检测与验证作业过程中应采取安全管控措施，保护道路作业和交通安全。</w:t>
      </w:r>
    </w:p>
    <w:p w:rsidR="00274D4E" w:rsidRDefault="00B5732B" w:rsidP="00754DE2">
      <w:pPr>
        <w:pStyle w:val="affe"/>
        <w:spacing w:before="156" w:after="156"/>
      </w:pPr>
      <w:bookmarkStart w:id="97" w:name="_Toc6881"/>
      <w:bookmarkStart w:id="98" w:name="_Toc13156"/>
      <w:bookmarkStart w:id="99" w:name="_Toc21471"/>
      <w:r>
        <w:rPr>
          <w:rFonts w:hint="eastAsia"/>
        </w:rPr>
        <w:t>信息化</w:t>
      </w:r>
      <w:bookmarkEnd w:id="97"/>
      <w:bookmarkEnd w:id="98"/>
      <w:bookmarkEnd w:id="99"/>
    </w:p>
    <w:p w:rsidR="00274D4E" w:rsidRDefault="00B5732B" w:rsidP="00754DE2">
      <w:pPr>
        <w:pStyle w:val="afffff1"/>
        <w:ind w:firstLine="420"/>
      </w:pPr>
      <w:r>
        <w:rPr>
          <w:rFonts w:hint="eastAsia"/>
        </w:rPr>
        <w:t>宜对城市道路病害检测成果及相关资料进行信息化管理，开发相应软件并形成管理系统。</w:t>
      </w:r>
    </w:p>
    <w:p w:rsidR="00274D4E" w:rsidRDefault="00B5732B" w:rsidP="00754DE2">
      <w:pPr>
        <w:pStyle w:val="affe"/>
        <w:spacing w:before="156" w:after="156"/>
      </w:pPr>
      <w:bookmarkStart w:id="100" w:name="_Toc25940"/>
      <w:bookmarkStart w:id="101" w:name="_Toc28587"/>
      <w:bookmarkStart w:id="102" w:name="_Toc14471"/>
      <w:r>
        <w:rPr>
          <w:rFonts w:hint="eastAsia"/>
        </w:rPr>
        <w:t>新技术与新方法</w:t>
      </w:r>
      <w:bookmarkEnd w:id="100"/>
      <w:bookmarkEnd w:id="101"/>
      <w:bookmarkEnd w:id="102"/>
    </w:p>
    <w:p w:rsidR="00274D4E" w:rsidRDefault="00B5732B" w:rsidP="00754DE2">
      <w:pPr>
        <w:pStyle w:val="afffff1"/>
        <w:ind w:firstLine="420"/>
      </w:pPr>
      <w:r>
        <w:rPr>
          <w:rFonts w:hint="eastAsia"/>
        </w:rPr>
        <w:t>宜积极采用和推广经实践检验有效的新技术、新方法，采用的新技术、新方法应能满足检测目的和要求，且效果优于现行方法，并应向委托方提供检测细则和标准。</w:t>
      </w:r>
    </w:p>
    <w:p w:rsidR="00274D4E" w:rsidRDefault="00B5732B" w:rsidP="00754DE2">
      <w:pPr>
        <w:pStyle w:val="affd"/>
        <w:spacing w:before="312" w:after="312"/>
      </w:pPr>
      <w:bookmarkStart w:id="103" w:name="_Toc12129"/>
      <w:r>
        <w:rPr>
          <w:rFonts w:hAnsi="黑体" w:cs="黑体" w:hint="eastAsia"/>
        </w:rPr>
        <w:lastRenderedPageBreak/>
        <w:t>工作准备</w:t>
      </w:r>
      <w:bookmarkEnd w:id="103"/>
    </w:p>
    <w:p w:rsidR="00274D4E" w:rsidRDefault="00B5732B" w:rsidP="00754DE2">
      <w:pPr>
        <w:pStyle w:val="affe"/>
        <w:spacing w:before="156" w:after="156"/>
      </w:pPr>
      <w:bookmarkStart w:id="104" w:name="_Toc13879"/>
      <w:r>
        <w:rPr>
          <w:rFonts w:hint="eastAsia"/>
        </w:rPr>
        <w:t>一般要求</w:t>
      </w:r>
      <w:bookmarkEnd w:id="104"/>
    </w:p>
    <w:p w:rsidR="00274D4E" w:rsidRDefault="00B5732B" w:rsidP="00754DE2">
      <w:pPr>
        <w:pStyle w:val="afffff1"/>
        <w:ind w:firstLine="420"/>
      </w:pPr>
      <w:r>
        <w:rPr>
          <w:rFonts w:hint="eastAsia"/>
        </w:rPr>
        <w:t>城市道路探地雷达检测准备工作应包括人员组织、设备配置、资料收集、现场踏勘、检测方案编制等。</w:t>
      </w:r>
    </w:p>
    <w:p w:rsidR="00274D4E" w:rsidRDefault="00B5732B" w:rsidP="00754DE2">
      <w:pPr>
        <w:pStyle w:val="affe"/>
        <w:spacing w:before="156" w:after="156"/>
      </w:pPr>
      <w:bookmarkStart w:id="105" w:name="_Toc12033"/>
      <w:bookmarkStart w:id="106" w:name="_Toc3890"/>
      <w:r>
        <w:rPr>
          <w:rFonts w:hint="eastAsia"/>
        </w:rPr>
        <w:t>人员和组织</w:t>
      </w:r>
      <w:bookmarkEnd w:id="105"/>
      <w:bookmarkEnd w:id="106"/>
    </w:p>
    <w:p w:rsidR="00274D4E" w:rsidRDefault="00B5732B">
      <w:pPr>
        <w:pStyle w:val="aff9"/>
        <w:numPr>
          <w:ilvl w:val="0"/>
          <w:numId w:val="0"/>
        </w:numPr>
        <w:ind w:firstLineChars="200" w:firstLine="420"/>
        <w:rPr>
          <w:rFonts w:ascii="Times New Roman"/>
        </w:rPr>
      </w:pPr>
      <w:r>
        <w:rPr>
          <w:rFonts w:ascii="Times New Roman" w:hint="eastAsia"/>
        </w:rPr>
        <w:t>应根据项目特点和规模配备相关专业人员，建立项目人员组织机构，明确人员岗位和职责，对参与检测的工作人员开展技术、安全交底及培训。</w:t>
      </w:r>
    </w:p>
    <w:p w:rsidR="00274D4E" w:rsidRDefault="00B5732B" w:rsidP="00754DE2">
      <w:pPr>
        <w:pStyle w:val="affe"/>
        <w:spacing w:before="156" w:after="156"/>
      </w:pPr>
      <w:bookmarkStart w:id="107" w:name="_Toc9857"/>
      <w:r>
        <w:rPr>
          <w:rFonts w:hint="eastAsia"/>
        </w:rPr>
        <w:t>设备配置</w:t>
      </w:r>
      <w:bookmarkEnd w:id="107"/>
    </w:p>
    <w:p w:rsidR="00274D4E" w:rsidRDefault="00B5732B">
      <w:pPr>
        <w:pStyle w:val="aff9"/>
        <w:numPr>
          <w:ilvl w:val="0"/>
          <w:numId w:val="0"/>
        </w:numPr>
        <w:ind w:firstLineChars="200" w:firstLine="420"/>
        <w:rPr>
          <w:rFonts w:ascii="Times New Roman"/>
        </w:rPr>
      </w:pPr>
      <w:r>
        <w:rPr>
          <w:rFonts w:ascii="Times New Roman" w:hint="eastAsia"/>
        </w:rPr>
        <w:t>根据检测目的、项目规模和技术要求配置检测设备和安全生产设施，对拟投入设备进行检查保养，确保设备的工作状态正常；对需要检定或校准的设备，应确保设备在检定或校准有效期内；对需要</w:t>
      </w:r>
      <w:r>
        <w:t>距离标定</w:t>
      </w:r>
      <w:r>
        <w:rPr>
          <w:rFonts w:hint="eastAsia"/>
        </w:rPr>
        <w:t>的探地</w:t>
      </w:r>
      <w:r>
        <w:t>雷达</w:t>
      </w:r>
      <w:r>
        <w:rPr>
          <w:rFonts w:hint="eastAsia"/>
        </w:rPr>
        <w:t>设备，应在使用前进行标定</w:t>
      </w:r>
      <w:r>
        <w:rPr>
          <w:rFonts w:ascii="Times New Roman" w:hint="eastAsia"/>
        </w:rPr>
        <w:t>。</w:t>
      </w:r>
    </w:p>
    <w:p w:rsidR="00274D4E" w:rsidRDefault="00B5732B" w:rsidP="00754DE2">
      <w:pPr>
        <w:pStyle w:val="affe"/>
        <w:spacing w:before="156" w:after="156"/>
      </w:pPr>
      <w:bookmarkStart w:id="108" w:name="_Toc31173"/>
      <w:r>
        <w:rPr>
          <w:rFonts w:hint="eastAsia"/>
        </w:rPr>
        <w:t>设备要求</w:t>
      </w:r>
      <w:bookmarkEnd w:id="108"/>
    </w:p>
    <w:p w:rsidR="00274D4E" w:rsidRDefault="00B5732B" w:rsidP="00754DE2">
      <w:pPr>
        <w:pStyle w:val="afff"/>
        <w:spacing w:before="156" w:after="156"/>
      </w:pPr>
      <w:bookmarkStart w:id="109" w:name="_Toc29840"/>
      <w:r>
        <w:rPr>
          <w:rFonts w:hint="eastAsia"/>
        </w:rPr>
        <w:t>一般要求</w:t>
      </w:r>
      <w:bookmarkEnd w:id="109"/>
    </w:p>
    <w:p w:rsidR="00274D4E" w:rsidRDefault="00B5732B" w:rsidP="00754DE2">
      <w:pPr>
        <w:pStyle w:val="afffff1"/>
        <w:ind w:firstLine="420"/>
      </w:pPr>
      <w:r>
        <w:rPr>
          <w:rFonts w:hint="eastAsia"/>
        </w:rPr>
        <w:t>城市道路探地雷达检测中使用的</w:t>
      </w:r>
      <w:r>
        <w:t>探地雷达设备</w:t>
      </w:r>
      <w:r>
        <w:rPr>
          <w:rFonts w:hint="eastAsia"/>
        </w:rPr>
        <w:t>应满足以下要求：</w:t>
      </w:r>
    </w:p>
    <w:p w:rsidR="00274D4E" w:rsidRDefault="00B5732B">
      <w:pPr>
        <w:pStyle w:val="af8"/>
        <w:numPr>
          <w:ilvl w:val="0"/>
          <w:numId w:val="38"/>
        </w:numPr>
      </w:pPr>
      <w:r>
        <w:rPr>
          <w:rFonts w:hint="eastAsia"/>
        </w:rPr>
        <w:t>仪器</w:t>
      </w:r>
      <w:r>
        <w:t>设备及其配件</w:t>
      </w:r>
      <w:r>
        <w:rPr>
          <w:rFonts w:hint="eastAsia"/>
        </w:rPr>
        <w:t>应性能稳定、防潮、防尘、抗震和绝缘性能良好；</w:t>
      </w:r>
    </w:p>
    <w:p w:rsidR="00274D4E" w:rsidRDefault="00B5732B">
      <w:pPr>
        <w:pStyle w:val="af8"/>
        <w:numPr>
          <w:ilvl w:val="0"/>
          <w:numId w:val="38"/>
        </w:numPr>
      </w:pPr>
      <w:r>
        <w:rPr>
          <w:rFonts w:ascii="Times New Roman" w:hint="eastAsia"/>
          <w:bCs/>
          <w:color w:val="000000"/>
        </w:rPr>
        <w:t>仪器设备性能应符合</w:t>
      </w:r>
      <w:r>
        <w:rPr>
          <w:rStyle w:val="NormalCharacter"/>
          <w:rFonts w:hAnsi="宋体" w:cs="宋体" w:hint="eastAsia"/>
          <w:color w:val="000000"/>
        </w:rPr>
        <w:t>JGJ/T 437</w:t>
      </w:r>
      <w:r>
        <w:rPr>
          <w:rFonts w:hAnsi="宋体" w:cs="宋体" w:hint="eastAsia"/>
          <w:color w:val="000000"/>
        </w:rPr>
        <w:t>的相关规定。</w:t>
      </w:r>
    </w:p>
    <w:p w:rsidR="00274D4E" w:rsidRDefault="00B5732B" w:rsidP="00754DE2">
      <w:pPr>
        <w:pStyle w:val="afff"/>
        <w:spacing w:before="156" w:after="156"/>
      </w:pPr>
      <w:bookmarkStart w:id="110" w:name="_Toc9684"/>
      <w:bookmarkStart w:id="111" w:name="_Toc9730"/>
      <w:r>
        <w:rPr>
          <w:rFonts w:hint="eastAsia"/>
        </w:rPr>
        <w:t>道路结构层病害检测设备</w:t>
      </w:r>
      <w:bookmarkEnd w:id="110"/>
      <w:bookmarkEnd w:id="111"/>
    </w:p>
    <w:p w:rsidR="00274D4E" w:rsidRDefault="00B5732B">
      <w:pPr>
        <w:pStyle w:val="affffffffc"/>
      </w:pPr>
      <w:r>
        <w:t>按信号调制方式可采用时域脉冲式或频率步进式。时域脉冲式探地雷达中心频率宜为800</w:t>
      </w:r>
      <w:r>
        <w:rPr>
          <w:rFonts w:hint="eastAsia"/>
        </w:rPr>
        <w:t xml:space="preserve"> </w:t>
      </w:r>
      <w:r>
        <w:t>MHz</w:t>
      </w:r>
      <w:r>
        <w:rPr>
          <w:rFonts w:ascii="Times New Roman"/>
        </w:rPr>
        <w:t>~</w:t>
      </w:r>
      <w:r>
        <w:t>1200</w:t>
      </w:r>
      <w:r>
        <w:rPr>
          <w:rFonts w:hint="eastAsia"/>
        </w:rPr>
        <w:t xml:space="preserve"> </w:t>
      </w:r>
      <w:r>
        <w:t>MHz；频率步进式探地雷达带宽范围宜为</w:t>
      </w:r>
      <w:r>
        <w:rPr>
          <w:rFonts w:hint="eastAsia"/>
        </w:rPr>
        <w:t xml:space="preserve">800 </w:t>
      </w:r>
      <w:r>
        <w:t>MHz</w:t>
      </w:r>
      <w:r>
        <w:rPr>
          <w:rFonts w:ascii="Times New Roman"/>
        </w:rPr>
        <w:t>~</w:t>
      </w:r>
      <w:r>
        <w:rPr>
          <w:rFonts w:hint="eastAsia"/>
        </w:rPr>
        <w:t xml:space="preserve">3000 </w:t>
      </w:r>
      <w:r>
        <w:t>MHz。</w:t>
      </w:r>
    </w:p>
    <w:p w:rsidR="00274D4E" w:rsidRDefault="00B5732B">
      <w:pPr>
        <w:pStyle w:val="affffffffc"/>
      </w:pPr>
      <w:r>
        <w:rPr>
          <w:rFonts w:hint="eastAsia"/>
        </w:rPr>
        <w:t>道路结构层病害</w:t>
      </w:r>
      <w:r>
        <w:t>检测</w:t>
      </w:r>
      <w:r>
        <w:rPr>
          <w:rFonts w:hint="eastAsia"/>
        </w:rPr>
        <w:t>时优先选择三维探地雷达设备，检测深度应不小于60 cm。</w:t>
      </w:r>
    </w:p>
    <w:p w:rsidR="00274D4E" w:rsidRDefault="00B5732B">
      <w:pPr>
        <w:pStyle w:val="affffffffc"/>
      </w:pPr>
      <w:r>
        <w:rPr>
          <w:rFonts w:hAnsi="宋体" w:cs="宋体"/>
          <w:snapToGrid w:val="0"/>
          <w:szCs w:val="21"/>
        </w:rPr>
        <w:t>三维探地雷达系统技术指标应符合</w:t>
      </w:r>
      <w:r>
        <w:rPr>
          <w:rFonts w:hAnsi="宋体" w:cs="宋体" w:hint="eastAsia"/>
          <w:snapToGrid w:val="0"/>
          <w:szCs w:val="21"/>
        </w:rPr>
        <w:t>以下要求：</w:t>
      </w:r>
    </w:p>
    <w:p w:rsidR="00274D4E" w:rsidRDefault="00B5732B">
      <w:pPr>
        <w:pStyle w:val="af8"/>
        <w:numPr>
          <w:ilvl w:val="0"/>
          <w:numId w:val="39"/>
        </w:numPr>
      </w:pPr>
      <w:r>
        <w:rPr>
          <w:rFonts w:hint="eastAsia"/>
        </w:rPr>
        <w:t>探地雷达通道数不少于14个；</w:t>
      </w:r>
    </w:p>
    <w:p w:rsidR="00274D4E" w:rsidRDefault="00B5732B">
      <w:pPr>
        <w:pStyle w:val="af8"/>
        <w:numPr>
          <w:ilvl w:val="0"/>
          <w:numId w:val="39"/>
        </w:numPr>
      </w:pPr>
      <w:r>
        <w:rPr>
          <w:rFonts w:hint="eastAsia"/>
        </w:rPr>
        <w:t>每道最大采样点数大于256；</w:t>
      </w:r>
    </w:p>
    <w:p w:rsidR="00274D4E" w:rsidRDefault="00B5732B">
      <w:pPr>
        <w:pStyle w:val="af8"/>
        <w:numPr>
          <w:ilvl w:val="0"/>
          <w:numId w:val="39"/>
        </w:numPr>
      </w:pPr>
      <w:r>
        <w:rPr>
          <w:rFonts w:hint="eastAsia"/>
        </w:rPr>
        <w:t>检测速度应不大于80 km/h；</w:t>
      </w:r>
    </w:p>
    <w:p w:rsidR="00274D4E" w:rsidRDefault="00B5732B">
      <w:pPr>
        <w:pStyle w:val="af8"/>
        <w:numPr>
          <w:ilvl w:val="0"/>
          <w:numId w:val="39"/>
        </w:numPr>
      </w:pPr>
      <w:r>
        <w:rPr>
          <w:rFonts w:hint="eastAsia"/>
        </w:rPr>
        <w:t>行进方向采样间隔不大于5 cm；</w:t>
      </w:r>
    </w:p>
    <w:p w:rsidR="00274D4E" w:rsidRDefault="00B5732B">
      <w:pPr>
        <w:pStyle w:val="af8"/>
        <w:numPr>
          <w:ilvl w:val="0"/>
          <w:numId w:val="39"/>
        </w:numPr>
      </w:pPr>
      <w:r>
        <w:rPr>
          <w:rFonts w:hint="eastAsia"/>
        </w:rPr>
        <w:t>有效检测宽度不小于1.5 m；有效检测深度不小于60 cm。</w:t>
      </w:r>
    </w:p>
    <w:p w:rsidR="00274D4E" w:rsidRDefault="00B5732B" w:rsidP="00754DE2">
      <w:pPr>
        <w:pStyle w:val="afff"/>
        <w:spacing w:before="156" w:after="156"/>
      </w:pPr>
      <w:bookmarkStart w:id="112" w:name="_Toc5502"/>
      <w:bookmarkStart w:id="113" w:name="_Toc28362"/>
      <w:r>
        <w:rPr>
          <w:rFonts w:hint="eastAsia"/>
        </w:rPr>
        <w:t>路基土体坍塌病害检测设备</w:t>
      </w:r>
      <w:bookmarkEnd w:id="112"/>
      <w:bookmarkEnd w:id="113"/>
    </w:p>
    <w:p w:rsidR="00274D4E" w:rsidRDefault="00B5732B">
      <w:pPr>
        <w:pStyle w:val="affffffffc"/>
      </w:pPr>
      <w:r>
        <w:rPr>
          <w:rFonts w:hint="eastAsia"/>
        </w:rPr>
        <w:t>应根据现场环境条件和工作目的，合理选择二维或三维探地雷达设备，必要时应结合二维和三维探地雷达进行综合检测。</w:t>
      </w:r>
    </w:p>
    <w:p w:rsidR="00274D4E" w:rsidRDefault="00B5732B">
      <w:pPr>
        <w:pStyle w:val="affffffffc"/>
        <w:rPr>
          <w:rFonts w:ascii="Times New Roman"/>
        </w:rPr>
      </w:pPr>
      <w:r>
        <w:rPr>
          <w:rFonts w:ascii="Times New Roman" w:hint="eastAsia"/>
        </w:rPr>
        <w:t>二维探地</w:t>
      </w:r>
      <w:r>
        <w:rPr>
          <w:rFonts w:hAnsi="宋体" w:cs="宋体" w:hint="eastAsia"/>
        </w:rPr>
        <w:t>雷达设备除满足第5.4.1条的规定外，</w:t>
      </w:r>
      <w:r>
        <w:t>并</w:t>
      </w:r>
      <w:r>
        <w:rPr>
          <w:rFonts w:hAnsi="宋体" w:cs="宋体" w:hint="eastAsia"/>
        </w:rPr>
        <w:t>满足下列要求：</w:t>
      </w:r>
    </w:p>
    <w:p w:rsidR="00274D4E" w:rsidRDefault="00B5732B">
      <w:pPr>
        <w:pStyle w:val="af8"/>
        <w:numPr>
          <w:ilvl w:val="0"/>
          <w:numId w:val="40"/>
        </w:numPr>
      </w:pPr>
      <w:r>
        <w:rPr>
          <w:rFonts w:hint="eastAsia"/>
        </w:rPr>
        <w:t>天线主频宜选用70 MHz～500 MHz；</w:t>
      </w:r>
    </w:p>
    <w:p w:rsidR="00274D4E" w:rsidRDefault="00B5732B">
      <w:pPr>
        <w:pStyle w:val="af8"/>
        <w:numPr>
          <w:ilvl w:val="0"/>
          <w:numId w:val="40"/>
        </w:numPr>
      </w:pPr>
      <w:r>
        <w:rPr>
          <w:rFonts w:hint="eastAsia"/>
        </w:rPr>
        <w:t>若使用多通道数据采集仪器，各通道应一致性良好；</w:t>
      </w:r>
    </w:p>
    <w:p w:rsidR="00274D4E" w:rsidRDefault="00B5732B">
      <w:pPr>
        <w:pStyle w:val="af8"/>
        <w:numPr>
          <w:ilvl w:val="0"/>
          <w:numId w:val="40"/>
        </w:numPr>
      </w:pPr>
      <w:r>
        <w:rPr>
          <w:rFonts w:hint="eastAsia"/>
        </w:rPr>
        <w:t>具备现场实时显示、数据回放、信号叠加、增益控制、实时滤波、位置标记等功能；</w:t>
      </w:r>
    </w:p>
    <w:p w:rsidR="00274D4E" w:rsidRDefault="00B5732B">
      <w:pPr>
        <w:pStyle w:val="af8"/>
        <w:numPr>
          <w:ilvl w:val="0"/>
          <w:numId w:val="40"/>
        </w:numPr>
      </w:pPr>
      <w:r>
        <w:rPr>
          <w:rFonts w:hAnsi="宋体" w:cs="宋体" w:hint="eastAsia"/>
        </w:rPr>
        <w:t>数据处理软件具备处理1 GB数据量以上的能力。</w:t>
      </w:r>
    </w:p>
    <w:p w:rsidR="00274D4E" w:rsidRDefault="00B5732B">
      <w:pPr>
        <w:pStyle w:val="afffffffffff6"/>
        <w:ind w:firstLineChars="0" w:firstLine="0"/>
        <w:rPr>
          <w:rFonts w:hAnsi="宋体" w:cs="宋体"/>
        </w:rPr>
      </w:pPr>
      <w:r>
        <w:rPr>
          <w:rFonts w:ascii="黑体" w:eastAsia="黑体" w:hAnsi="黑体" w:cs="黑体" w:hint="eastAsia"/>
          <w:color w:val="000000"/>
        </w:rPr>
        <w:t xml:space="preserve">5.2.3　</w:t>
      </w:r>
      <w:r>
        <w:rPr>
          <w:rFonts w:hAnsi="宋体" w:cs="宋体" w:hint="eastAsia"/>
        </w:rPr>
        <w:t>三维探地雷达设备除应满足第5.4.1条的规定外，</w:t>
      </w:r>
      <w:r>
        <w:t>并</w:t>
      </w:r>
      <w:r>
        <w:rPr>
          <w:rFonts w:hAnsi="宋体" w:cs="宋体" w:hint="eastAsia"/>
        </w:rPr>
        <w:t>满足下列要求：</w:t>
      </w:r>
    </w:p>
    <w:p w:rsidR="00274D4E" w:rsidRDefault="00B5732B">
      <w:pPr>
        <w:pStyle w:val="af8"/>
        <w:numPr>
          <w:ilvl w:val="0"/>
          <w:numId w:val="41"/>
        </w:numPr>
      </w:pPr>
      <w:r>
        <w:rPr>
          <w:rFonts w:hint="eastAsia"/>
        </w:rPr>
        <w:t>天线主频宜选用170MHz～900MHz；</w:t>
      </w:r>
    </w:p>
    <w:p w:rsidR="00274D4E" w:rsidRDefault="00B5732B">
      <w:pPr>
        <w:pStyle w:val="af8"/>
        <w:numPr>
          <w:ilvl w:val="0"/>
          <w:numId w:val="41"/>
        </w:numPr>
      </w:pPr>
      <w:r>
        <w:rPr>
          <w:rFonts w:hint="eastAsia"/>
        </w:rPr>
        <w:lastRenderedPageBreak/>
        <w:t>单一频率天线的通道数不少于8个，双频或多频天线的通道数不少于15个；</w:t>
      </w:r>
    </w:p>
    <w:p w:rsidR="00274D4E" w:rsidRDefault="00B5732B">
      <w:pPr>
        <w:pStyle w:val="af8"/>
        <w:numPr>
          <w:ilvl w:val="0"/>
          <w:numId w:val="41"/>
        </w:numPr>
      </w:pPr>
      <w:r>
        <w:rPr>
          <w:rFonts w:hint="eastAsia"/>
        </w:rPr>
        <w:t>各通道一致性良好；</w:t>
      </w:r>
    </w:p>
    <w:p w:rsidR="00274D4E" w:rsidRDefault="00B5732B">
      <w:pPr>
        <w:pStyle w:val="af8"/>
        <w:numPr>
          <w:ilvl w:val="0"/>
          <w:numId w:val="41"/>
        </w:numPr>
      </w:pPr>
      <w:r>
        <w:rPr>
          <w:rFonts w:hint="eastAsia"/>
        </w:rPr>
        <w:t>具备探地雷达数据、测线定位数据实时同步采集功能，探地雷达数据、测量定位数据之间能够同步显示时间或空间对应关系；</w:t>
      </w:r>
    </w:p>
    <w:p w:rsidR="00274D4E" w:rsidRDefault="00B5732B">
      <w:pPr>
        <w:pStyle w:val="af8"/>
        <w:numPr>
          <w:ilvl w:val="0"/>
          <w:numId w:val="41"/>
        </w:numPr>
      </w:pPr>
      <w:r>
        <w:rPr>
          <w:rFonts w:hint="eastAsia"/>
        </w:rPr>
        <w:t>宜具备实时控制或监视雷达采集数据、定位测量数据、环境影像数据的功能；</w:t>
      </w:r>
    </w:p>
    <w:p w:rsidR="00274D4E" w:rsidRDefault="00B5732B">
      <w:pPr>
        <w:pStyle w:val="af8"/>
        <w:numPr>
          <w:ilvl w:val="0"/>
          <w:numId w:val="41"/>
        </w:numPr>
      </w:pPr>
      <w:r>
        <w:rPr>
          <w:rFonts w:hint="eastAsia"/>
        </w:rPr>
        <w:t>数据采集软件中宜设置与测量设备相适应的通讯方式和参数；</w:t>
      </w:r>
    </w:p>
    <w:p w:rsidR="00274D4E" w:rsidRDefault="00B5732B">
      <w:pPr>
        <w:pStyle w:val="af8"/>
        <w:numPr>
          <w:ilvl w:val="0"/>
          <w:numId w:val="41"/>
        </w:numPr>
      </w:pPr>
      <w:r>
        <w:rPr>
          <w:rFonts w:hint="eastAsia"/>
        </w:rPr>
        <w:t>数据处理软件宜具备处理1 GB数据量以上的能力，同时具备综合可视化显示，三维切片和立体显示等功能。</w:t>
      </w:r>
    </w:p>
    <w:p w:rsidR="00274D4E" w:rsidRDefault="00B5732B" w:rsidP="00754DE2">
      <w:pPr>
        <w:pStyle w:val="affe"/>
        <w:spacing w:before="156" w:after="156"/>
      </w:pPr>
      <w:bookmarkStart w:id="114" w:name="_Toc30866"/>
      <w:bookmarkStart w:id="115" w:name="_Toc21756"/>
      <w:bookmarkStart w:id="116" w:name="_Toc1301"/>
      <w:r>
        <w:rPr>
          <w:rFonts w:hint="eastAsia"/>
        </w:rPr>
        <w:t>资料收集</w:t>
      </w:r>
      <w:bookmarkEnd w:id="114"/>
      <w:bookmarkEnd w:id="115"/>
      <w:bookmarkEnd w:id="116"/>
    </w:p>
    <w:p w:rsidR="00274D4E" w:rsidRDefault="00B5732B">
      <w:pPr>
        <w:pStyle w:val="affffffffd"/>
      </w:pPr>
      <w:r>
        <w:rPr>
          <w:rFonts w:hint="eastAsia"/>
        </w:rPr>
        <w:t>道路结构层病害检测时，应搜集项目道路结构层材料类型、厚度，养护资料，路面技术状况，其他道路设施等信息。</w:t>
      </w:r>
    </w:p>
    <w:p w:rsidR="00274D4E" w:rsidRDefault="00B5732B">
      <w:pPr>
        <w:pStyle w:val="affffffffd"/>
      </w:pPr>
      <w:r>
        <w:rPr>
          <w:rFonts w:hint="eastAsia"/>
        </w:rPr>
        <w:t>路基土体坍塌病害检测时，应搜集工程地质和水文地质条件，地下构筑物、暗渠化河道等分布情况，历史检测成果，历次坍塌事件，道路、地下管线养护及维修资料，地下工程建设施工情况等资料。</w:t>
      </w:r>
    </w:p>
    <w:p w:rsidR="00274D4E" w:rsidRDefault="00B5732B" w:rsidP="00754DE2">
      <w:pPr>
        <w:pStyle w:val="affe"/>
        <w:spacing w:before="156" w:after="156"/>
      </w:pPr>
      <w:bookmarkStart w:id="117" w:name="_Toc9428"/>
      <w:bookmarkStart w:id="118" w:name="_Toc31853"/>
      <w:bookmarkStart w:id="119" w:name="_Toc19303"/>
      <w:r>
        <w:rPr>
          <w:rFonts w:hint="eastAsia"/>
        </w:rPr>
        <w:t>现场踏勘</w:t>
      </w:r>
      <w:bookmarkEnd w:id="117"/>
      <w:bookmarkEnd w:id="118"/>
      <w:bookmarkEnd w:id="119"/>
    </w:p>
    <w:p w:rsidR="00274D4E" w:rsidRDefault="00B5732B" w:rsidP="00754DE2">
      <w:pPr>
        <w:pStyle w:val="afffff1"/>
        <w:ind w:firstLine="420"/>
      </w:pPr>
      <w:r>
        <w:rPr>
          <w:rFonts w:hint="eastAsia"/>
        </w:rPr>
        <w:t>现场踏勘应包括下列内容：</w:t>
      </w:r>
    </w:p>
    <w:p w:rsidR="00274D4E" w:rsidRDefault="00B5732B">
      <w:pPr>
        <w:pStyle w:val="af8"/>
        <w:numPr>
          <w:ilvl w:val="0"/>
          <w:numId w:val="42"/>
        </w:numPr>
      </w:pPr>
      <w:r>
        <w:rPr>
          <w:rFonts w:hint="eastAsia"/>
        </w:rPr>
        <w:t>核查检测区域所在位置；</w:t>
      </w:r>
    </w:p>
    <w:p w:rsidR="00274D4E" w:rsidRDefault="00B5732B">
      <w:pPr>
        <w:pStyle w:val="af8"/>
        <w:numPr>
          <w:ilvl w:val="0"/>
          <w:numId w:val="42"/>
        </w:numPr>
      </w:pPr>
      <w:r>
        <w:rPr>
          <w:rFonts w:hint="eastAsia"/>
        </w:rPr>
        <w:t>调查区域</w:t>
      </w:r>
      <w:r>
        <w:t>内检测实施</w:t>
      </w:r>
      <w:r>
        <w:rPr>
          <w:rFonts w:hint="eastAsia"/>
        </w:rPr>
        <w:t>条件；</w:t>
      </w:r>
    </w:p>
    <w:p w:rsidR="00274D4E" w:rsidRDefault="00B5732B">
      <w:pPr>
        <w:pStyle w:val="af8"/>
        <w:numPr>
          <w:ilvl w:val="0"/>
          <w:numId w:val="42"/>
        </w:numPr>
      </w:pPr>
      <w:r>
        <w:rPr>
          <w:rFonts w:hint="eastAsia"/>
        </w:rPr>
        <w:t>调查可能影响检测工作的因素和干扰源。</w:t>
      </w:r>
    </w:p>
    <w:p w:rsidR="00274D4E" w:rsidRDefault="00B5732B">
      <w:pPr>
        <w:pStyle w:val="af8"/>
        <w:numPr>
          <w:ilvl w:val="0"/>
          <w:numId w:val="0"/>
        </w:numPr>
        <w:ind w:firstLineChars="200" w:firstLine="420"/>
      </w:pPr>
      <w:r>
        <w:rPr>
          <w:rFonts w:hint="eastAsia"/>
        </w:rPr>
        <w:t>当进行路基土体坍塌病害检测时，还需包括以下内容：</w:t>
      </w:r>
    </w:p>
    <w:p w:rsidR="00274D4E" w:rsidRDefault="00B5732B">
      <w:pPr>
        <w:pStyle w:val="af8"/>
        <w:numPr>
          <w:ilvl w:val="0"/>
          <w:numId w:val="43"/>
        </w:numPr>
      </w:pPr>
      <w:r>
        <w:rPr>
          <w:rFonts w:hint="eastAsia"/>
        </w:rPr>
        <w:t>调查检测区域内的管线数量、类型和走向；</w:t>
      </w:r>
    </w:p>
    <w:p w:rsidR="00274D4E" w:rsidRDefault="00B5732B">
      <w:pPr>
        <w:pStyle w:val="af8"/>
        <w:numPr>
          <w:ilvl w:val="0"/>
          <w:numId w:val="43"/>
        </w:numPr>
      </w:pPr>
      <w:r>
        <w:rPr>
          <w:rFonts w:hint="eastAsia"/>
        </w:rPr>
        <w:t>调查检测区域地面修补、沉陷及变形情况；</w:t>
      </w:r>
    </w:p>
    <w:p w:rsidR="00274D4E" w:rsidRDefault="00B5732B">
      <w:pPr>
        <w:pStyle w:val="af8"/>
        <w:numPr>
          <w:ilvl w:val="0"/>
          <w:numId w:val="43"/>
        </w:numPr>
      </w:pPr>
      <w:r>
        <w:rPr>
          <w:rFonts w:hint="eastAsia"/>
        </w:rPr>
        <w:t>核实已收集资料的现势性及可利用程度。</w:t>
      </w:r>
    </w:p>
    <w:p w:rsidR="00274D4E" w:rsidRDefault="00B5732B" w:rsidP="00754DE2">
      <w:pPr>
        <w:pStyle w:val="affe"/>
        <w:spacing w:before="156" w:after="156"/>
      </w:pPr>
      <w:bookmarkStart w:id="120" w:name="_Toc29556"/>
      <w:bookmarkStart w:id="121" w:name="_Toc24502"/>
      <w:bookmarkStart w:id="122" w:name="_Toc10435"/>
      <w:r>
        <w:rPr>
          <w:rFonts w:hint="eastAsia"/>
        </w:rPr>
        <w:t>方案编制</w:t>
      </w:r>
      <w:bookmarkEnd w:id="120"/>
      <w:bookmarkEnd w:id="121"/>
      <w:bookmarkEnd w:id="122"/>
    </w:p>
    <w:p w:rsidR="00274D4E" w:rsidRDefault="00B5732B">
      <w:pPr>
        <w:pStyle w:val="affffffffd"/>
      </w:pPr>
      <w:r>
        <w:rPr>
          <w:rFonts w:hint="eastAsia"/>
        </w:rPr>
        <w:t>检测工作方案应在资料收集和现场踏勘基础上编制，应包括下列内容：</w:t>
      </w:r>
    </w:p>
    <w:p w:rsidR="00274D4E" w:rsidRDefault="00B5732B">
      <w:pPr>
        <w:pStyle w:val="af8"/>
        <w:numPr>
          <w:ilvl w:val="0"/>
          <w:numId w:val="44"/>
        </w:numPr>
      </w:pPr>
      <w:r>
        <w:t>项目概况；</w:t>
      </w:r>
    </w:p>
    <w:p w:rsidR="00274D4E" w:rsidRDefault="00B5732B">
      <w:pPr>
        <w:pStyle w:val="af8"/>
        <w:numPr>
          <w:ilvl w:val="0"/>
          <w:numId w:val="44"/>
        </w:numPr>
      </w:pPr>
      <w:r>
        <w:rPr>
          <w:rFonts w:hint="eastAsia"/>
        </w:rPr>
        <w:t>检测目的和范围；</w:t>
      </w:r>
    </w:p>
    <w:p w:rsidR="00274D4E" w:rsidRDefault="00B5732B">
      <w:pPr>
        <w:pStyle w:val="af8"/>
        <w:numPr>
          <w:ilvl w:val="0"/>
          <w:numId w:val="44"/>
        </w:numPr>
      </w:pPr>
      <w:r>
        <w:t>编制依据；</w:t>
      </w:r>
    </w:p>
    <w:p w:rsidR="00274D4E" w:rsidRDefault="00B5732B">
      <w:pPr>
        <w:pStyle w:val="af8"/>
        <w:numPr>
          <w:ilvl w:val="0"/>
          <w:numId w:val="44"/>
        </w:numPr>
      </w:pPr>
      <w:r>
        <w:t>工程环境及重难点分析；</w:t>
      </w:r>
    </w:p>
    <w:p w:rsidR="00274D4E" w:rsidRDefault="00B5732B">
      <w:pPr>
        <w:pStyle w:val="af8"/>
        <w:numPr>
          <w:ilvl w:val="0"/>
          <w:numId w:val="44"/>
        </w:numPr>
      </w:pPr>
      <w:r>
        <w:t>工作流程和技术路线；</w:t>
      </w:r>
    </w:p>
    <w:p w:rsidR="00274D4E" w:rsidRDefault="00B5732B">
      <w:pPr>
        <w:pStyle w:val="af8"/>
        <w:numPr>
          <w:ilvl w:val="0"/>
          <w:numId w:val="44"/>
        </w:numPr>
      </w:pPr>
      <w:r>
        <w:t>技术方法和措施；</w:t>
      </w:r>
    </w:p>
    <w:p w:rsidR="00274D4E" w:rsidRDefault="00B5732B">
      <w:pPr>
        <w:pStyle w:val="af8"/>
        <w:numPr>
          <w:ilvl w:val="0"/>
          <w:numId w:val="44"/>
        </w:numPr>
      </w:pPr>
      <w:r>
        <w:t>组织机构；</w:t>
      </w:r>
    </w:p>
    <w:p w:rsidR="00274D4E" w:rsidRDefault="00B5732B">
      <w:pPr>
        <w:pStyle w:val="af8"/>
        <w:numPr>
          <w:ilvl w:val="0"/>
          <w:numId w:val="44"/>
        </w:numPr>
      </w:pPr>
      <w:r>
        <w:rPr>
          <w:rFonts w:hint="eastAsia"/>
        </w:rPr>
        <w:t>检测计划；</w:t>
      </w:r>
    </w:p>
    <w:p w:rsidR="00274D4E" w:rsidRDefault="00B5732B">
      <w:pPr>
        <w:pStyle w:val="af8"/>
        <w:numPr>
          <w:ilvl w:val="0"/>
          <w:numId w:val="44"/>
        </w:numPr>
      </w:pPr>
      <w:r>
        <w:rPr>
          <w:rFonts w:hint="eastAsia"/>
        </w:rPr>
        <w:t>设备配置；</w:t>
      </w:r>
    </w:p>
    <w:p w:rsidR="00274D4E" w:rsidRDefault="00B5732B">
      <w:pPr>
        <w:pStyle w:val="af8"/>
        <w:numPr>
          <w:ilvl w:val="0"/>
          <w:numId w:val="44"/>
        </w:numPr>
      </w:pPr>
      <w:r>
        <w:t>项目实施</w:t>
      </w:r>
      <w:r>
        <w:rPr>
          <w:rFonts w:hint="eastAsia"/>
        </w:rPr>
        <w:t>质量控制</w:t>
      </w:r>
      <w:r>
        <w:t>措施；</w:t>
      </w:r>
    </w:p>
    <w:p w:rsidR="00274D4E" w:rsidRDefault="00B5732B">
      <w:pPr>
        <w:pStyle w:val="af8"/>
        <w:numPr>
          <w:ilvl w:val="0"/>
          <w:numId w:val="44"/>
        </w:numPr>
      </w:pPr>
      <w:r>
        <w:rPr>
          <w:rFonts w:hint="eastAsia"/>
        </w:rPr>
        <w:t>项目安全环保措施；</w:t>
      </w:r>
    </w:p>
    <w:p w:rsidR="00274D4E" w:rsidRDefault="00B5732B">
      <w:pPr>
        <w:pStyle w:val="af8"/>
        <w:numPr>
          <w:ilvl w:val="0"/>
          <w:numId w:val="44"/>
        </w:numPr>
      </w:pPr>
      <w:r>
        <w:t>成果资料内容及形式。</w:t>
      </w:r>
    </w:p>
    <w:p w:rsidR="00274D4E" w:rsidRDefault="00B5732B">
      <w:pPr>
        <w:pStyle w:val="affffffffd"/>
      </w:pPr>
      <w:r>
        <w:rPr>
          <w:rFonts w:hint="eastAsia"/>
        </w:rPr>
        <w:t>路基土体坍塌病害应急检测工作方案可</w:t>
      </w:r>
      <w:r>
        <w:rPr>
          <w:rFonts w:hAnsi="宋体" w:cs="宋体" w:hint="eastAsia"/>
        </w:rPr>
        <w:t>第5.7.1条的规定</w:t>
      </w:r>
      <w:r>
        <w:rPr>
          <w:rFonts w:hint="eastAsia"/>
        </w:rPr>
        <w:t>的流程上进行简化，应包括下列内容：</w:t>
      </w:r>
    </w:p>
    <w:p w:rsidR="00274D4E" w:rsidRDefault="00B5732B">
      <w:pPr>
        <w:pStyle w:val="af8"/>
        <w:numPr>
          <w:ilvl w:val="0"/>
          <w:numId w:val="45"/>
        </w:numPr>
      </w:pPr>
      <w:r>
        <w:t>项目概况；</w:t>
      </w:r>
    </w:p>
    <w:p w:rsidR="00274D4E" w:rsidRDefault="00B5732B">
      <w:pPr>
        <w:pStyle w:val="af8"/>
        <w:numPr>
          <w:ilvl w:val="0"/>
          <w:numId w:val="45"/>
        </w:numPr>
      </w:pPr>
      <w:r>
        <w:rPr>
          <w:rFonts w:hint="eastAsia"/>
        </w:rPr>
        <w:t>检测目的和范围；</w:t>
      </w:r>
    </w:p>
    <w:p w:rsidR="00274D4E" w:rsidRDefault="00B5732B">
      <w:pPr>
        <w:pStyle w:val="af8"/>
        <w:numPr>
          <w:ilvl w:val="0"/>
          <w:numId w:val="45"/>
        </w:numPr>
      </w:pPr>
      <w:r>
        <w:t>编制依据；</w:t>
      </w:r>
    </w:p>
    <w:p w:rsidR="00274D4E" w:rsidRDefault="00B5732B">
      <w:pPr>
        <w:pStyle w:val="af8"/>
        <w:numPr>
          <w:ilvl w:val="0"/>
          <w:numId w:val="45"/>
        </w:numPr>
      </w:pPr>
      <w:r>
        <w:rPr>
          <w:rFonts w:hint="eastAsia"/>
        </w:rPr>
        <w:lastRenderedPageBreak/>
        <w:t>设备配置；</w:t>
      </w:r>
    </w:p>
    <w:p w:rsidR="00274D4E" w:rsidRDefault="00B5732B">
      <w:pPr>
        <w:pStyle w:val="af8"/>
        <w:numPr>
          <w:ilvl w:val="0"/>
          <w:numId w:val="45"/>
        </w:numPr>
      </w:pPr>
      <w:r>
        <w:t>成果资料内容及形式。</w:t>
      </w:r>
    </w:p>
    <w:p w:rsidR="00274D4E" w:rsidRDefault="00B5732B" w:rsidP="00754DE2">
      <w:pPr>
        <w:pStyle w:val="affd"/>
        <w:spacing w:before="312" w:after="312"/>
      </w:pPr>
      <w:bookmarkStart w:id="123" w:name="_Toc12797"/>
      <w:r>
        <w:rPr>
          <w:rFonts w:hAnsi="黑体" w:cs="黑体" w:hint="eastAsia"/>
        </w:rPr>
        <w:t>道路结构层病害检测</w:t>
      </w:r>
      <w:bookmarkEnd w:id="123"/>
    </w:p>
    <w:p w:rsidR="00274D4E" w:rsidRDefault="00B5732B" w:rsidP="00754DE2">
      <w:pPr>
        <w:pStyle w:val="affe"/>
        <w:spacing w:before="156" w:after="156"/>
      </w:pPr>
      <w:bookmarkStart w:id="124" w:name="_Toc11447"/>
      <w:r>
        <w:rPr>
          <w:rFonts w:hint="eastAsia"/>
        </w:rPr>
        <w:t>一般要求</w:t>
      </w:r>
      <w:bookmarkEnd w:id="124"/>
    </w:p>
    <w:p w:rsidR="00274D4E" w:rsidRDefault="00B5732B">
      <w:pPr>
        <w:pStyle w:val="affffffffd"/>
      </w:pPr>
      <w:r>
        <w:rPr>
          <w:rFonts w:hint="eastAsia"/>
        </w:rPr>
        <w:t>检测应采用探地雷达技术检测道路结构层内部发育的空洞、脱空、结构层裂缝、结构层内松散等病害特征，查明其属性和分布情况，为道路大中修或道路修复提供技术依据。</w:t>
      </w:r>
    </w:p>
    <w:p w:rsidR="00274D4E" w:rsidRDefault="00B5732B">
      <w:pPr>
        <w:pStyle w:val="affffffffd"/>
        <w:rPr>
          <w:rFonts w:hAnsi="宋体" w:cs="宋体"/>
          <w:szCs w:val="21"/>
          <w:lang w:bidi="ar"/>
        </w:rPr>
      </w:pPr>
      <w:r>
        <w:rPr>
          <w:rFonts w:hAnsi="宋体" w:cs="宋体" w:hint="eastAsia"/>
          <w:szCs w:val="21"/>
          <w:lang w:bidi="ar"/>
        </w:rPr>
        <w:t>检测路段环境应符合下列要求：</w:t>
      </w:r>
    </w:p>
    <w:p w:rsidR="00274D4E" w:rsidRDefault="00B5732B">
      <w:pPr>
        <w:pStyle w:val="af8"/>
        <w:numPr>
          <w:ilvl w:val="0"/>
          <w:numId w:val="46"/>
        </w:numPr>
      </w:pPr>
      <w:r>
        <w:rPr>
          <w:rFonts w:hint="eastAsia"/>
        </w:rPr>
        <w:t>天气无降雨、降雪；</w:t>
      </w:r>
    </w:p>
    <w:p w:rsidR="00274D4E" w:rsidRDefault="00B5732B">
      <w:pPr>
        <w:pStyle w:val="af8"/>
        <w:numPr>
          <w:ilvl w:val="0"/>
          <w:numId w:val="46"/>
        </w:numPr>
      </w:pPr>
      <w:r>
        <w:rPr>
          <w:rFonts w:hint="eastAsia"/>
        </w:rPr>
        <w:t>路面宜清洁、平整、无积水，无大块凸起物，无严重坑槽、跳车等干扰因素；</w:t>
      </w:r>
    </w:p>
    <w:p w:rsidR="00274D4E" w:rsidRDefault="00B5732B">
      <w:pPr>
        <w:pStyle w:val="af8"/>
        <w:numPr>
          <w:ilvl w:val="0"/>
          <w:numId w:val="46"/>
        </w:numPr>
      </w:pPr>
      <w:r>
        <w:rPr>
          <w:rFonts w:hint="eastAsia"/>
        </w:rPr>
        <w:t>周围应无影响设备正常工作的强电磁干扰信号。</w:t>
      </w:r>
    </w:p>
    <w:p w:rsidR="00274D4E" w:rsidRDefault="00B5732B">
      <w:pPr>
        <w:pStyle w:val="affffffffd"/>
      </w:pPr>
      <w:r>
        <w:rPr>
          <w:rFonts w:hint="eastAsia"/>
        </w:rPr>
        <w:t>道路结构病害</w:t>
      </w:r>
      <w:r>
        <w:t>检测中，应</w:t>
      </w:r>
      <w:r>
        <w:rPr>
          <w:rFonts w:hint="eastAsia"/>
        </w:rPr>
        <w:t>开展</w:t>
      </w:r>
      <w:r>
        <w:t>现场巡视与调查工作，发现路面沉陷、裂缝、坑洞等异常区域，结合地下介质</w:t>
      </w:r>
      <w:r>
        <w:rPr>
          <w:rFonts w:hint="eastAsia"/>
        </w:rPr>
        <w:t>情况</w:t>
      </w:r>
      <w:r>
        <w:t>为探地雷达检测和数据分析提供依据。</w:t>
      </w:r>
    </w:p>
    <w:p w:rsidR="00274D4E" w:rsidRDefault="00B5732B">
      <w:pPr>
        <w:pStyle w:val="affffffffd"/>
      </w:pPr>
      <w:r>
        <w:t>巡视和调查中应注重对异常区域内地下结构物、地下管线、地下工程施工、周边工程施工等</w:t>
      </w:r>
      <w:r>
        <w:rPr>
          <w:rFonts w:hint="eastAsia"/>
        </w:rPr>
        <w:t>目标体</w:t>
      </w:r>
      <w:r>
        <w:t>进行调查和分析。</w:t>
      </w:r>
    </w:p>
    <w:p w:rsidR="00274D4E" w:rsidRDefault="00B5732B">
      <w:pPr>
        <w:pStyle w:val="affffffffd"/>
      </w:pPr>
      <w:r>
        <w:t>针对查明的</w:t>
      </w:r>
      <w:r>
        <w:rPr>
          <w:rFonts w:hint="eastAsia"/>
        </w:rPr>
        <w:t>道路病害</w:t>
      </w:r>
      <w:r>
        <w:t>，在进行处置之前宜按相关要求定期开展现场巡视，对</w:t>
      </w:r>
      <w:r>
        <w:rPr>
          <w:rFonts w:hint="eastAsia"/>
        </w:rPr>
        <w:t>病害</w:t>
      </w:r>
      <w:r>
        <w:t>上方地面变形情况进行记录；对于已处置的</w:t>
      </w:r>
      <w:r>
        <w:rPr>
          <w:rFonts w:hint="eastAsia"/>
        </w:rPr>
        <w:t>道路病害</w:t>
      </w:r>
      <w:r>
        <w:t>区域，宜</w:t>
      </w:r>
      <w:r>
        <w:rPr>
          <w:rFonts w:hint="eastAsia"/>
        </w:rPr>
        <w:t>进</w:t>
      </w:r>
      <w:r>
        <w:t>行处置效果巡视。</w:t>
      </w:r>
      <w:r>
        <w:rPr>
          <w:rFonts w:hint="eastAsia"/>
        </w:rPr>
        <w:t>巡视与调查记录单格式见附录A。</w:t>
      </w:r>
    </w:p>
    <w:p w:rsidR="00274D4E" w:rsidRDefault="00B5732B" w:rsidP="00754DE2">
      <w:pPr>
        <w:pStyle w:val="affe"/>
        <w:spacing w:before="156" w:after="156"/>
      </w:pPr>
      <w:bookmarkStart w:id="125" w:name="_Toc30223"/>
      <w:r>
        <w:rPr>
          <w:rFonts w:hint="eastAsia"/>
        </w:rPr>
        <w:t>现场数据采集</w:t>
      </w:r>
      <w:bookmarkEnd w:id="125"/>
    </w:p>
    <w:p w:rsidR="00274D4E" w:rsidRDefault="00B5732B">
      <w:pPr>
        <w:pStyle w:val="affffffffd"/>
      </w:pPr>
      <w:r>
        <w:rPr>
          <w:rStyle w:val="NormalCharacter"/>
          <w:rFonts w:ascii="Times New Roman" w:hint="eastAsia"/>
          <w:color w:val="000000"/>
        </w:rPr>
        <w:t>探地雷达</w:t>
      </w:r>
      <w:r>
        <w:rPr>
          <w:rStyle w:val="NormalCharacter"/>
          <w:rFonts w:ascii="Times New Roman"/>
          <w:color w:val="000000"/>
        </w:rPr>
        <w:t>测线</w:t>
      </w:r>
      <w:r>
        <w:rPr>
          <w:rStyle w:val="NormalCharacter"/>
          <w:rFonts w:ascii="Times New Roman" w:hint="eastAsia"/>
          <w:color w:val="000000"/>
        </w:rPr>
        <w:t>布设应符合以下规定：</w:t>
      </w:r>
    </w:p>
    <w:p w:rsidR="00274D4E" w:rsidRDefault="00B5732B">
      <w:pPr>
        <w:pStyle w:val="af8"/>
        <w:numPr>
          <w:ilvl w:val="0"/>
          <w:numId w:val="47"/>
        </w:numPr>
      </w:pPr>
      <w:r>
        <w:rPr>
          <w:rFonts w:hint="eastAsia"/>
        </w:rPr>
        <w:t>测线应沿车道前进方向布设；</w:t>
      </w:r>
    </w:p>
    <w:p w:rsidR="00274D4E" w:rsidRDefault="00B5732B">
      <w:pPr>
        <w:pStyle w:val="af8"/>
        <w:numPr>
          <w:ilvl w:val="0"/>
          <w:numId w:val="47"/>
        </w:numPr>
      </w:pPr>
      <w:r>
        <w:rPr>
          <w:rFonts w:hint="eastAsia"/>
        </w:rPr>
        <w:t>挡墙等道路设施的测线应沿挡墙的表面布设；</w:t>
      </w:r>
    </w:p>
    <w:p w:rsidR="00274D4E" w:rsidRDefault="00B5732B">
      <w:pPr>
        <w:pStyle w:val="af8"/>
        <w:numPr>
          <w:ilvl w:val="0"/>
          <w:numId w:val="47"/>
        </w:numPr>
      </w:pPr>
      <w:r>
        <w:rPr>
          <w:rFonts w:hint="eastAsia"/>
        </w:rPr>
        <w:t>测线间距应不大于探地雷达天线有效检测宽度；</w:t>
      </w:r>
    </w:p>
    <w:p w:rsidR="00274D4E" w:rsidRDefault="00B5732B">
      <w:pPr>
        <w:pStyle w:val="af8"/>
        <w:numPr>
          <w:ilvl w:val="0"/>
          <w:numId w:val="47"/>
        </w:numPr>
      </w:pPr>
      <w:r>
        <w:rPr>
          <w:rFonts w:hint="eastAsia"/>
        </w:rPr>
        <w:t>测线布设应完整覆盖整个检测车道或道路设施表面。</w:t>
      </w:r>
    </w:p>
    <w:p w:rsidR="00274D4E" w:rsidRDefault="00B5732B">
      <w:pPr>
        <w:pStyle w:val="affffffffd"/>
      </w:pPr>
      <w:bookmarkStart w:id="126" w:name="_Toc13095"/>
      <w:r>
        <w:rPr>
          <w:rStyle w:val="NormalCharacter"/>
          <w:rFonts w:ascii="Times New Roman"/>
          <w:color w:val="000000"/>
        </w:rPr>
        <w:t>数据采集时</w:t>
      </w:r>
      <w:r>
        <w:rPr>
          <w:rFonts w:ascii="Times New Roman"/>
          <w:bCs/>
          <w:color w:val="000000"/>
        </w:rPr>
        <w:t>关键</w:t>
      </w:r>
      <w:r>
        <w:rPr>
          <w:rStyle w:val="NormalCharacter"/>
          <w:rFonts w:ascii="Times New Roman"/>
          <w:color w:val="000000"/>
        </w:rPr>
        <w:t>参数的设置应符合下列规定：</w:t>
      </w:r>
      <w:bookmarkEnd w:id="126"/>
    </w:p>
    <w:p w:rsidR="00274D4E" w:rsidRDefault="00B5732B">
      <w:pPr>
        <w:pStyle w:val="af8"/>
        <w:numPr>
          <w:ilvl w:val="0"/>
          <w:numId w:val="48"/>
        </w:numPr>
      </w:pPr>
      <w:bookmarkStart w:id="127" w:name="_Toc17371"/>
      <w:r>
        <w:rPr>
          <w:rFonts w:hint="eastAsia"/>
        </w:rPr>
        <w:t>时窗</w:t>
      </w:r>
      <w:bookmarkEnd w:id="127"/>
      <w:r>
        <w:t>宜根据</w:t>
      </w:r>
      <w:r>
        <w:rPr>
          <w:rFonts w:hint="eastAsia"/>
        </w:rPr>
        <w:t>检测</w:t>
      </w:r>
      <w:r>
        <w:t>深度和</w:t>
      </w:r>
      <w:r>
        <w:rPr>
          <w:rFonts w:hint="eastAsia"/>
        </w:rPr>
        <w:t>探地</w:t>
      </w:r>
      <w:r>
        <w:t>雷达</w:t>
      </w:r>
      <w:r>
        <w:rPr>
          <w:rFonts w:hint="eastAsia"/>
        </w:rPr>
        <w:t>电磁</w:t>
      </w:r>
      <w:r>
        <w:t>波在介质中的传播速度确定时窗，按</w:t>
      </w:r>
      <w:r>
        <w:rPr>
          <w:rFonts w:hint="eastAsia"/>
        </w:rPr>
        <w:t>（1）式</w:t>
      </w:r>
      <w:r>
        <w:t>计算：</w:t>
      </w:r>
    </w:p>
    <w:p w:rsidR="00274D4E" w:rsidRDefault="00B5732B">
      <w:pPr>
        <w:pStyle w:val="affffffd"/>
      </w:pPr>
      <w:r>
        <w:rPr>
          <w:rFonts w:hint="eastAsia"/>
        </w:rPr>
        <w:tab/>
      </w:r>
      <m:oMath>
        <m:r>
          <w:rPr>
            <w:rFonts w:ascii="Cambria Math" w:hAnsi="Cambria Math"/>
          </w:rPr>
          <m:t>T=K</m:t>
        </m:r>
        <m:f>
          <m:fPr>
            <m:ctrlPr>
              <w:rPr>
                <w:rFonts w:ascii="Cambria Math" w:hAnsi="Cambria Math"/>
                <w:i/>
              </w:rPr>
            </m:ctrlPr>
          </m:fPr>
          <m:num>
            <m:r>
              <w:rPr>
                <w:rFonts w:ascii="Cambria Math" w:hAnsi="Cambria Math"/>
              </w:rPr>
              <m:t>2D</m:t>
            </m:r>
          </m:num>
          <m:den>
            <m:r>
              <w:rPr>
                <w:rFonts w:ascii="Cambria Math" w:hAnsi="Cambria Math"/>
              </w:rPr>
              <m:t>v</m:t>
            </m:r>
          </m:den>
        </m:f>
      </m:oMath>
      <w:r>
        <w:rPr>
          <w:rFonts w:ascii="微软雅黑" w:eastAsia="微软雅黑" w:hAnsi="微软雅黑" w:cs="微软雅黑" w:hint="eastAsia"/>
        </w:rPr>
        <w:tab/>
      </w:r>
      <w:r>
        <w:rPr>
          <w:rFonts w:hint="eastAsia"/>
        </w:rPr>
        <w:t>(</w:t>
      </w:r>
      <w:r>
        <w:rPr>
          <w:rFonts w:hint="eastAsia"/>
        </w:rPr>
        <w:fldChar w:fldCharType="begin"/>
      </w:r>
      <w:r>
        <w:rPr>
          <w:rFonts w:hint="eastAsia"/>
        </w:rPr>
        <w:instrText xml:space="preserve"> AUTONUM </w:instrText>
      </w:r>
      <w:r>
        <w:rPr>
          <w:rFonts w:hint="eastAsia"/>
        </w:rPr>
        <w:fldChar w:fldCharType="end"/>
      </w:r>
      <w:r>
        <w:rPr>
          <w:rFonts w:hint="eastAsia"/>
        </w:rPr>
        <w:t>)</w:t>
      </w:r>
    </w:p>
    <w:p w:rsidR="00274D4E" w:rsidRDefault="00B5732B">
      <w:pPr>
        <w:pStyle w:val="afffff1"/>
        <w:ind w:firstLineChars="400" w:firstLine="840"/>
      </w:pPr>
      <w:r>
        <w:t>式中：</w:t>
      </w:r>
    </w:p>
    <w:p w:rsidR="00274D4E" w:rsidRDefault="00B5732B">
      <w:pPr>
        <w:pStyle w:val="afffff1"/>
        <w:ind w:firstLineChars="400" w:firstLine="840"/>
      </w:pPr>
      <w:r>
        <w:rPr>
          <w:i/>
          <w:iCs/>
        </w:rPr>
        <w:t>T</w:t>
      </w:r>
      <w:r>
        <w:rPr>
          <w:rFonts w:hint="eastAsia"/>
          <w:i/>
          <w:iCs/>
        </w:rPr>
        <w:t xml:space="preserve"> </w:t>
      </w:r>
      <w:r>
        <w:t>——</w:t>
      </w:r>
      <w:r>
        <w:t>时窗</w:t>
      </w:r>
      <w:r>
        <w:rPr>
          <w:rFonts w:hint="eastAsia"/>
        </w:rPr>
        <w:t>，单位为纳秒</w:t>
      </w:r>
      <w:r>
        <w:t>（ns）；</w:t>
      </w:r>
    </w:p>
    <w:p w:rsidR="00274D4E" w:rsidRDefault="00B5732B">
      <w:pPr>
        <w:pStyle w:val="afffff1"/>
        <w:ind w:firstLineChars="400" w:firstLine="840"/>
      </w:pPr>
      <w:r>
        <w:rPr>
          <w:i/>
          <w:iCs/>
        </w:rPr>
        <w:t>K</w:t>
      </w:r>
      <w:r>
        <w:rPr>
          <w:rFonts w:hint="eastAsia"/>
          <w:i/>
          <w:iCs/>
        </w:rPr>
        <w:t xml:space="preserve"> </w:t>
      </w:r>
      <w:r>
        <w:t>——</w:t>
      </w:r>
      <w:r>
        <w:t>加权系数，取1.3～1.5；</w:t>
      </w:r>
    </w:p>
    <w:p w:rsidR="00274D4E" w:rsidRDefault="00B5732B">
      <w:pPr>
        <w:pStyle w:val="afffff1"/>
        <w:ind w:firstLineChars="400" w:firstLine="840"/>
      </w:pPr>
      <w:r>
        <w:rPr>
          <w:i/>
          <w:iCs/>
        </w:rPr>
        <w:t>D</w:t>
      </w:r>
      <w:r>
        <w:rPr>
          <w:rFonts w:hint="eastAsia"/>
          <w:i/>
          <w:iCs/>
        </w:rPr>
        <w:t xml:space="preserve"> </w:t>
      </w:r>
      <w:r>
        <w:t>——</w:t>
      </w:r>
      <w:r>
        <w:rPr>
          <w:rFonts w:hint="eastAsia"/>
        </w:rPr>
        <w:t>检测</w:t>
      </w:r>
      <w:r>
        <w:t>目标深度</w:t>
      </w:r>
      <w:r>
        <w:rPr>
          <w:rFonts w:hint="eastAsia"/>
        </w:rPr>
        <w:t>，单位为米</w:t>
      </w:r>
      <w:r>
        <w:t>（m）；</w:t>
      </w:r>
    </w:p>
    <w:p w:rsidR="00274D4E" w:rsidRDefault="00B5732B">
      <w:pPr>
        <w:pStyle w:val="afffff1"/>
        <w:ind w:firstLineChars="400" w:firstLine="840"/>
      </w:pPr>
      <w:r>
        <w:rPr>
          <w:rFonts w:hint="eastAsia"/>
          <w:i/>
          <w:iCs/>
        </w:rPr>
        <w:t xml:space="preserve">v </w:t>
      </w:r>
      <w:r>
        <w:t>——</w:t>
      </w:r>
      <w:r>
        <w:t>电磁波在地下介质的传播速度</w:t>
      </w:r>
      <w:r>
        <w:rPr>
          <w:rFonts w:hint="eastAsia"/>
        </w:rPr>
        <w:t>,单位为米/纳秒</w:t>
      </w:r>
      <w:r>
        <w:t>（m/ns）。</w:t>
      </w:r>
    </w:p>
    <w:p w:rsidR="00274D4E" w:rsidRDefault="00B5732B">
      <w:pPr>
        <w:pStyle w:val="af8"/>
        <w:numPr>
          <w:ilvl w:val="0"/>
          <w:numId w:val="48"/>
        </w:numPr>
      </w:pPr>
      <w:bookmarkStart w:id="128" w:name="_Toc10119"/>
      <w:r>
        <w:rPr>
          <w:rFonts w:hint="eastAsia"/>
        </w:rPr>
        <w:t>采样间隔</w:t>
      </w:r>
      <w:bookmarkEnd w:id="128"/>
      <w:r>
        <w:rPr>
          <w:rFonts w:hint="eastAsia"/>
        </w:rPr>
        <w:t>在满足行驶速度要求的前提下宜尽量缩小，应小于5.0 cm。</w:t>
      </w:r>
    </w:p>
    <w:p w:rsidR="00274D4E" w:rsidRDefault="00B5732B">
      <w:pPr>
        <w:pStyle w:val="af8"/>
        <w:numPr>
          <w:ilvl w:val="0"/>
          <w:numId w:val="48"/>
        </w:numPr>
      </w:pPr>
      <w:r>
        <w:rPr>
          <w:rFonts w:hint="eastAsia"/>
        </w:rPr>
        <w:t>相对介电常数标定方法应根据检测路段环境、检测深度等因素综合分析确定。钻芯取样法可用于路基路面各层材料相对介电常数标定。当具备取芯条件时可按照以下步骤进行标定：</w:t>
      </w:r>
    </w:p>
    <w:p w:rsidR="00274D4E" w:rsidRDefault="00B5732B">
      <w:pPr>
        <w:pStyle w:val="af9"/>
        <w:numPr>
          <w:ilvl w:val="1"/>
          <w:numId w:val="48"/>
        </w:numPr>
      </w:pPr>
      <w:r>
        <w:rPr>
          <w:rFonts w:hint="eastAsia"/>
        </w:rPr>
        <w:t>选取一个测点进行不小于100道的单道波数据采集；</w:t>
      </w:r>
    </w:p>
    <w:p w:rsidR="00274D4E" w:rsidRDefault="00B5732B">
      <w:pPr>
        <w:pStyle w:val="af9"/>
        <w:numPr>
          <w:ilvl w:val="1"/>
          <w:numId w:val="48"/>
        </w:numPr>
      </w:pPr>
      <w:r>
        <w:rPr>
          <w:rFonts w:hint="eastAsia"/>
        </w:rPr>
        <w:t>通过数据处理获取各结构层层位对应的时间△T并记录；</w:t>
      </w:r>
    </w:p>
    <w:p w:rsidR="00274D4E" w:rsidRDefault="00B5732B">
      <w:pPr>
        <w:pStyle w:val="af9"/>
        <w:numPr>
          <w:ilvl w:val="1"/>
          <w:numId w:val="48"/>
        </w:numPr>
      </w:pPr>
      <w:r>
        <w:rPr>
          <w:rFonts w:hint="eastAsia"/>
        </w:rPr>
        <w:t>对该测点进行取芯，测量并记录芯样各结构层的厚度H；</w:t>
      </w:r>
    </w:p>
    <w:p w:rsidR="00274D4E" w:rsidRDefault="00B5732B">
      <w:pPr>
        <w:pStyle w:val="af9"/>
        <w:numPr>
          <w:ilvl w:val="1"/>
          <w:numId w:val="48"/>
        </w:numPr>
      </w:pPr>
      <w:r>
        <w:rPr>
          <w:rFonts w:hint="eastAsia"/>
        </w:rPr>
        <w:t>按公式（2）计算相对介电常数：</w:t>
      </w:r>
    </w:p>
    <w:p w:rsidR="00274D4E" w:rsidRDefault="00B5732B">
      <w:pPr>
        <w:pStyle w:val="affffffd"/>
      </w:pPr>
      <w:r>
        <w:rPr>
          <w:rFonts w:hint="eastAsia"/>
        </w:rPr>
        <w:tab/>
      </w:r>
      <m:oMath>
        <m:sSub>
          <m:sSubPr>
            <m:ctrlPr>
              <w:rPr>
                <w:rFonts w:ascii="Cambria Math" w:hAnsi="Cambria Math" w:cs="宋体"/>
                <w:i/>
              </w:rPr>
            </m:ctrlPr>
          </m:sSubPr>
          <m:e>
            <m:r>
              <m:rPr>
                <m:sty m:val="p"/>
              </m:rPr>
              <w:rPr>
                <w:rFonts w:ascii="Cambria Math" w:hAnsi="Cambria Math" w:cs="宋体"/>
              </w:rPr>
              <m:t>ε</m:t>
            </m:r>
          </m:e>
          <m:sub>
            <m:r>
              <w:rPr>
                <w:rFonts w:ascii="Cambria Math" w:hAnsi="Cambria Math" w:cs="宋体"/>
              </w:rPr>
              <m:t>r=</m:t>
            </m:r>
          </m:sub>
        </m:sSub>
        <m:sSup>
          <m:sSupPr>
            <m:ctrlPr>
              <w:rPr>
                <w:rFonts w:ascii="Cambria Math" w:hAnsi="Cambria Math" w:cs="宋体" w:hint="eastAsia"/>
              </w:rPr>
            </m:ctrlPr>
          </m:sSupPr>
          <m:e>
            <m:r>
              <w:rPr>
                <w:rFonts w:ascii="Cambria Math" w:hAnsi="Cambria Math" w:cs="宋体"/>
              </w:rPr>
              <m:t>(</m:t>
            </m:r>
            <m:f>
              <m:fPr>
                <m:ctrlPr>
                  <w:rPr>
                    <w:rFonts w:ascii="Cambria Math" w:hAnsi="Cambria Math" w:cs="宋体"/>
                    <w:i/>
                  </w:rPr>
                </m:ctrlPr>
              </m:fPr>
              <m:num>
                <m:r>
                  <w:rPr>
                    <w:rFonts w:ascii="Cambria Math" w:hAnsi="Cambria Math" w:cs="宋体"/>
                  </w:rPr>
                  <m:t>c*∆T</m:t>
                </m:r>
              </m:num>
              <m:den>
                <m:r>
                  <w:rPr>
                    <w:rFonts w:ascii="Cambria Math" w:hAnsi="Cambria Math" w:cs="宋体"/>
                  </w:rPr>
                  <m:t>2H</m:t>
                </m:r>
              </m:den>
            </m:f>
            <m:r>
              <m:rPr>
                <m:sty m:val="p"/>
              </m:rPr>
              <w:rPr>
                <w:rFonts w:hAnsi="Cambria Math" w:cs="宋体" w:hint="eastAsia"/>
              </w:rPr>
              <m:t>)</m:t>
            </m:r>
          </m:e>
          <m:sup>
            <m:r>
              <m:rPr>
                <m:sty m:val="p"/>
              </m:rPr>
              <w:rPr>
                <w:rFonts w:ascii="Cambria Math" w:hAnsi="Cambria Math" w:cs="宋体"/>
              </w:rPr>
              <m:t>2</m:t>
            </m:r>
          </m:sup>
        </m:sSup>
      </m:oMath>
      <w:r>
        <w:rPr>
          <w:rFonts w:ascii="微软雅黑" w:eastAsia="微软雅黑" w:hAnsi="微软雅黑" w:cs="微软雅黑" w:hint="eastAsia"/>
        </w:rPr>
        <w:tab/>
      </w:r>
      <w:r>
        <w:rPr>
          <w:rFonts w:hint="eastAsia"/>
        </w:rPr>
        <w:t>(</w:t>
      </w:r>
      <w:r>
        <w:rPr>
          <w:rFonts w:hint="eastAsia"/>
        </w:rPr>
        <w:fldChar w:fldCharType="begin"/>
      </w:r>
      <w:r>
        <w:rPr>
          <w:rFonts w:hint="eastAsia"/>
        </w:rPr>
        <w:instrText xml:space="preserve"> AUTONUM </w:instrText>
      </w:r>
      <w:r>
        <w:rPr>
          <w:rFonts w:hint="eastAsia"/>
        </w:rPr>
        <w:fldChar w:fldCharType="end"/>
      </w:r>
      <w:r>
        <w:rPr>
          <w:rFonts w:hint="eastAsia"/>
        </w:rPr>
        <w:t>)</w:t>
      </w:r>
    </w:p>
    <w:p w:rsidR="00274D4E" w:rsidRDefault="00B5732B">
      <w:pPr>
        <w:pStyle w:val="afffff1"/>
        <w:ind w:firstLineChars="400" w:firstLine="840"/>
      </w:pPr>
      <w:r>
        <w:lastRenderedPageBreak/>
        <w:t>式中：</w:t>
      </w:r>
    </w:p>
    <w:p w:rsidR="00274D4E" w:rsidRDefault="00B5732B">
      <w:pPr>
        <w:pStyle w:val="afffff1"/>
        <w:ind w:firstLineChars="400" w:firstLine="840"/>
      </w:pPr>
      <w:r>
        <w:rPr>
          <w:i/>
          <w:iCs/>
        </w:rPr>
        <w:t>ε</w:t>
      </w:r>
      <w:r>
        <w:rPr>
          <w:i/>
          <w:iCs/>
          <w:vertAlign w:val="subscript"/>
        </w:rPr>
        <w:t>r</w:t>
      </w:r>
      <w:r>
        <w:rPr>
          <w:rFonts w:hint="eastAsia"/>
        </w:rPr>
        <w:t xml:space="preserve"> </w:t>
      </w:r>
      <w:r>
        <w:t>——</w:t>
      </w:r>
      <w:r>
        <w:t>相对介电常数；</w:t>
      </w:r>
    </w:p>
    <w:p w:rsidR="00274D4E" w:rsidRDefault="00B5732B">
      <w:pPr>
        <w:pStyle w:val="afffff1"/>
        <w:ind w:firstLineChars="400" w:firstLine="840"/>
      </w:pPr>
      <w:r>
        <w:rPr>
          <w:rFonts w:hint="eastAsia"/>
          <w:i/>
          <w:iCs/>
        </w:rPr>
        <w:t xml:space="preserve">c </w:t>
      </w:r>
      <w:r>
        <w:t>——</w:t>
      </w:r>
      <w:r>
        <w:t>电磁波在空气中传播的速度</w:t>
      </w:r>
      <w:r>
        <w:rPr>
          <w:rFonts w:hint="eastAsia"/>
        </w:rPr>
        <w:t>，单位为毫米/纳秒</w:t>
      </w:r>
      <w:r>
        <w:t>（mm/ns），取3</w:t>
      </w:r>
      <w:r>
        <w:t>×</w:t>
      </w:r>
      <w:r>
        <w:t>10</w:t>
      </w:r>
      <w:r>
        <w:rPr>
          <w:vertAlign w:val="superscript"/>
        </w:rPr>
        <w:t>2</w:t>
      </w:r>
      <w:r>
        <w:t>；</w:t>
      </w:r>
    </w:p>
    <w:p w:rsidR="00274D4E" w:rsidRDefault="00B5732B">
      <w:pPr>
        <w:pStyle w:val="afffff1"/>
        <w:ind w:firstLineChars="400" w:firstLine="840"/>
      </w:pPr>
      <w:r>
        <w:rPr>
          <w:rFonts w:hAnsi="宋体" w:cs="宋体" w:hint="eastAsia"/>
          <w:i/>
          <w:iCs/>
        </w:rPr>
        <w:t>ΔT</w:t>
      </w:r>
      <w:r>
        <w:t>——</w:t>
      </w:r>
      <w:r>
        <w:t>电磁波在结构层中的传播时间</w:t>
      </w:r>
      <w:r>
        <w:rPr>
          <w:rFonts w:hint="eastAsia"/>
        </w:rPr>
        <w:t>，单位为纳秒</w:t>
      </w:r>
      <w:r>
        <w:t>（ns）；</w:t>
      </w:r>
    </w:p>
    <w:p w:rsidR="00274D4E" w:rsidRDefault="00B5732B">
      <w:pPr>
        <w:pStyle w:val="afffff1"/>
        <w:ind w:firstLineChars="400" w:firstLine="840"/>
      </w:pPr>
      <w:r>
        <w:rPr>
          <w:i/>
          <w:iCs/>
        </w:rPr>
        <w:t>H</w:t>
      </w:r>
      <w:r>
        <w:t>——</w:t>
      </w:r>
      <w:r>
        <w:t>结构层的厚度</w:t>
      </w:r>
      <w:r>
        <w:rPr>
          <w:rFonts w:hint="eastAsia"/>
        </w:rPr>
        <w:t>，单位为毫米</w:t>
      </w:r>
      <w:r>
        <w:t>（mm）。</w:t>
      </w:r>
    </w:p>
    <w:p w:rsidR="00274D4E" w:rsidRDefault="00B5732B">
      <w:pPr>
        <w:pStyle w:val="af8"/>
        <w:numPr>
          <w:ilvl w:val="0"/>
          <w:numId w:val="49"/>
        </w:numPr>
      </w:pPr>
      <w:r>
        <w:rPr>
          <w:rFonts w:hint="eastAsia"/>
        </w:rPr>
        <w:t>其它参数设置宜按照JGJ/T 437相关规定进行设置。</w:t>
      </w:r>
    </w:p>
    <w:p w:rsidR="00274D4E" w:rsidRDefault="00B5732B">
      <w:pPr>
        <w:pStyle w:val="affffffffd"/>
      </w:pPr>
      <w:bookmarkStart w:id="129" w:name="bookmark30"/>
      <w:bookmarkEnd w:id="129"/>
      <w:r>
        <w:rPr>
          <w:rFonts w:hint="eastAsia"/>
        </w:rPr>
        <w:t>现场</w:t>
      </w:r>
      <w:r>
        <w:t>数据采集应</w:t>
      </w:r>
      <w:r>
        <w:rPr>
          <w:rFonts w:hint="eastAsia"/>
        </w:rPr>
        <w:t>符合以下要求</w:t>
      </w:r>
      <w:r>
        <w:t>：</w:t>
      </w:r>
    </w:p>
    <w:p w:rsidR="00274D4E" w:rsidRDefault="00B5732B">
      <w:pPr>
        <w:pStyle w:val="af8"/>
        <w:numPr>
          <w:ilvl w:val="0"/>
          <w:numId w:val="50"/>
        </w:numPr>
      </w:pPr>
      <w:r>
        <w:rPr>
          <w:rFonts w:hint="eastAsia"/>
        </w:rPr>
        <w:t>宜采用车载探地雷达方式进行检测，不具备车载条件时，应采用人工方式进行检测；</w:t>
      </w:r>
    </w:p>
    <w:p w:rsidR="00274D4E" w:rsidRDefault="00B5732B">
      <w:pPr>
        <w:pStyle w:val="af8"/>
        <w:numPr>
          <w:ilvl w:val="0"/>
          <w:numId w:val="50"/>
        </w:numPr>
      </w:pPr>
      <w:r>
        <w:t>采用地面耦合式</w:t>
      </w:r>
      <w:r>
        <w:rPr>
          <w:rFonts w:hint="eastAsia"/>
        </w:rPr>
        <w:t>天线时</w:t>
      </w:r>
      <w:r>
        <w:t>，天线宜尽量接近路面，天线与路</w:t>
      </w:r>
      <w:r>
        <w:rPr>
          <w:rFonts w:hint="eastAsia"/>
        </w:rPr>
        <w:t>面</w:t>
      </w:r>
      <w:r>
        <w:t>高差一般不宜超过5cm</w:t>
      </w:r>
      <w:r>
        <w:rPr>
          <w:rFonts w:hint="eastAsia"/>
        </w:rPr>
        <w:t>；</w:t>
      </w:r>
    </w:p>
    <w:p w:rsidR="00274D4E" w:rsidRDefault="00B5732B">
      <w:pPr>
        <w:pStyle w:val="af8"/>
        <w:numPr>
          <w:ilvl w:val="0"/>
          <w:numId w:val="50"/>
        </w:numPr>
      </w:pPr>
      <w:r>
        <w:t>采用空气耦合式</w:t>
      </w:r>
      <w:r>
        <w:rPr>
          <w:rFonts w:hint="eastAsia"/>
        </w:rPr>
        <w:t>天线时</w:t>
      </w:r>
      <w:r>
        <w:t>，天线距路面高度宜为30cm左右</w:t>
      </w:r>
      <w:r>
        <w:rPr>
          <w:rFonts w:hint="eastAsia"/>
        </w:rPr>
        <w:t>；</w:t>
      </w:r>
    </w:p>
    <w:p w:rsidR="00274D4E" w:rsidRDefault="00B5732B">
      <w:pPr>
        <w:pStyle w:val="af8"/>
        <w:numPr>
          <w:ilvl w:val="0"/>
          <w:numId w:val="50"/>
        </w:numPr>
      </w:pPr>
      <w:r>
        <w:rPr>
          <w:rFonts w:hint="eastAsia"/>
        </w:rPr>
        <w:t>采集前应进行</w:t>
      </w:r>
      <w:r>
        <w:t>距离标定</w:t>
      </w:r>
      <w:r>
        <w:rPr>
          <w:rFonts w:hint="eastAsia"/>
        </w:rPr>
        <w:t>，</w:t>
      </w:r>
      <w:r>
        <w:t>标定距离应不小于100m，误差应不大于0.05%</w:t>
      </w:r>
      <w:r>
        <w:rPr>
          <w:rFonts w:hint="eastAsia"/>
        </w:rPr>
        <w:t>；</w:t>
      </w:r>
    </w:p>
    <w:p w:rsidR="00274D4E" w:rsidRDefault="00B5732B">
      <w:pPr>
        <w:pStyle w:val="af8"/>
        <w:numPr>
          <w:ilvl w:val="0"/>
          <w:numId w:val="50"/>
        </w:numPr>
      </w:pPr>
      <w:r>
        <w:t>检测过程中测线应与车道保持平行，应标记检测路段里程</w:t>
      </w:r>
      <w:r>
        <w:rPr>
          <w:rFonts w:hint="eastAsia"/>
        </w:rPr>
        <w:t>起止</w:t>
      </w:r>
      <w:r>
        <w:t>桩号、可疑干扰体等信息；</w:t>
      </w:r>
    </w:p>
    <w:p w:rsidR="00274D4E" w:rsidRDefault="00B5732B">
      <w:pPr>
        <w:pStyle w:val="af8"/>
        <w:numPr>
          <w:ilvl w:val="0"/>
          <w:numId w:val="50"/>
        </w:numPr>
      </w:pPr>
      <w:r>
        <w:rPr>
          <w:rFonts w:hint="eastAsia"/>
        </w:rPr>
        <w:t>探地雷达检测车的行驶速度应根据天线中心频率确定，低频天线的行驶速度要低，</w:t>
      </w:r>
      <w:r>
        <w:t>在满足最小采样间隔的条件下，检测速度</w:t>
      </w:r>
      <w:r>
        <w:rPr>
          <w:rFonts w:hint="eastAsia"/>
        </w:rPr>
        <w:t>不应超过6</w:t>
      </w:r>
      <w:r>
        <w:t>0km/h</w:t>
      </w:r>
      <w:r>
        <w:rPr>
          <w:rFonts w:hint="eastAsia"/>
        </w:rPr>
        <w:t>；</w:t>
      </w:r>
    </w:p>
    <w:p w:rsidR="00274D4E" w:rsidRDefault="00B5732B">
      <w:pPr>
        <w:pStyle w:val="af8"/>
        <w:numPr>
          <w:ilvl w:val="0"/>
          <w:numId w:val="50"/>
        </w:numPr>
      </w:pPr>
      <w:r>
        <w:t>检测过程中如遇到道路障碍物、车辆故障等影响正常检测的突发情况时，应逐条记录</w:t>
      </w:r>
      <w:r>
        <w:rPr>
          <w:rFonts w:hint="eastAsia"/>
        </w:rPr>
        <w:t>，记录格式见附录B</w:t>
      </w:r>
      <w:r>
        <w:t>；</w:t>
      </w:r>
    </w:p>
    <w:p w:rsidR="00274D4E" w:rsidRDefault="00B5732B">
      <w:pPr>
        <w:pStyle w:val="af8"/>
        <w:numPr>
          <w:ilvl w:val="0"/>
          <w:numId w:val="50"/>
        </w:numPr>
      </w:pPr>
      <w:r>
        <w:t>应对大面积检测信号异常的路段进行</w:t>
      </w:r>
      <w:r>
        <w:rPr>
          <w:rFonts w:hint="eastAsia"/>
        </w:rPr>
        <w:t>复核</w:t>
      </w:r>
      <w:r>
        <w:t>，消除外界电磁干扰、定位信号异常</w:t>
      </w:r>
      <w:r>
        <w:rPr>
          <w:rFonts w:hint="eastAsia"/>
        </w:rPr>
        <w:t>等因素</w:t>
      </w:r>
      <w:r>
        <w:t>对检测结果的影响；</w:t>
      </w:r>
    </w:p>
    <w:p w:rsidR="00274D4E" w:rsidRDefault="00B5732B">
      <w:pPr>
        <w:pStyle w:val="af8"/>
        <w:numPr>
          <w:ilvl w:val="0"/>
          <w:numId w:val="50"/>
        </w:numPr>
      </w:pPr>
      <w:r>
        <w:t>现场检测作业</w:t>
      </w:r>
      <w:r>
        <w:rPr>
          <w:rFonts w:hint="eastAsia"/>
        </w:rPr>
        <w:t>时</w:t>
      </w:r>
      <w:r>
        <w:t>应采取安全保障措施，宜在检测车辆后方配备安全防护车</w:t>
      </w:r>
      <w:r>
        <w:rPr>
          <w:rFonts w:hint="eastAsia"/>
        </w:rPr>
        <w:t>等设施；</w:t>
      </w:r>
    </w:p>
    <w:p w:rsidR="00274D4E" w:rsidRDefault="00B5732B">
      <w:pPr>
        <w:pStyle w:val="af8"/>
        <w:numPr>
          <w:ilvl w:val="0"/>
          <w:numId w:val="50"/>
        </w:numPr>
      </w:pPr>
      <w:r>
        <w:rPr>
          <w:rFonts w:hint="eastAsia"/>
        </w:rPr>
        <w:t>检测结束后，应检查数据文件的完整性和数据质量，如果不符合要求应重新检测。</w:t>
      </w:r>
    </w:p>
    <w:p w:rsidR="00274D4E" w:rsidRDefault="00B5732B">
      <w:pPr>
        <w:pStyle w:val="affffffffd"/>
      </w:pPr>
      <w:r>
        <w:rPr>
          <w:rFonts w:hint="eastAsia"/>
        </w:rPr>
        <w:t>对现场采集的数据进行质量检查和评价，应符合下列规定：</w:t>
      </w:r>
    </w:p>
    <w:p w:rsidR="00274D4E" w:rsidRDefault="00B5732B">
      <w:pPr>
        <w:pStyle w:val="af8"/>
        <w:numPr>
          <w:ilvl w:val="0"/>
          <w:numId w:val="51"/>
        </w:numPr>
      </w:pPr>
      <w:r>
        <w:rPr>
          <w:rFonts w:hint="eastAsia"/>
        </w:rPr>
        <w:t>用于解释的探地雷达图谱应具备较高的清晰度与信噪比；</w:t>
      </w:r>
    </w:p>
    <w:p w:rsidR="00274D4E" w:rsidRDefault="00B5732B">
      <w:pPr>
        <w:pStyle w:val="af8"/>
        <w:numPr>
          <w:ilvl w:val="0"/>
          <w:numId w:val="51"/>
        </w:numPr>
      </w:pPr>
      <w:r>
        <w:rPr>
          <w:rFonts w:hint="eastAsia"/>
        </w:rPr>
        <w:t>数据采集时出现信号中断情况，需重新采集或补测；</w:t>
      </w:r>
    </w:p>
    <w:p w:rsidR="00274D4E" w:rsidRDefault="00B5732B">
      <w:pPr>
        <w:pStyle w:val="af8"/>
        <w:numPr>
          <w:ilvl w:val="0"/>
          <w:numId w:val="51"/>
        </w:numPr>
      </w:pPr>
      <w:r>
        <w:rPr>
          <w:rFonts w:hint="eastAsia"/>
        </w:rPr>
        <w:t>数据剖面上出现连续2道及以上的坏道，或出现某通道无图像时，应重测；</w:t>
      </w:r>
    </w:p>
    <w:p w:rsidR="00274D4E" w:rsidRDefault="00B5732B">
      <w:pPr>
        <w:pStyle w:val="af8"/>
        <w:numPr>
          <w:ilvl w:val="0"/>
          <w:numId w:val="51"/>
        </w:numPr>
      </w:pPr>
      <w:r>
        <w:rPr>
          <w:rFonts w:hint="eastAsia"/>
        </w:rPr>
        <w:t>数据采集应覆盖整个检测区域，有效信号强度应满足设计要求；</w:t>
      </w:r>
    </w:p>
    <w:p w:rsidR="00274D4E" w:rsidRDefault="00B5732B">
      <w:pPr>
        <w:pStyle w:val="af8"/>
        <w:numPr>
          <w:ilvl w:val="0"/>
          <w:numId w:val="51"/>
        </w:numPr>
      </w:pPr>
      <w:r>
        <w:rPr>
          <w:rFonts w:hint="eastAsia"/>
        </w:rPr>
        <w:t>在工作过程中，检测单位应进行100%的自检自查工作，视工作进度定期进行质量检查及资料审核，当原始资料不完整或质量不合格时，应及时进行补测或重测；</w:t>
      </w:r>
    </w:p>
    <w:p w:rsidR="00274D4E" w:rsidRDefault="00B5732B">
      <w:pPr>
        <w:pStyle w:val="af8"/>
        <w:numPr>
          <w:ilvl w:val="0"/>
          <w:numId w:val="51"/>
        </w:numPr>
      </w:pPr>
      <w:r>
        <w:rPr>
          <w:rFonts w:hint="eastAsia"/>
        </w:rPr>
        <w:t>测线束应与探地雷达图谱一一对应，且已知位置地物应与雷达图像上对应定位一致。</w:t>
      </w:r>
    </w:p>
    <w:p w:rsidR="00274D4E" w:rsidRDefault="00B5732B" w:rsidP="00754DE2">
      <w:pPr>
        <w:pStyle w:val="affe"/>
        <w:spacing w:before="156" w:after="156"/>
      </w:pPr>
      <w:bookmarkStart w:id="130" w:name="bookmark31"/>
      <w:bookmarkStart w:id="131" w:name="_Toc738"/>
      <w:bookmarkStart w:id="132" w:name="_Toc7621"/>
      <w:bookmarkStart w:id="133" w:name="_Toc19998"/>
      <w:bookmarkEnd w:id="130"/>
      <w:r>
        <w:rPr>
          <w:rFonts w:hint="eastAsia"/>
        </w:rPr>
        <w:t>数据处理与解释</w:t>
      </w:r>
      <w:bookmarkEnd w:id="131"/>
      <w:bookmarkEnd w:id="132"/>
      <w:bookmarkEnd w:id="133"/>
    </w:p>
    <w:p w:rsidR="00274D4E" w:rsidRDefault="00B5732B" w:rsidP="00754DE2">
      <w:pPr>
        <w:pStyle w:val="afff"/>
        <w:spacing w:before="156" w:after="156"/>
      </w:pPr>
      <w:bookmarkStart w:id="134" w:name="_Toc8580"/>
      <w:bookmarkStart w:id="135" w:name="_Toc30724"/>
      <w:r>
        <w:rPr>
          <w:rFonts w:hint="eastAsia"/>
        </w:rPr>
        <w:t>数据处理</w:t>
      </w:r>
      <w:bookmarkEnd w:id="134"/>
      <w:bookmarkEnd w:id="135"/>
    </w:p>
    <w:p w:rsidR="00274D4E" w:rsidRDefault="00B5732B">
      <w:pPr>
        <w:pStyle w:val="affffffffc"/>
      </w:pPr>
      <w:r>
        <w:rPr>
          <w:rFonts w:hint="eastAsia"/>
        </w:rPr>
        <w:t>雷达</w:t>
      </w:r>
      <w:r>
        <w:t>数据处理应符合以下要求：</w:t>
      </w:r>
    </w:p>
    <w:p w:rsidR="00274D4E" w:rsidRDefault="00B5732B">
      <w:pPr>
        <w:pStyle w:val="af8"/>
        <w:numPr>
          <w:ilvl w:val="0"/>
          <w:numId w:val="52"/>
        </w:numPr>
      </w:pPr>
      <w:r>
        <w:rPr>
          <w:rFonts w:hint="eastAsia"/>
        </w:rPr>
        <w:t>异常</w:t>
      </w:r>
      <w:r>
        <w:t>位置标记准确、无误；</w:t>
      </w:r>
    </w:p>
    <w:p w:rsidR="00274D4E" w:rsidRDefault="00B5732B">
      <w:pPr>
        <w:pStyle w:val="af8"/>
        <w:numPr>
          <w:ilvl w:val="0"/>
          <w:numId w:val="52"/>
        </w:numPr>
      </w:pPr>
      <w:r>
        <w:t>信号处理不失真；</w:t>
      </w:r>
    </w:p>
    <w:p w:rsidR="00274D4E" w:rsidRDefault="00B5732B">
      <w:pPr>
        <w:pStyle w:val="af8"/>
        <w:numPr>
          <w:ilvl w:val="0"/>
          <w:numId w:val="52"/>
        </w:numPr>
      </w:pPr>
      <w:r>
        <w:t>结构分层准确；</w:t>
      </w:r>
    </w:p>
    <w:p w:rsidR="00274D4E" w:rsidRDefault="00B5732B">
      <w:pPr>
        <w:pStyle w:val="af8"/>
        <w:numPr>
          <w:ilvl w:val="0"/>
          <w:numId w:val="52"/>
        </w:numPr>
      </w:pPr>
      <w:r>
        <w:t>图像清晰易辨识。</w:t>
      </w:r>
    </w:p>
    <w:p w:rsidR="00274D4E" w:rsidRDefault="00B5732B">
      <w:pPr>
        <w:pStyle w:val="affffffffc"/>
        <w:rPr>
          <w:rFonts w:hAnsi="宋体" w:cs="宋体"/>
          <w:szCs w:val="21"/>
        </w:rPr>
      </w:pPr>
      <w:r>
        <w:rPr>
          <w:rFonts w:hAnsi="宋体" w:cs="宋体" w:hint="eastAsia"/>
          <w:szCs w:val="21"/>
        </w:rPr>
        <w:t>探地雷达</w:t>
      </w:r>
      <w:r>
        <w:rPr>
          <w:rFonts w:hint="eastAsia"/>
        </w:rPr>
        <w:t>数据处理</w:t>
      </w:r>
      <w:r>
        <w:rPr>
          <w:rFonts w:hAnsi="宋体" w:cs="宋体" w:hint="eastAsia"/>
          <w:szCs w:val="21"/>
        </w:rPr>
        <w:t>应根据数据特征和处理方法的适用性按照表1的规定选择处理方法。</w:t>
      </w:r>
    </w:p>
    <w:p w:rsidR="00274D4E" w:rsidRDefault="00B5732B" w:rsidP="00754DE2">
      <w:pPr>
        <w:pStyle w:val="aff2"/>
        <w:spacing w:before="156" w:after="156"/>
      </w:pPr>
      <w:r>
        <w:rPr>
          <w:rFonts w:hint="eastAsia"/>
        </w:rPr>
        <w:t>数据处理方法</w:t>
      </w:r>
    </w:p>
    <w:tbl>
      <w:tblPr>
        <w:tblStyle w:val="affff4"/>
        <w:tblW w:w="8707"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19"/>
        <w:gridCol w:w="1588"/>
        <w:gridCol w:w="6000"/>
      </w:tblGrid>
      <w:tr w:rsidR="00274D4E">
        <w:trPr>
          <w:tblHeader/>
          <w:jc w:val="center"/>
        </w:trPr>
        <w:tc>
          <w:tcPr>
            <w:tcW w:w="1119" w:type="dxa"/>
            <w:tcBorders>
              <w:bottom w:val="single" w:sz="8" w:space="0" w:color="auto"/>
            </w:tcBorders>
            <w:vAlign w:val="center"/>
          </w:tcPr>
          <w:p w:rsidR="00274D4E" w:rsidRDefault="00B5732B">
            <w:pPr>
              <w:pStyle w:val="afffb"/>
              <w:spacing w:line="240" w:lineRule="auto"/>
              <w:jc w:val="center"/>
              <w:rPr>
                <w:rFonts w:ascii="宋体" w:eastAsia="宋体" w:hAnsi="宋体" w:cs="宋体"/>
                <w:sz w:val="18"/>
              </w:rPr>
            </w:pPr>
            <w:r>
              <w:rPr>
                <w:rFonts w:ascii="宋体" w:eastAsia="宋体" w:hAnsi="宋体" w:cs="宋体" w:hint="eastAsia"/>
                <w:b/>
                <w:bCs/>
                <w:sz w:val="18"/>
                <w:szCs w:val="18"/>
              </w:rPr>
              <w:t>序号</w:t>
            </w:r>
          </w:p>
        </w:tc>
        <w:tc>
          <w:tcPr>
            <w:tcW w:w="1588" w:type="dxa"/>
            <w:tcBorders>
              <w:bottom w:val="single" w:sz="8" w:space="0" w:color="auto"/>
            </w:tcBorders>
            <w:vAlign w:val="center"/>
          </w:tcPr>
          <w:p w:rsidR="00274D4E" w:rsidRDefault="00B5732B">
            <w:pPr>
              <w:pStyle w:val="afffb"/>
              <w:spacing w:line="240" w:lineRule="auto"/>
              <w:jc w:val="center"/>
              <w:rPr>
                <w:rFonts w:ascii="宋体" w:eastAsia="宋体" w:hAnsi="宋体" w:cs="宋体"/>
                <w:sz w:val="18"/>
              </w:rPr>
            </w:pPr>
            <w:r>
              <w:rPr>
                <w:rFonts w:ascii="宋体" w:eastAsia="宋体" w:hAnsi="宋体" w:cs="宋体" w:hint="eastAsia"/>
                <w:b/>
                <w:bCs/>
                <w:sz w:val="18"/>
                <w:szCs w:val="18"/>
              </w:rPr>
              <w:t>处理方法</w:t>
            </w:r>
          </w:p>
        </w:tc>
        <w:tc>
          <w:tcPr>
            <w:tcW w:w="6000" w:type="dxa"/>
            <w:tcBorders>
              <w:bottom w:val="single" w:sz="8" w:space="0" w:color="auto"/>
            </w:tcBorders>
            <w:vAlign w:val="center"/>
          </w:tcPr>
          <w:p w:rsidR="00274D4E" w:rsidRDefault="00B5732B">
            <w:pPr>
              <w:pStyle w:val="afffb"/>
              <w:spacing w:line="240" w:lineRule="auto"/>
              <w:jc w:val="center"/>
              <w:rPr>
                <w:rFonts w:ascii="宋体" w:eastAsia="宋体" w:hAnsi="宋体" w:cs="宋体"/>
                <w:sz w:val="18"/>
              </w:rPr>
            </w:pPr>
            <w:r>
              <w:rPr>
                <w:rFonts w:ascii="宋体" w:eastAsia="宋体" w:hAnsi="宋体" w:cs="宋体" w:hint="eastAsia"/>
                <w:b/>
                <w:bCs/>
                <w:sz w:val="18"/>
                <w:szCs w:val="18"/>
              </w:rPr>
              <w:t>处理方法适用性</w:t>
            </w:r>
          </w:p>
        </w:tc>
      </w:tr>
      <w:tr w:rsidR="00274D4E">
        <w:trPr>
          <w:trHeight w:val="624"/>
          <w:jc w:val="center"/>
        </w:trPr>
        <w:tc>
          <w:tcPr>
            <w:tcW w:w="1119" w:type="dxa"/>
            <w:tcBorders>
              <w:top w:val="single" w:sz="8" w:space="0" w:color="auto"/>
            </w:tcBorders>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1</w:t>
            </w:r>
          </w:p>
        </w:tc>
        <w:tc>
          <w:tcPr>
            <w:tcW w:w="1588" w:type="dxa"/>
            <w:tcBorders>
              <w:top w:val="single" w:sz="8" w:space="0" w:color="auto"/>
            </w:tcBorders>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静校正</w:t>
            </w:r>
          </w:p>
        </w:tc>
        <w:tc>
          <w:tcPr>
            <w:tcW w:w="6000" w:type="dxa"/>
            <w:tcBorders>
              <w:top w:val="single" w:sz="8" w:space="0" w:color="auto"/>
            </w:tcBorders>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切除天线到路面之间的无效电磁信号，使各通道深度位置相同</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lastRenderedPageBreak/>
              <w:t>2</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零偏去除</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去除探地雷达设备产生的固有直流低频分量，还原天线接收信号</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3</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增益</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采用合适的增益曲线补偿检测介质衰减，凸显检测目标信号，增强图谱特征</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4</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背景去除</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去除探地雷达数据中耦合脉冲、表面反射、系统震铃效应等无效信号，消除图像固定位置的横向震荡条纹</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5</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带通滤波</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宜选择带通滤波方式，滤除雷达数据中非主要频段信号及噪声，凸显主要频段信号，通常截取天线主频的（1/4</w:t>
            </w:r>
            <w:r>
              <w:rPr>
                <w:rFonts w:ascii="Times New Roman" w:hAnsi="Times New Roman"/>
                <w:sz w:val="18"/>
                <w:szCs w:val="18"/>
              </w:rPr>
              <w:t>~</w:t>
            </w:r>
            <w:r>
              <w:rPr>
                <w:rFonts w:ascii="宋体" w:hAnsi="宋体" w:cs="宋体" w:hint="eastAsia"/>
                <w:sz w:val="18"/>
                <w:szCs w:val="18"/>
              </w:rPr>
              <w:t>2）倍作为有效频率</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6</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滑动平均</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通过多道数据叠加平均处理，减小雷达数据中随机噪声干扰</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7</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反褶积</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去除或减小信号传播时与路面结构相互作用导致的信号模糊和扩散，提高图像分辨率、还原检测目标信息</w:t>
            </w:r>
          </w:p>
        </w:tc>
      </w:tr>
      <w:tr w:rsidR="00274D4E">
        <w:trPr>
          <w:trHeight w:val="624"/>
          <w:jc w:val="center"/>
        </w:trPr>
        <w:tc>
          <w:tcPr>
            <w:tcW w:w="1119"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8</w:t>
            </w:r>
          </w:p>
        </w:tc>
        <w:tc>
          <w:tcPr>
            <w:tcW w:w="1588"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偏移归位</w:t>
            </w:r>
          </w:p>
        </w:tc>
        <w:tc>
          <w:tcPr>
            <w:tcW w:w="6000" w:type="dxa"/>
            <w:vAlign w:val="center"/>
          </w:tcPr>
          <w:p w:rsidR="00274D4E" w:rsidRDefault="00B5732B">
            <w:pPr>
              <w:pStyle w:val="afffd"/>
              <w:widowControl/>
              <w:autoSpaceDE w:val="0"/>
              <w:autoSpaceDN w:val="0"/>
              <w:spacing w:after="0" w:line="240" w:lineRule="auto"/>
              <w:jc w:val="center"/>
              <w:rPr>
                <w:rFonts w:ascii="宋体" w:hAnsi="宋体" w:cs="宋体"/>
                <w:sz w:val="18"/>
              </w:rPr>
            </w:pPr>
            <w:r>
              <w:rPr>
                <w:rFonts w:ascii="宋体" w:hAnsi="宋体" w:cs="宋体" w:hint="eastAsia"/>
                <w:sz w:val="18"/>
                <w:szCs w:val="18"/>
              </w:rPr>
              <w:t>确定反射界面真实位置，还原检测目标尺寸</w:t>
            </w:r>
          </w:p>
        </w:tc>
      </w:tr>
    </w:tbl>
    <w:p w:rsidR="00274D4E" w:rsidRDefault="00B5732B">
      <w:pPr>
        <w:pStyle w:val="affffffffc"/>
      </w:pPr>
      <w:r>
        <w:t>数据处理结束后，应</w:t>
      </w:r>
      <w:r>
        <w:rPr>
          <w:rFonts w:hint="eastAsia"/>
        </w:rPr>
        <w:t>进行探地雷达数据检查，</w:t>
      </w:r>
      <w:r>
        <w:t>均匀、随机抽取检测路段内不少于20%的</w:t>
      </w:r>
      <w:r>
        <w:rPr>
          <w:rFonts w:hint="eastAsia"/>
        </w:rPr>
        <w:t>探地</w:t>
      </w:r>
      <w:r>
        <w:t>雷达图像进行</w:t>
      </w:r>
      <w:r>
        <w:rPr>
          <w:rFonts w:hint="eastAsia"/>
        </w:rPr>
        <w:t>检查</w:t>
      </w:r>
      <w:r>
        <w:t>，如</w:t>
      </w:r>
      <w:r>
        <w:rPr>
          <w:rFonts w:hint="eastAsia"/>
        </w:rPr>
        <w:t>未达到本文件6.3.1</w:t>
      </w:r>
      <w:r>
        <w:t>.2</w:t>
      </w:r>
      <w:r>
        <w:rPr>
          <w:rFonts w:hint="eastAsia"/>
        </w:rPr>
        <w:t>条规定数据处理效果，应重新进行数据处理。</w:t>
      </w:r>
    </w:p>
    <w:p w:rsidR="00274D4E" w:rsidRDefault="00B5732B" w:rsidP="00754DE2">
      <w:pPr>
        <w:pStyle w:val="afff"/>
        <w:spacing w:before="156" w:after="156"/>
      </w:pPr>
      <w:bookmarkStart w:id="136" w:name="_Toc14140"/>
      <w:r>
        <w:rPr>
          <w:rFonts w:hint="eastAsia"/>
        </w:rPr>
        <w:t>数据解释</w:t>
      </w:r>
      <w:bookmarkEnd w:id="136"/>
    </w:p>
    <w:p w:rsidR="00274D4E" w:rsidRDefault="00B5732B">
      <w:pPr>
        <w:pStyle w:val="affffffffc"/>
      </w:pPr>
      <w:r>
        <w:rPr>
          <w:rFonts w:hint="eastAsia"/>
        </w:rPr>
        <w:t>数据解释流程应符合</w:t>
      </w:r>
      <w:r>
        <w:t xml:space="preserve">参照 </w:t>
      </w:r>
      <w:r>
        <w:rPr>
          <w:rFonts w:hint="eastAsia"/>
        </w:rPr>
        <w:t>JGJ/T 437规定，并应满足以下要求：</w:t>
      </w:r>
    </w:p>
    <w:p w:rsidR="00274D4E" w:rsidRDefault="00B5732B">
      <w:pPr>
        <w:pStyle w:val="af8"/>
        <w:numPr>
          <w:ilvl w:val="0"/>
          <w:numId w:val="53"/>
        </w:numPr>
      </w:pPr>
      <w:r>
        <w:t>应结合检测路段的设计和养护资料；</w:t>
      </w:r>
    </w:p>
    <w:p w:rsidR="00274D4E" w:rsidRDefault="00B5732B">
      <w:pPr>
        <w:pStyle w:val="af8"/>
        <w:numPr>
          <w:ilvl w:val="0"/>
          <w:numId w:val="53"/>
        </w:numPr>
      </w:pPr>
      <w:r>
        <w:t>数据应提高信号的信噪比，突出有效反射波；</w:t>
      </w:r>
    </w:p>
    <w:p w:rsidR="00274D4E" w:rsidRDefault="00B5732B">
      <w:pPr>
        <w:pStyle w:val="af8"/>
        <w:numPr>
          <w:ilvl w:val="0"/>
          <w:numId w:val="53"/>
        </w:numPr>
      </w:pPr>
      <w:r>
        <w:t>分析可能存在的干扰</w:t>
      </w:r>
      <w:r>
        <w:rPr>
          <w:rFonts w:hint="eastAsia"/>
        </w:rPr>
        <w:t>源</w:t>
      </w:r>
      <w:r>
        <w:t>位置与</w:t>
      </w:r>
      <w:r>
        <w:rPr>
          <w:rFonts w:hint="eastAsia"/>
        </w:rPr>
        <w:t>探地</w:t>
      </w:r>
      <w:r>
        <w:t>雷达检测数据中异常信号的关系，区分有效异常和干扰异常；</w:t>
      </w:r>
    </w:p>
    <w:p w:rsidR="00274D4E" w:rsidRDefault="00B5732B">
      <w:pPr>
        <w:pStyle w:val="af8"/>
        <w:numPr>
          <w:ilvl w:val="0"/>
          <w:numId w:val="53"/>
        </w:numPr>
      </w:pPr>
      <w:r>
        <w:t>追索</w:t>
      </w:r>
      <w:r>
        <w:rPr>
          <w:rFonts w:hint="eastAsia"/>
        </w:rPr>
        <w:t>探地</w:t>
      </w:r>
      <w:r>
        <w:t>雷达图像上反射波同相轴的展布，对发生间断、错动、分叉、明显弯曲</w:t>
      </w:r>
      <w:r>
        <w:rPr>
          <w:rFonts w:hint="eastAsia"/>
        </w:rPr>
        <w:t>或</w:t>
      </w:r>
      <w:r>
        <w:t>反射波振幅明显变化的图像进行分析。</w:t>
      </w:r>
    </w:p>
    <w:p w:rsidR="00274D4E" w:rsidRDefault="00B5732B">
      <w:pPr>
        <w:pStyle w:val="affffffffc"/>
      </w:pPr>
      <w:r>
        <w:rPr>
          <w:rFonts w:hint="eastAsia"/>
        </w:rPr>
        <w:t>道路结构层病害识别可按照表2中规定方法进行判定，典型结构层病害特征图谱参见附录C。</w:t>
      </w:r>
    </w:p>
    <w:p w:rsidR="00274D4E" w:rsidRDefault="00B5732B" w:rsidP="00754DE2">
      <w:pPr>
        <w:pStyle w:val="aff2"/>
        <w:spacing w:before="156" w:after="156"/>
      </w:pPr>
      <w:r>
        <w:rPr>
          <w:rFonts w:hint="eastAsia"/>
        </w:rPr>
        <w:t>道路结构层病害探地雷达图谱特征</w:t>
      </w:r>
    </w:p>
    <w:tbl>
      <w:tblPr>
        <w:tblStyle w:val="TableNormal"/>
        <w:tblW w:w="8302" w:type="dxa"/>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Look w:val="04A0" w:firstRow="1" w:lastRow="0" w:firstColumn="1" w:lastColumn="0" w:noHBand="0" w:noVBand="1"/>
      </w:tblPr>
      <w:tblGrid>
        <w:gridCol w:w="1181"/>
        <w:gridCol w:w="1411"/>
        <w:gridCol w:w="5710"/>
      </w:tblGrid>
      <w:tr w:rsidR="00274D4E">
        <w:trPr>
          <w:trHeight w:val="170"/>
          <w:jc w:val="center"/>
        </w:trPr>
        <w:tc>
          <w:tcPr>
            <w:tcW w:w="1181" w:type="dxa"/>
            <w:vAlign w:val="center"/>
          </w:tcPr>
          <w:p w:rsidR="00274D4E" w:rsidRDefault="00B5732B">
            <w:pPr>
              <w:pStyle w:val="afffb"/>
              <w:jc w:val="center"/>
              <w:rPr>
                <w:rFonts w:ascii="宋体" w:eastAsia="宋体" w:hAnsi="宋体" w:cs="宋体"/>
                <w:b/>
                <w:bCs/>
                <w:sz w:val="18"/>
                <w:szCs w:val="18"/>
              </w:rPr>
            </w:pPr>
            <w:r>
              <w:rPr>
                <w:rFonts w:ascii="宋体" w:eastAsia="宋体" w:hAnsi="宋体" w:cs="宋体" w:hint="eastAsia"/>
                <w:b/>
                <w:bCs/>
                <w:sz w:val="18"/>
                <w:szCs w:val="18"/>
              </w:rPr>
              <w:t>病害类型</w:t>
            </w:r>
          </w:p>
        </w:tc>
        <w:tc>
          <w:tcPr>
            <w:tcW w:w="1411" w:type="dxa"/>
            <w:vAlign w:val="center"/>
          </w:tcPr>
          <w:p w:rsidR="00274D4E" w:rsidRDefault="00B5732B">
            <w:pPr>
              <w:pStyle w:val="afffb"/>
              <w:jc w:val="center"/>
              <w:rPr>
                <w:rFonts w:ascii="宋体" w:eastAsia="宋体" w:hAnsi="宋体" w:cs="宋体"/>
                <w:b/>
                <w:bCs/>
                <w:sz w:val="18"/>
                <w:szCs w:val="18"/>
              </w:rPr>
            </w:pPr>
            <w:r>
              <w:rPr>
                <w:rFonts w:ascii="宋体" w:eastAsia="宋体" w:hAnsi="宋体" w:cs="宋体" w:hint="eastAsia"/>
                <w:b/>
                <w:bCs/>
                <w:sz w:val="18"/>
                <w:szCs w:val="18"/>
              </w:rPr>
              <w:t>结构层位</w:t>
            </w:r>
          </w:p>
        </w:tc>
        <w:tc>
          <w:tcPr>
            <w:tcW w:w="5710" w:type="dxa"/>
            <w:vAlign w:val="center"/>
          </w:tcPr>
          <w:p w:rsidR="00274D4E" w:rsidRDefault="00B5732B">
            <w:pPr>
              <w:pStyle w:val="afffb"/>
              <w:jc w:val="center"/>
              <w:rPr>
                <w:rFonts w:ascii="宋体" w:eastAsia="宋体" w:hAnsi="宋体" w:cs="宋体"/>
                <w:b/>
                <w:bCs/>
                <w:sz w:val="18"/>
                <w:szCs w:val="18"/>
              </w:rPr>
            </w:pPr>
            <w:r>
              <w:rPr>
                <w:rFonts w:ascii="宋体" w:eastAsia="宋体" w:hAnsi="宋体" w:cs="宋体" w:hint="eastAsia"/>
                <w:b/>
                <w:bCs/>
                <w:sz w:val="18"/>
                <w:szCs w:val="18"/>
              </w:rPr>
              <w:t>探地雷达图谱特征</w:t>
            </w:r>
          </w:p>
        </w:tc>
      </w:tr>
      <w:tr w:rsidR="00274D4E">
        <w:trPr>
          <w:trHeight w:val="170"/>
          <w:jc w:val="center"/>
        </w:trPr>
        <w:tc>
          <w:tcPr>
            <w:tcW w:w="1181" w:type="dxa"/>
            <w:tcBorders>
              <w:bottom w:val="single" w:sz="4" w:space="0" w:color="000000"/>
            </w:tcBorders>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空洞</w:t>
            </w:r>
          </w:p>
        </w:tc>
        <w:tc>
          <w:tcPr>
            <w:tcW w:w="1411" w:type="dxa"/>
            <w:tcBorders>
              <w:bottom w:val="single" w:sz="4" w:space="0" w:color="000000"/>
            </w:tcBorders>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面层与基层</w:t>
            </w:r>
          </w:p>
        </w:tc>
        <w:tc>
          <w:tcPr>
            <w:tcW w:w="5710" w:type="dxa"/>
            <w:tcBorders>
              <w:bottom w:val="single" w:sz="4" w:space="0" w:color="000000"/>
            </w:tcBorders>
            <w:vAlign w:val="center"/>
          </w:tcPr>
          <w:p w:rsidR="00274D4E" w:rsidRDefault="00B5732B">
            <w:pPr>
              <w:spacing w:line="240" w:lineRule="auto"/>
              <w:rPr>
                <w:rFonts w:ascii="宋体" w:hAnsi="宋体" w:cs="宋体"/>
                <w:sz w:val="18"/>
                <w:szCs w:val="18"/>
              </w:rPr>
            </w:pPr>
            <w:r>
              <w:rPr>
                <w:rFonts w:ascii="宋体" w:hAnsi="宋体" w:cs="宋体" w:hint="eastAsia"/>
                <w:sz w:val="18"/>
                <w:szCs w:val="18"/>
              </w:rPr>
              <w:t>整体振幅强，同相轴不连续、出现高亮区域，高亮区域顶部相位与探地雷达发射波同相底部反向，表现为正向连续平板状形态，绕射波明显</w:t>
            </w:r>
          </w:p>
        </w:tc>
      </w:tr>
    </w:tbl>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br w:type="page"/>
      </w:r>
    </w:p>
    <w:p w:rsidR="00274D4E" w:rsidRDefault="00B5732B" w:rsidP="00754DE2">
      <w:pPr>
        <w:pStyle w:val="afffff1"/>
        <w:pageBreakBefore/>
        <w:spacing w:beforeLines="50" w:before="156" w:afterLines="50" w:after="156"/>
        <w:ind w:firstLineChars="0" w:firstLine="0"/>
        <w:jc w:val="center"/>
        <w:rPr>
          <w:rFonts w:hAnsi="宋体" w:cs="宋体"/>
        </w:rPr>
      </w:pPr>
      <w:r>
        <w:rPr>
          <w:rFonts w:ascii="黑体" w:eastAsia="黑体" w:hAnsi="黑体" w:cs="黑体" w:hint="eastAsia"/>
        </w:rPr>
        <w:lastRenderedPageBreak/>
        <w:t>表2  道路结构层病害</w:t>
      </w:r>
      <w:r>
        <w:rPr>
          <w:rFonts w:hint="eastAsia"/>
        </w:rPr>
        <w:t>探地</w:t>
      </w:r>
      <w:r>
        <w:rPr>
          <w:rFonts w:ascii="黑体" w:eastAsia="黑体" w:hAnsi="黑体" w:cs="黑体" w:hint="eastAsia"/>
        </w:rPr>
        <w:t>雷达图谱特征</w:t>
      </w:r>
      <w:r>
        <w:rPr>
          <w:rFonts w:hAnsi="宋体" w:cs="宋体" w:hint="eastAsia"/>
        </w:rPr>
        <w:t>（续）</w:t>
      </w:r>
    </w:p>
    <w:tbl>
      <w:tblPr>
        <w:tblStyle w:val="TableNormal"/>
        <w:tblW w:w="8302" w:type="dxa"/>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Look w:val="04A0" w:firstRow="1" w:lastRow="0" w:firstColumn="1" w:lastColumn="0" w:noHBand="0" w:noVBand="1"/>
      </w:tblPr>
      <w:tblGrid>
        <w:gridCol w:w="1526"/>
        <w:gridCol w:w="1396"/>
        <w:gridCol w:w="5380"/>
      </w:tblGrid>
      <w:tr w:rsidR="00274D4E">
        <w:trPr>
          <w:trHeight w:val="170"/>
          <w:jc w:val="center"/>
        </w:trPr>
        <w:tc>
          <w:tcPr>
            <w:tcW w:w="1526" w:type="dxa"/>
            <w:vAlign w:val="center"/>
          </w:tcPr>
          <w:p w:rsidR="00274D4E" w:rsidRDefault="00B5732B">
            <w:pPr>
              <w:pStyle w:val="afffb"/>
              <w:jc w:val="center"/>
              <w:rPr>
                <w:rFonts w:ascii="宋体" w:eastAsia="宋体" w:hAnsi="宋体" w:cs="宋体"/>
                <w:b/>
                <w:bCs/>
                <w:sz w:val="18"/>
                <w:szCs w:val="18"/>
              </w:rPr>
            </w:pPr>
            <w:r>
              <w:rPr>
                <w:rFonts w:ascii="宋体" w:eastAsia="宋体" w:hAnsi="宋体" w:cs="宋体" w:hint="eastAsia"/>
                <w:b/>
                <w:bCs/>
                <w:sz w:val="18"/>
                <w:szCs w:val="18"/>
              </w:rPr>
              <w:t>病害类型</w:t>
            </w:r>
          </w:p>
        </w:tc>
        <w:tc>
          <w:tcPr>
            <w:tcW w:w="1396" w:type="dxa"/>
            <w:vAlign w:val="center"/>
          </w:tcPr>
          <w:p w:rsidR="00274D4E" w:rsidRDefault="00B5732B">
            <w:pPr>
              <w:pStyle w:val="afffb"/>
              <w:jc w:val="center"/>
              <w:rPr>
                <w:rFonts w:ascii="宋体" w:eastAsia="宋体" w:hAnsi="宋体" w:cs="宋体"/>
                <w:b/>
                <w:bCs/>
                <w:sz w:val="18"/>
                <w:szCs w:val="18"/>
              </w:rPr>
            </w:pPr>
            <w:r>
              <w:rPr>
                <w:rFonts w:ascii="宋体" w:eastAsia="宋体" w:hAnsi="宋体" w:cs="宋体" w:hint="eastAsia"/>
                <w:b/>
                <w:bCs/>
                <w:sz w:val="18"/>
                <w:szCs w:val="18"/>
              </w:rPr>
              <w:t>结构层位</w:t>
            </w:r>
          </w:p>
        </w:tc>
        <w:tc>
          <w:tcPr>
            <w:tcW w:w="5380" w:type="dxa"/>
            <w:vAlign w:val="center"/>
          </w:tcPr>
          <w:p w:rsidR="00274D4E" w:rsidRDefault="00B5732B">
            <w:pPr>
              <w:pStyle w:val="afffb"/>
              <w:jc w:val="center"/>
              <w:rPr>
                <w:rFonts w:ascii="宋体" w:eastAsia="宋体" w:hAnsi="宋体" w:cs="宋体"/>
                <w:b/>
                <w:bCs/>
                <w:sz w:val="18"/>
                <w:szCs w:val="18"/>
              </w:rPr>
            </w:pPr>
            <w:r>
              <w:rPr>
                <w:rFonts w:ascii="宋体" w:eastAsia="宋体" w:hAnsi="宋体" w:cs="宋体" w:hint="eastAsia"/>
                <w:b/>
                <w:bCs/>
                <w:sz w:val="18"/>
                <w:szCs w:val="18"/>
              </w:rPr>
              <w:t>雷达图谱特征</w:t>
            </w:r>
          </w:p>
        </w:tc>
      </w:tr>
      <w:tr w:rsidR="00274D4E">
        <w:trPr>
          <w:trHeight w:val="170"/>
          <w:jc w:val="center"/>
        </w:trPr>
        <w:tc>
          <w:tcPr>
            <w:tcW w:w="1526" w:type="dxa"/>
            <w:tcBorders>
              <w:top w:val="single" w:sz="4" w:space="0" w:color="000000"/>
            </w:tcBorders>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脱空</w:t>
            </w:r>
          </w:p>
        </w:tc>
        <w:tc>
          <w:tcPr>
            <w:tcW w:w="1396" w:type="dxa"/>
            <w:tcBorders>
              <w:top w:val="single" w:sz="4" w:space="0" w:color="000000"/>
            </w:tcBorders>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面层与基层</w:t>
            </w:r>
          </w:p>
        </w:tc>
        <w:tc>
          <w:tcPr>
            <w:tcW w:w="5380" w:type="dxa"/>
            <w:tcBorders>
              <w:top w:val="single" w:sz="4" w:space="0" w:color="000000"/>
            </w:tcBorders>
            <w:vAlign w:val="center"/>
          </w:tcPr>
          <w:p w:rsidR="00274D4E" w:rsidRDefault="00B5732B">
            <w:pPr>
              <w:spacing w:line="240" w:lineRule="auto"/>
              <w:rPr>
                <w:rFonts w:ascii="宋体" w:hAnsi="宋体" w:cs="宋体"/>
                <w:sz w:val="18"/>
                <w:szCs w:val="18"/>
              </w:rPr>
            </w:pPr>
            <w:r>
              <w:rPr>
                <w:rFonts w:ascii="宋体" w:hAnsi="宋体" w:cs="宋体" w:hint="eastAsia"/>
                <w:sz w:val="18"/>
                <w:szCs w:val="18"/>
              </w:rPr>
              <w:t>整体振幅强，同相轴不连续、出现高亮区域，高亮区域顶部相位与雷达发射波同相底部反向，表现为似平板状形态，多次波明显</w:t>
            </w:r>
          </w:p>
        </w:tc>
      </w:tr>
      <w:tr w:rsidR="00274D4E">
        <w:trPr>
          <w:trHeight w:val="496"/>
          <w:jc w:val="center"/>
        </w:trPr>
        <w:tc>
          <w:tcPr>
            <w:tcW w:w="1526" w:type="dxa"/>
            <w:vMerge w:val="restart"/>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结构层裂缝</w:t>
            </w:r>
          </w:p>
        </w:tc>
        <w:tc>
          <w:tcPr>
            <w:tcW w:w="1396" w:type="dxa"/>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未贯穿面层</w:t>
            </w:r>
          </w:p>
        </w:tc>
        <w:tc>
          <w:tcPr>
            <w:tcW w:w="5380" w:type="dxa"/>
            <w:vMerge w:val="restart"/>
            <w:tcBorders>
              <w:bottom w:val="nil"/>
            </w:tcBorders>
            <w:vAlign w:val="center"/>
          </w:tcPr>
          <w:p w:rsidR="00274D4E" w:rsidRDefault="00B5732B">
            <w:pPr>
              <w:pStyle w:val="Style2"/>
              <w:adjustRightInd/>
              <w:spacing w:line="240" w:lineRule="auto"/>
              <w:ind w:firstLineChars="0" w:firstLine="0"/>
              <w:rPr>
                <w:rFonts w:ascii="宋体" w:hAnsi="宋体" w:cs="宋体"/>
                <w:sz w:val="18"/>
                <w:szCs w:val="18"/>
              </w:rPr>
            </w:pPr>
            <w:r>
              <w:rPr>
                <w:rFonts w:ascii="宋体" w:hAnsi="宋体" w:cs="宋体" w:hint="eastAsia"/>
                <w:sz w:val="18"/>
                <w:szCs w:val="18"/>
              </w:rPr>
              <w:t>雷达水平剖面图谱在面层或基层内部存在明显的一条区别于周围图谱的细长高亮条纹，属于结构性裂缝病害</w:t>
            </w:r>
          </w:p>
        </w:tc>
      </w:tr>
      <w:tr w:rsidR="00274D4E">
        <w:trPr>
          <w:trHeight w:val="170"/>
          <w:jc w:val="center"/>
        </w:trPr>
        <w:tc>
          <w:tcPr>
            <w:tcW w:w="1526" w:type="dxa"/>
            <w:vMerge/>
            <w:vAlign w:val="center"/>
          </w:tcPr>
          <w:p w:rsidR="00274D4E" w:rsidRDefault="00274D4E">
            <w:pPr>
              <w:pStyle w:val="Style2"/>
              <w:adjustRightInd/>
              <w:spacing w:line="240" w:lineRule="auto"/>
              <w:ind w:firstLineChars="0" w:firstLine="0"/>
              <w:jc w:val="center"/>
              <w:rPr>
                <w:rFonts w:ascii="宋体" w:hAnsi="宋体" w:cs="宋体"/>
                <w:sz w:val="18"/>
                <w:szCs w:val="18"/>
              </w:rPr>
            </w:pPr>
          </w:p>
        </w:tc>
        <w:tc>
          <w:tcPr>
            <w:tcW w:w="1396" w:type="dxa"/>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贯穿面层</w:t>
            </w:r>
          </w:p>
        </w:tc>
        <w:tc>
          <w:tcPr>
            <w:tcW w:w="5380" w:type="dxa"/>
            <w:vMerge/>
            <w:tcBorders>
              <w:top w:val="nil"/>
            </w:tcBorders>
            <w:vAlign w:val="center"/>
          </w:tcPr>
          <w:p w:rsidR="00274D4E" w:rsidRDefault="00274D4E">
            <w:pPr>
              <w:pStyle w:val="Style2"/>
              <w:adjustRightInd/>
              <w:spacing w:line="240" w:lineRule="auto"/>
              <w:ind w:firstLineChars="0" w:firstLine="0"/>
              <w:rPr>
                <w:rFonts w:ascii="宋体" w:hAnsi="宋体" w:cs="宋体"/>
                <w:sz w:val="18"/>
                <w:szCs w:val="18"/>
              </w:rPr>
            </w:pPr>
          </w:p>
        </w:tc>
      </w:tr>
      <w:tr w:rsidR="00274D4E">
        <w:trPr>
          <w:trHeight w:val="170"/>
          <w:jc w:val="center"/>
        </w:trPr>
        <w:tc>
          <w:tcPr>
            <w:tcW w:w="1526" w:type="dxa"/>
            <w:vMerge w:val="restart"/>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结构层松散</w:t>
            </w:r>
          </w:p>
        </w:tc>
        <w:tc>
          <w:tcPr>
            <w:tcW w:w="1396" w:type="dxa"/>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面层</w:t>
            </w:r>
          </w:p>
        </w:tc>
        <w:tc>
          <w:tcPr>
            <w:tcW w:w="5380" w:type="dxa"/>
            <w:vMerge w:val="restart"/>
            <w:tcBorders>
              <w:bottom w:val="nil"/>
            </w:tcBorders>
            <w:vAlign w:val="center"/>
          </w:tcPr>
          <w:p w:rsidR="00274D4E" w:rsidRDefault="00B5732B">
            <w:pPr>
              <w:pStyle w:val="Style2"/>
              <w:adjustRightInd/>
              <w:spacing w:line="240" w:lineRule="auto"/>
              <w:ind w:firstLineChars="0" w:firstLine="0"/>
              <w:rPr>
                <w:rFonts w:ascii="宋体" w:hAnsi="宋体" w:cs="宋体"/>
                <w:sz w:val="18"/>
                <w:szCs w:val="18"/>
              </w:rPr>
            </w:pPr>
            <w:r>
              <w:rPr>
                <w:rFonts w:ascii="宋体" w:hAnsi="宋体" w:cs="宋体" w:hint="eastAsia"/>
                <w:sz w:val="18"/>
                <w:szCs w:val="18"/>
              </w:rPr>
              <w:t>雷达纵剖面图谱在面层或基层结构层内部波形明显杂乱，面层与基层或者上下基层之间同相轴不连续、弯折，出现主相位与雷达反射波同相的高亮区域，属于结构层内部的松散、破碎</w:t>
            </w:r>
          </w:p>
        </w:tc>
      </w:tr>
      <w:tr w:rsidR="00274D4E">
        <w:trPr>
          <w:trHeight w:val="170"/>
          <w:jc w:val="center"/>
        </w:trPr>
        <w:tc>
          <w:tcPr>
            <w:tcW w:w="1526" w:type="dxa"/>
            <w:vMerge/>
            <w:vAlign w:val="center"/>
          </w:tcPr>
          <w:p w:rsidR="00274D4E" w:rsidRDefault="00274D4E">
            <w:pPr>
              <w:pStyle w:val="Style2"/>
              <w:adjustRightInd/>
              <w:ind w:firstLineChars="0" w:firstLine="0"/>
              <w:jc w:val="center"/>
              <w:rPr>
                <w:rFonts w:ascii="仿宋" w:eastAsia="仿宋" w:hAnsi="仿宋" w:cs="仿宋"/>
                <w:sz w:val="18"/>
                <w:szCs w:val="18"/>
              </w:rPr>
            </w:pPr>
          </w:p>
        </w:tc>
        <w:tc>
          <w:tcPr>
            <w:tcW w:w="1396" w:type="dxa"/>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上基层</w:t>
            </w:r>
          </w:p>
        </w:tc>
        <w:tc>
          <w:tcPr>
            <w:tcW w:w="5380" w:type="dxa"/>
            <w:vMerge/>
            <w:tcBorders>
              <w:top w:val="nil"/>
              <w:bottom w:val="nil"/>
            </w:tcBorders>
            <w:vAlign w:val="center"/>
          </w:tcPr>
          <w:p w:rsidR="00274D4E" w:rsidRDefault="00274D4E">
            <w:pPr>
              <w:pStyle w:val="Style2"/>
              <w:adjustRightInd/>
              <w:ind w:firstLineChars="0" w:firstLine="0"/>
              <w:jc w:val="center"/>
              <w:rPr>
                <w:rFonts w:ascii="仿宋" w:eastAsia="仿宋" w:hAnsi="仿宋" w:cs="仿宋"/>
                <w:sz w:val="18"/>
                <w:szCs w:val="18"/>
              </w:rPr>
            </w:pPr>
          </w:p>
        </w:tc>
      </w:tr>
      <w:tr w:rsidR="00274D4E">
        <w:trPr>
          <w:trHeight w:val="170"/>
          <w:jc w:val="center"/>
        </w:trPr>
        <w:tc>
          <w:tcPr>
            <w:tcW w:w="1526" w:type="dxa"/>
            <w:vMerge/>
            <w:vAlign w:val="center"/>
          </w:tcPr>
          <w:p w:rsidR="00274D4E" w:rsidRDefault="00274D4E">
            <w:pPr>
              <w:pStyle w:val="Style2"/>
              <w:adjustRightInd/>
              <w:ind w:firstLineChars="0" w:firstLine="0"/>
              <w:jc w:val="center"/>
              <w:rPr>
                <w:rFonts w:ascii="仿宋" w:eastAsia="仿宋" w:hAnsi="仿宋" w:cs="仿宋"/>
                <w:sz w:val="18"/>
                <w:szCs w:val="18"/>
              </w:rPr>
            </w:pPr>
          </w:p>
        </w:tc>
        <w:tc>
          <w:tcPr>
            <w:tcW w:w="1396" w:type="dxa"/>
            <w:vAlign w:val="center"/>
          </w:tcPr>
          <w:p w:rsidR="00274D4E" w:rsidRDefault="00B5732B">
            <w:pPr>
              <w:pStyle w:val="Style2"/>
              <w:adjustRightInd/>
              <w:spacing w:line="240" w:lineRule="auto"/>
              <w:ind w:firstLineChars="0" w:firstLine="0"/>
              <w:jc w:val="center"/>
              <w:rPr>
                <w:rFonts w:ascii="宋体" w:hAnsi="宋体" w:cs="宋体"/>
                <w:sz w:val="18"/>
                <w:szCs w:val="18"/>
              </w:rPr>
            </w:pPr>
            <w:r>
              <w:rPr>
                <w:rFonts w:ascii="宋体" w:hAnsi="宋体" w:cs="宋体" w:hint="eastAsia"/>
                <w:sz w:val="18"/>
                <w:szCs w:val="18"/>
              </w:rPr>
              <w:t>下基层</w:t>
            </w:r>
          </w:p>
        </w:tc>
        <w:tc>
          <w:tcPr>
            <w:tcW w:w="5380" w:type="dxa"/>
            <w:vMerge/>
            <w:tcBorders>
              <w:top w:val="nil"/>
            </w:tcBorders>
            <w:vAlign w:val="center"/>
          </w:tcPr>
          <w:p w:rsidR="00274D4E" w:rsidRDefault="00274D4E">
            <w:pPr>
              <w:pStyle w:val="Style2"/>
              <w:adjustRightInd/>
              <w:ind w:firstLineChars="0" w:firstLine="0"/>
              <w:jc w:val="center"/>
              <w:rPr>
                <w:rFonts w:ascii="仿宋" w:eastAsia="仿宋" w:hAnsi="仿宋" w:cs="仿宋"/>
                <w:sz w:val="18"/>
                <w:szCs w:val="18"/>
              </w:rPr>
            </w:pPr>
          </w:p>
        </w:tc>
      </w:tr>
    </w:tbl>
    <w:p w:rsidR="00274D4E" w:rsidRDefault="00274D4E">
      <w:pPr>
        <w:pStyle w:val="affffffffc"/>
        <w:numPr>
          <w:ilvl w:val="4"/>
          <w:numId w:val="0"/>
        </w:numPr>
      </w:pPr>
    </w:p>
    <w:p w:rsidR="00274D4E" w:rsidRDefault="00B5732B" w:rsidP="00754DE2">
      <w:pPr>
        <w:pStyle w:val="affd"/>
        <w:spacing w:before="312" w:after="312"/>
      </w:pPr>
      <w:bookmarkStart w:id="137" w:name="_Toc16132"/>
      <w:bookmarkStart w:id="138" w:name="_Toc20086"/>
      <w:bookmarkStart w:id="139" w:name="_Toc7787"/>
      <w:r>
        <w:rPr>
          <w:rFonts w:hint="eastAsia"/>
        </w:rPr>
        <w:t>路基土体坍塌病害检测</w:t>
      </w:r>
      <w:bookmarkEnd w:id="137"/>
      <w:bookmarkEnd w:id="138"/>
      <w:bookmarkEnd w:id="139"/>
    </w:p>
    <w:p w:rsidR="00274D4E" w:rsidRDefault="00B5732B" w:rsidP="00754DE2">
      <w:pPr>
        <w:pStyle w:val="affe"/>
        <w:spacing w:before="156" w:after="156"/>
      </w:pPr>
      <w:bookmarkStart w:id="140" w:name="_Toc14408"/>
      <w:r>
        <w:rPr>
          <w:rFonts w:hint="eastAsia"/>
        </w:rPr>
        <w:t>一般要求</w:t>
      </w:r>
      <w:bookmarkEnd w:id="140"/>
    </w:p>
    <w:p w:rsidR="00274D4E" w:rsidRDefault="00B5732B">
      <w:pPr>
        <w:pStyle w:val="affffffffd"/>
      </w:pPr>
      <w:r>
        <w:rPr>
          <w:rFonts w:hint="eastAsia"/>
        </w:rPr>
        <w:t>路基土体坍塌病害检测应采用探地雷达技术检测路基及土体中发育空洞、脱空、疏松体等病害发育特征，查明其属性和分布情况。</w:t>
      </w:r>
    </w:p>
    <w:p w:rsidR="00274D4E" w:rsidRDefault="00B5732B">
      <w:pPr>
        <w:pStyle w:val="affffffffd"/>
      </w:pPr>
      <w:r>
        <w:rPr>
          <w:rFonts w:hint="eastAsia"/>
        </w:rPr>
        <w:t>检测环境应参照6.1.2相关规定执行。</w:t>
      </w:r>
    </w:p>
    <w:p w:rsidR="00274D4E" w:rsidRDefault="00B5732B">
      <w:pPr>
        <w:pStyle w:val="affffffffd"/>
      </w:pPr>
      <w:r>
        <w:rPr>
          <w:rFonts w:hint="eastAsia"/>
        </w:rPr>
        <w:t>应根据现场环境条件和工作目的，合理选择二维或三维探地雷达法，必要时应综合二维和三维探地雷达法进行综合检测。</w:t>
      </w:r>
    </w:p>
    <w:p w:rsidR="00274D4E" w:rsidRDefault="00B5732B">
      <w:pPr>
        <w:pStyle w:val="affffffffd"/>
      </w:pPr>
      <w:r>
        <w:rPr>
          <w:rFonts w:hint="eastAsia"/>
        </w:rPr>
        <w:t>检测区域内地面不宜存在大范围金属构件，大范围高导电屏蔽层或较强电磁干扰，检测区域若有上述情形，应准确记录干扰源的类型、位置、分布等信息，记录格式见附录B。</w:t>
      </w:r>
    </w:p>
    <w:p w:rsidR="00274D4E" w:rsidRDefault="00B5732B">
      <w:pPr>
        <w:pStyle w:val="affffffffd"/>
      </w:pPr>
      <w:r>
        <w:rPr>
          <w:rFonts w:hint="eastAsia"/>
        </w:rPr>
        <w:t>在检测过程中，当发现危险性较大的路基土体坍塌病害时，应及时通报相关单位。</w:t>
      </w:r>
    </w:p>
    <w:p w:rsidR="00274D4E" w:rsidRDefault="00B5732B">
      <w:pPr>
        <w:pStyle w:val="affffffffd"/>
      </w:pPr>
      <w:r>
        <w:rPr>
          <w:rFonts w:hint="eastAsia"/>
        </w:rPr>
        <w:t>道路路基土体病害检测中，出现下列情况时应注重现场巡视与调查工作：</w:t>
      </w:r>
    </w:p>
    <w:p w:rsidR="00274D4E" w:rsidRDefault="00B5732B">
      <w:pPr>
        <w:pStyle w:val="af8"/>
        <w:numPr>
          <w:ilvl w:val="0"/>
          <w:numId w:val="54"/>
        </w:numPr>
      </w:pPr>
      <w:r>
        <w:t>发现路面裂缝、沉降、坍塌等异常区域，结合地下介质情况分析，为探地雷达检测和数据分析重点提供依据；</w:t>
      </w:r>
    </w:p>
    <w:p w:rsidR="00274D4E" w:rsidRDefault="00B5732B">
      <w:pPr>
        <w:pStyle w:val="af8"/>
        <w:numPr>
          <w:ilvl w:val="0"/>
          <w:numId w:val="54"/>
        </w:numPr>
      </w:pPr>
      <w:r>
        <w:t>应注重对异常区域内地下结构物、地下管线、地下工程施工等资料进行调查和分析；</w:t>
      </w:r>
    </w:p>
    <w:p w:rsidR="00274D4E" w:rsidRDefault="00B5732B">
      <w:pPr>
        <w:pStyle w:val="af8"/>
        <w:numPr>
          <w:ilvl w:val="0"/>
          <w:numId w:val="54"/>
        </w:numPr>
      </w:pPr>
      <w:r>
        <w:t>针对查明的</w:t>
      </w:r>
      <w:r>
        <w:rPr>
          <w:rFonts w:hint="eastAsia"/>
        </w:rPr>
        <w:t>路基土体病害</w:t>
      </w:r>
      <w:r>
        <w:t>，在进行处置之前宜按相关要求定期开展现场巡视，对上方地面变形情况进行记录，对于已处置区域，宜进行处置效果巡视。</w:t>
      </w:r>
    </w:p>
    <w:p w:rsidR="00274D4E" w:rsidRDefault="00B5732B" w:rsidP="00754DE2">
      <w:pPr>
        <w:pStyle w:val="affe"/>
        <w:spacing w:before="156" w:after="156"/>
      </w:pPr>
      <w:bookmarkStart w:id="141" w:name="_Toc2351"/>
      <w:bookmarkStart w:id="142" w:name="_Toc25380"/>
      <w:bookmarkStart w:id="143" w:name="_Toc28359"/>
      <w:r>
        <w:rPr>
          <w:rFonts w:hint="eastAsia"/>
        </w:rPr>
        <w:t>现场数据采集</w:t>
      </w:r>
      <w:bookmarkEnd w:id="141"/>
      <w:bookmarkEnd w:id="142"/>
      <w:bookmarkEnd w:id="143"/>
    </w:p>
    <w:p w:rsidR="00274D4E" w:rsidRDefault="00B5732B">
      <w:pPr>
        <w:pStyle w:val="affffffffd"/>
      </w:pPr>
      <w:r>
        <w:rPr>
          <w:rFonts w:hint="eastAsia"/>
        </w:rPr>
        <w:t>探地雷达测线、测网布设方案，除应符合JGJ/T 437的相关规定外，还应根据检测区域分布特点和现场检测条件等因素，并符合下列规定：</w:t>
      </w:r>
    </w:p>
    <w:p w:rsidR="00274D4E" w:rsidRDefault="00B5732B">
      <w:pPr>
        <w:pStyle w:val="af8"/>
        <w:numPr>
          <w:ilvl w:val="0"/>
          <w:numId w:val="55"/>
        </w:numPr>
      </w:pPr>
      <w:r>
        <w:rPr>
          <w:rFonts w:hint="eastAsia"/>
        </w:rPr>
        <w:t>测线长度和测网密度满足检测范围全覆盖的要求；</w:t>
      </w:r>
    </w:p>
    <w:p w:rsidR="00274D4E" w:rsidRDefault="00B5732B">
      <w:pPr>
        <w:pStyle w:val="af8"/>
        <w:numPr>
          <w:ilvl w:val="0"/>
          <w:numId w:val="55"/>
        </w:numPr>
      </w:pPr>
      <w:r>
        <w:rPr>
          <w:rFonts w:hint="eastAsia"/>
        </w:rPr>
        <w:t>测线长度保证检测目标的完整，并具有足够的背景场；</w:t>
      </w:r>
    </w:p>
    <w:p w:rsidR="00274D4E" w:rsidRDefault="00B5732B">
      <w:pPr>
        <w:pStyle w:val="af8"/>
        <w:numPr>
          <w:ilvl w:val="0"/>
          <w:numId w:val="55"/>
        </w:numPr>
      </w:pPr>
      <w:r>
        <w:rPr>
          <w:rFonts w:hint="eastAsia"/>
        </w:rPr>
        <w:t>不同频率、不同设备的测线应大致重合，以便进行对比分析；</w:t>
      </w:r>
    </w:p>
    <w:p w:rsidR="00274D4E" w:rsidRDefault="00B5732B">
      <w:pPr>
        <w:pStyle w:val="af8"/>
        <w:numPr>
          <w:ilvl w:val="0"/>
          <w:numId w:val="55"/>
        </w:numPr>
      </w:pPr>
      <w:r>
        <w:rPr>
          <w:rFonts w:hint="eastAsia"/>
        </w:rPr>
        <w:t>测线沿机动车道、非机动车道或人行道行进方向布设；</w:t>
      </w:r>
    </w:p>
    <w:p w:rsidR="00274D4E" w:rsidRDefault="00B5732B">
      <w:pPr>
        <w:pStyle w:val="af8"/>
        <w:numPr>
          <w:ilvl w:val="0"/>
          <w:numId w:val="55"/>
        </w:numPr>
      </w:pPr>
      <w:r>
        <w:rPr>
          <w:rFonts w:hint="eastAsia"/>
        </w:rPr>
        <w:t>对局部重点区域或者地面坍塌事故应急检测时，应网格状布设测线，测线长度应外延至影响范围以外不少于10.0m；</w:t>
      </w:r>
    </w:p>
    <w:p w:rsidR="00274D4E" w:rsidRDefault="00B5732B">
      <w:pPr>
        <w:pStyle w:val="af8"/>
        <w:numPr>
          <w:ilvl w:val="0"/>
          <w:numId w:val="55"/>
        </w:numPr>
      </w:pPr>
      <w:r>
        <w:lastRenderedPageBreak/>
        <w:t>采用二维探地雷达法普查时，测线间距应根据天线中心频率确定，</w:t>
      </w:r>
      <w:r>
        <w:rPr>
          <w:rFonts w:hint="eastAsia"/>
        </w:rPr>
        <w:t>7</w:t>
      </w:r>
      <w:r>
        <w:t>0 MHz～200 MHz频率天线的测线间距不大于2.0m，高于200 MHz频率天线的测线间距不宜大于1.0 m；对局部</w:t>
      </w:r>
      <w:r>
        <w:rPr>
          <w:rFonts w:hint="eastAsia"/>
        </w:rPr>
        <w:t>病害</w:t>
      </w:r>
      <w:r>
        <w:t>进行复核时测线间距不大于1.0 m</w:t>
      </w:r>
      <w:r>
        <w:rPr>
          <w:rFonts w:hint="eastAsia"/>
        </w:rPr>
        <w:t>；</w:t>
      </w:r>
    </w:p>
    <w:p w:rsidR="00274D4E" w:rsidRDefault="00B5732B">
      <w:pPr>
        <w:pStyle w:val="af8"/>
        <w:numPr>
          <w:ilvl w:val="0"/>
          <w:numId w:val="55"/>
        </w:numPr>
      </w:pPr>
      <w:r>
        <w:t>采用三维探地雷达普查时，根据阵列天线宽度设计测线间距</w:t>
      </w:r>
      <w:r>
        <w:rPr>
          <w:rFonts w:hint="eastAsia"/>
        </w:rPr>
        <w:t>，</w:t>
      </w:r>
      <w:r>
        <w:t>进行全覆盖检测。</w:t>
      </w:r>
    </w:p>
    <w:p w:rsidR="00274D4E" w:rsidRDefault="00B5732B">
      <w:pPr>
        <w:pStyle w:val="affffffffd"/>
      </w:pPr>
      <w:r>
        <w:rPr>
          <w:rFonts w:hint="eastAsia"/>
        </w:rPr>
        <w:t>在路基土体病害检测中，参数设置除应参照 JGJ/T 437 相关规定外，还应符合以下要求：</w:t>
      </w:r>
    </w:p>
    <w:p w:rsidR="00274D4E" w:rsidRDefault="00B5732B">
      <w:pPr>
        <w:pStyle w:val="af8"/>
        <w:numPr>
          <w:ilvl w:val="0"/>
          <w:numId w:val="56"/>
        </w:numPr>
      </w:pPr>
      <w:r>
        <w:t>数据采集前应针对不同的工程环境条件，选择典型区域开展有效性试验和参数调试，确定天线主频、介电常数、扫描率、记录时窗、增益等有效工作参数；</w:t>
      </w:r>
    </w:p>
    <w:p w:rsidR="00274D4E" w:rsidRDefault="00B5732B">
      <w:pPr>
        <w:pStyle w:val="af8"/>
        <w:numPr>
          <w:ilvl w:val="0"/>
          <w:numId w:val="56"/>
        </w:numPr>
      </w:pPr>
      <w:r>
        <w:rPr>
          <w:rFonts w:hint="eastAsia"/>
        </w:rPr>
        <w:t>记录时窗根据最大检测深度和地下介质的电磁波传播速度确定，按公式（1）计算：</w:t>
      </w:r>
    </w:p>
    <w:p w:rsidR="00274D4E" w:rsidRDefault="00B5732B">
      <w:pPr>
        <w:pStyle w:val="af8"/>
        <w:numPr>
          <w:ilvl w:val="0"/>
          <w:numId w:val="56"/>
        </w:numPr>
      </w:pPr>
      <w:r>
        <w:t>信号的增益使信号幅值不超出信号监视窗口的3/4，且使信号削波部分不超过全剖面5%；</w:t>
      </w:r>
    </w:p>
    <w:p w:rsidR="00274D4E" w:rsidRDefault="00B5732B">
      <w:pPr>
        <w:pStyle w:val="af8"/>
        <w:numPr>
          <w:ilvl w:val="0"/>
          <w:numId w:val="56"/>
        </w:numPr>
      </w:pPr>
      <w:r>
        <w:t>采样率不低于所采用天线主频的10倍；</w:t>
      </w:r>
    </w:p>
    <w:p w:rsidR="00274D4E" w:rsidRDefault="00B5732B">
      <w:pPr>
        <w:pStyle w:val="af8"/>
        <w:numPr>
          <w:ilvl w:val="0"/>
          <w:numId w:val="56"/>
        </w:numPr>
      </w:pPr>
      <w:r>
        <w:t>普查时道间距不大于5.0cm，详查时道间距不大于2.5cm；</w:t>
      </w:r>
    </w:p>
    <w:p w:rsidR="00274D4E" w:rsidRDefault="00B5732B">
      <w:pPr>
        <w:pStyle w:val="af8"/>
        <w:numPr>
          <w:ilvl w:val="0"/>
          <w:numId w:val="56"/>
        </w:numPr>
      </w:pPr>
      <w:r>
        <w:t>采用点测时，结合检测深度和精度等因素，测点间距不大于20cm。</w:t>
      </w:r>
    </w:p>
    <w:p w:rsidR="00274D4E" w:rsidRDefault="00B5732B">
      <w:pPr>
        <w:pStyle w:val="affffffffd"/>
      </w:pPr>
      <w:r>
        <w:rPr>
          <w:rFonts w:hint="eastAsia"/>
        </w:rPr>
        <w:t>二维探地雷达</w:t>
      </w:r>
      <w:r>
        <w:t>数据采集</w:t>
      </w:r>
      <w:r>
        <w:rPr>
          <w:rFonts w:hint="eastAsia"/>
        </w:rPr>
        <w:t>应</w:t>
      </w:r>
      <w:r>
        <w:t>符合下列规定：</w:t>
      </w:r>
    </w:p>
    <w:p w:rsidR="00274D4E" w:rsidRDefault="00B5732B">
      <w:pPr>
        <w:pStyle w:val="af8"/>
        <w:numPr>
          <w:ilvl w:val="0"/>
          <w:numId w:val="57"/>
        </w:numPr>
      </w:pPr>
      <w:r>
        <w:t>针对深度较大目标体检测时应选择低频天线；对于重点异常区域检测宜采用多种频率天线组合。</w:t>
      </w:r>
    </w:p>
    <w:p w:rsidR="00274D4E" w:rsidRDefault="00B5732B">
      <w:pPr>
        <w:pStyle w:val="af8"/>
        <w:numPr>
          <w:ilvl w:val="0"/>
          <w:numId w:val="57"/>
        </w:numPr>
      </w:pPr>
      <w:r>
        <w:t>采用低于200MHz频率天线时，移动速度不宜大于10km/h；采用200MHz~400MHz频率天线时，移动速度不宜大于20km/h ；</w:t>
      </w:r>
    </w:p>
    <w:p w:rsidR="00274D4E" w:rsidRDefault="00B5732B">
      <w:pPr>
        <w:pStyle w:val="af8"/>
        <w:numPr>
          <w:ilvl w:val="0"/>
          <w:numId w:val="57"/>
        </w:numPr>
      </w:pPr>
      <w:r>
        <w:t>采用距离测量控制模式采集时，检测前应对测距装置进行标定，人工测试时标定距离不小于20m，车载检测时标定距离不小于200m，取3次标定的平均值作为最终标定值；</w:t>
      </w:r>
    </w:p>
    <w:p w:rsidR="00274D4E" w:rsidRDefault="00B5732B">
      <w:pPr>
        <w:pStyle w:val="af8"/>
        <w:numPr>
          <w:ilvl w:val="0"/>
          <w:numId w:val="57"/>
        </w:numPr>
      </w:pPr>
      <w:r>
        <w:t>在数据采集过程中，应根据干扰情况、图像效果等调整采集参数；</w:t>
      </w:r>
    </w:p>
    <w:p w:rsidR="00274D4E" w:rsidRDefault="00B5732B">
      <w:pPr>
        <w:pStyle w:val="af8"/>
        <w:numPr>
          <w:ilvl w:val="0"/>
          <w:numId w:val="57"/>
        </w:numPr>
      </w:pPr>
      <w:r>
        <w:t>天线的移动速度应均匀，并与仪器的扫描率相匹配</w:t>
      </w:r>
      <w:r>
        <w:rPr>
          <w:rFonts w:hint="eastAsia"/>
        </w:rPr>
        <w:t>，保证</w:t>
      </w:r>
      <w:r>
        <w:t>采集数据不丢道</w:t>
      </w:r>
      <w:r>
        <w:rPr>
          <w:rFonts w:hint="eastAsia"/>
        </w:rPr>
        <w:t>并</w:t>
      </w:r>
      <w:r>
        <w:t>符合水平分辨率的要求；</w:t>
      </w:r>
    </w:p>
    <w:p w:rsidR="00274D4E" w:rsidRDefault="00B5732B">
      <w:pPr>
        <w:pStyle w:val="af8"/>
        <w:numPr>
          <w:ilvl w:val="0"/>
          <w:numId w:val="57"/>
        </w:numPr>
      </w:pPr>
      <w:r>
        <w:t>为减少测线定位、定距的误差，单条测线的长度宜控制在1000m以内；</w:t>
      </w:r>
    </w:p>
    <w:p w:rsidR="00274D4E" w:rsidRDefault="00B5732B">
      <w:pPr>
        <w:pStyle w:val="af8"/>
        <w:numPr>
          <w:ilvl w:val="0"/>
          <w:numId w:val="57"/>
        </w:numPr>
      </w:pPr>
      <w:r>
        <w:t>点测时，应在天线静止时采集数据，当使用收发分离天线点测时，调整天线间距以使采集的信号最强，可采用垂直叠加采集方式提高信号的信噪比；</w:t>
      </w:r>
    </w:p>
    <w:p w:rsidR="00274D4E" w:rsidRDefault="00B5732B">
      <w:pPr>
        <w:pStyle w:val="af8"/>
        <w:numPr>
          <w:ilvl w:val="0"/>
          <w:numId w:val="57"/>
        </w:numPr>
      </w:pPr>
      <w:r>
        <w:t>数据剖面上不应出现连续的白道现象；</w:t>
      </w:r>
    </w:p>
    <w:p w:rsidR="00274D4E" w:rsidRDefault="00B5732B">
      <w:pPr>
        <w:pStyle w:val="af8"/>
        <w:numPr>
          <w:ilvl w:val="0"/>
          <w:numId w:val="57"/>
        </w:numPr>
      </w:pPr>
      <w:r>
        <w:t>应及时标记出现信号异常的位置，并分析异常原因，必要时进行复核；</w:t>
      </w:r>
    </w:p>
    <w:p w:rsidR="00274D4E" w:rsidRDefault="00B5732B">
      <w:pPr>
        <w:pStyle w:val="af8"/>
        <w:numPr>
          <w:ilvl w:val="0"/>
          <w:numId w:val="57"/>
        </w:numPr>
      </w:pPr>
      <w:r>
        <w:t>当检测区域局部不满足检测条件时，应记录其位置和范围，待具备检测条件后补充检测</w:t>
      </w:r>
      <w:r>
        <w:rPr>
          <w:rFonts w:hint="eastAsia"/>
        </w:rPr>
        <w:t>，记录格式见附录B。</w:t>
      </w:r>
    </w:p>
    <w:p w:rsidR="00274D4E" w:rsidRDefault="00B5732B">
      <w:pPr>
        <w:pStyle w:val="affffffffd"/>
      </w:pPr>
      <w:r>
        <w:t>三维</w:t>
      </w:r>
      <w:r>
        <w:rPr>
          <w:rFonts w:hint="eastAsia"/>
        </w:rPr>
        <w:t>探地</w:t>
      </w:r>
      <w:r>
        <w:t>雷达在进行数据采集时，除应符合本</w:t>
      </w:r>
      <w:r>
        <w:rPr>
          <w:rFonts w:hint="eastAsia"/>
        </w:rPr>
        <w:t>文件</w:t>
      </w:r>
      <w:r>
        <w:t>第</w:t>
      </w:r>
      <w:r>
        <w:rPr>
          <w:rFonts w:hint="eastAsia"/>
        </w:rPr>
        <w:t>7.2.3条</w:t>
      </w:r>
      <w:r>
        <w:t>的相关规定外，还应</w:t>
      </w:r>
      <w:r>
        <w:rPr>
          <w:rFonts w:hint="eastAsia"/>
        </w:rPr>
        <w:t>符合以下要求：</w:t>
      </w:r>
    </w:p>
    <w:p w:rsidR="00274D4E" w:rsidRDefault="00B5732B">
      <w:pPr>
        <w:pStyle w:val="af8"/>
        <w:numPr>
          <w:ilvl w:val="0"/>
          <w:numId w:val="58"/>
        </w:numPr>
      </w:pPr>
      <w:r>
        <w:rPr>
          <w:rFonts w:hint="eastAsia"/>
        </w:rPr>
        <w:t>数据采集速度应不大于60 km/h；</w:t>
      </w:r>
    </w:p>
    <w:p w:rsidR="00274D4E" w:rsidRDefault="00B5732B">
      <w:pPr>
        <w:pStyle w:val="af8"/>
        <w:numPr>
          <w:ilvl w:val="0"/>
          <w:numId w:val="58"/>
        </w:numPr>
      </w:pPr>
      <w:r>
        <w:t>保证各通道工作一致性</w:t>
      </w:r>
      <w:r>
        <w:rPr>
          <w:rFonts w:hint="eastAsia"/>
        </w:rPr>
        <w:t>；</w:t>
      </w:r>
    </w:p>
    <w:p w:rsidR="00274D4E" w:rsidRDefault="00B5732B">
      <w:pPr>
        <w:pStyle w:val="af8"/>
        <w:numPr>
          <w:ilvl w:val="0"/>
          <w:numId w:val="58"/>
        </w:numPr>
      </w:pPr>
      <w:r>
        <w:t>数据采集与测线定位应同步，探地雷达数据、测量定位数据之间具有直接对应关系</w:t>
      </w:r>
      <w:r>
        <w:rPr>
          <w:rFonts w:hint="eastAsia"/>
        </w:rPr>
        <w:t>；</w:t>
      </w:r>
    </w:p>
    <w:p w:rsidR="00274D4E" w:rsidRDefault="00B5732B">
      <w:pPr>
        <w:pStyle w:val="af8"/>
        <w:numPr>
          <w:ilvl w:val="0"/>
          <w:numId w:val="58"/>
        </w:numPr>
      </w:pPr>
      <w:r>
        <w:t>数据</w:t>
      </w:r>
      <w:r>
        <w:rPr>
          <w:rFonts w:hint="eastAsia"/>
        </w:rPr>
        <w:t>采集</w:t>
      </w:r>
      <w:r>
        <w:t>过程中如果定位测量信号较差时，宜在测线束的起止点、测线转弯点、地面明显变形异常点等关键点位采用</w:t>
      </w:r>
      <w:r>
        <w:rPr>
          <w:rFonts w:hint="eastAsia"/>
        </w:rPr>
        <w:t>其他</w:t>
      </w:r>
      <w:r>
        <w:t>方式进行定位测量</w:t>
      </w:r>
      <w:r>
        <w:rPr>
          <w:rFonts w:hint="eastAsia"/>
        </w:rPr>
        <w:t>。</w:t>
      </w:r>
    </w:p>
    <w:p w:rsidR="00274D4E" w:rsidRDefault="00B5732B">
      <w:pPr>
        <w:pStyle w:val="affffffffd"/>
      </w:pPr>
      <w:r>
        <w:rPr>
          <w:rFonts w:hint="eastAsia"/>
        </w:rPr>
        <w:t>数据质量检查和评价参照6.2.4进行。</w:t>
      </w:r>
    </w:p>
    <w:p w:rsidR="00274D4E" w:rsidRDefault="00B5732B" w:rsidP="00754DE2">
      <w:pPr>
        <w:pStyle w:val="affe"/>
        <w:spacing w:before="156" w:after="156"/>
      </w:pPr>
      <w:bookmarkStart w:id="144" w:name="_Toc10738"/>
      <w:bookmarkStart w:id="145" w:name="_Toc25813"/>
      <w:bookmarkStart w:id="146" w:name="_Toc1320"/>
      <w:bookmarkStart w:id="147" w:name="_Toc109141854"/>
      <w:r>
        <w:rPr>
          <w:rFonts w:hint="eastAsia"/>
        </w:rPr>
        <w:t>测线定位与测量</w:t>
      </w:r>
      <w:bookmarkEnd w:id="144"/>
      <w:bookmarkEnd w:id="145"/>
      <w:bookmarkEnd w:id="146"/>
      <w:bookmarkEnd w:id="147"/>
    </w:p>
    <w:p w:rsidR="00274D4E" w:rsidRDefault="00B5732B">
      <w:pPr>
        <w:pStyle w:val="affffffffd"/>
      </w:pPr>
      <w:r>
        <w:t>关于测线、测点</w:t>
      </w:r>
      <w:r>
        <w:rPr>
          <w:rFonts w:hint="eastAsia"/>
        </w:rPr>
        <w:t>和路基土体坍塌病害</w:t>
      </w:r>
      <w:r>
        <w:t>的定位测量精度和方法应满足</w:t>
      </w:r>
      <w:r>
        <w:rPr>
          <w:rFonts w:hint="eastAsia"/>
        </w:rPr>
        <w:t>JGJ/T 437和CJJ/T 8</w:t>
      </w:r>
      <w:r>
        <w:t>的相关规定。</w:t>
      </w:r>
    </w:p>
    <w:p w:rsidR="00274D4E" w:rsidRDefault="00B5732B">
      <w:pPr>
        <w:pStyle w:val="affffffffd"/>
      </w:pPr>
      <w:r>
        <w:t>车载</w:t>
      </w:r>
      <w:r>
        <w:rPr>
          <w:rFonts w:hint="eastAsia"/>
        </w:rPr>
        <w:t>探地雷达</w:t>
      </w:r>
      <w:r>
        <w:t>检测时宜优先采用实时定位的方式，当采用</w:t>
      </w:r>
      <w:r>
        <w:rPr>
          <w:rFonts w:hint="eastAsia"/>
        </w:rPr>
        <w:t>RTK</w:t>
      </w:r>
      <w:r>
        <w:t>进行测线轨迹定位时，</w:t>
      </w:r>
      <w:r>
        <w:rPr>
          <w:rFonts w:hint="eastAsia"/>
        </w:rPr>
        <w:t>宜</w:t>
      </w:r>
      <w:r>
        <w:t>合理设置基准站，并应进行定点测量验证。</w:t>
      </w:r>
    </w:p>
    <w:p w:rsidR="00274D4E" w:rsidRDefault="00B5732B">
      <w:pPr>
        <w:pStyle w:val="afff3"/>
      </w:pPr>
      <w:r>
        <w:rPr>
          <w:rFonts w:hint="eastAsia"/>
        </w:rPr>
        <w:lastRenderedPageBreak/>
        <w:t>RTK(Real - time kinematic)载波相位差分技术。</w:t>
      </w:r>
    </w:p>
    <w:p w:rsidR="00274D4E" w:rsidRDefault="00B5732B">
      <w:pPr>
        <w:pStyle w:val="affffffffd"/>
      </w:pPr>
      <w:r>
        <w:t>当数据采集过程中</w:t>
      </w:r>
      <w:r>
        <w:rPr>
          <w:rFonts w:hint="eastAsia"/>
        </w:rPr>
        <w:t>GNSS信号</w:t>
      </w:r>
      <w:r>
        <w:t>较差时，测量结果不能满足测量精度时，宜选择全站仪、井盖、路灯和已知管线等地物校核测线位置。</w:t>
      </w:r>
    </w:p>
    <w:p w:rsidR="00274D4E" w:rsidRDefault="00B5732B">
      <w:pPr>
        <w:pStyle w:val="affffffffd"/>
      </w:pPr>
      <w:r>
        <w:t>当</w:t>
      </w:r>
      <w:r>
        <w:rPr>
          <w:rFonts w:hint="eastAsia"/>
        </w:rPr>
        <w:t>采用</w:t>
      </w:r>
      <w:r>
        <w:t>单点定位测量时，应对测线的起止点、基点、转折点、异常点、地形突变点以及其他重要的点位进行定位测量。</w:t>
      </w:r>
    </w:p>
    <w:p w:rsidR="00274D4E" w:rsidRDefault="00B5732B">
      <w:pPr>
        <w:pStyle w:val="affffffffd"/>
      </w:pPr>
      <w:r>
        <w:t>室内数据分析及现场异常复核时，宜利用测区内已知位置的井盖、路灯或管线等明显地物的雷达标志图像校核测线定位。</w:t>
      </w:r>
    </w:p>
    <w:p w:rsidR="00274D4E" w:rsidRDefault="00B5732B">
      <w:pPr>
        <w:pStyle w:val="affffffffd"/>
      </w:pPr>
      <w:r>
        <w:t>需要测量的测网控制基点应联测测量控制点，其点位和高程测量精度应符合</w:t>
      </w:r>
      <w:r>
        <w:rPr>
          <w:rFonts w:hint="eastAsia"/>
        </w:rPr>
        <w:t>CJJ/T 8的</w:t>
      </w:r>
      <w:r>
        <w:t>要求。</w:t>
      </w:r>
    </w:p>
    <w:p w:rsidR="00274D4E" w:rsidRDefault="00B5732B" w:rsidP="00754DE2">
      <w:pPr>
        <w:pStyle w:val="affe"/>
        <w:spacing w:before="156" w:after="156"/>
      </w:pPr>
      <w:bookmarkStart w:id="148" w:name="_Toc21376"/>
      <w:bookmarkStart w:id="149" w:name="_Toc4843"/>
      <w:bookmarkStart w:id="150" w:name="_Toc1463"/>
      <w:r>
        <w:rPr>
          <w:rFonts w:hint="eastAsia"/>
        </w:rPr>
        <w:t>数据处理与解释</w:t>
      </w:r>
      <w:bookmarkEnd w:id="148"/>
      <w:bookmarkEnd w:id="149"/>
      <w:bookmarkEnd w:id="150"/>
    </w:p>
    <w:p w:rsidR="00274D4E" w:rsidRDefault="00B5732B" w:rsidP="00754DE2">
      <w:pPr>
        <w:pStyle w:val="afff"/>
        <w:spacing w:before="156" w:after="156"/>
      </w:pPr>
      <w:bookmarkStart w:id="151" w:name="_Toc14013"/>
      <w:r>
        <w:rPr>
          <w:rFonts w:hint="eastAsia"/>
        </w:rPr>
        <w:t>数据处理</w:t>
      </w:r>
      <w:bookmarkEnd w:id="151"/>
    </w:p>
    <w:p w:rsidR="00274D4E" w:rsidRDefault="00B5732B">
      <w:pPr>
        <w:pStyle w:val="affffffffc"/>
      </w:pPr>
      <w:r>
        <w:rPr>
          <w:rFonts w:hint="eastAsia"/>
        </w:rPr>
        <w:t>数据处理应满足以下要求：</w:t>
      </w:r>
    </w:p>
    <w:p w:rsidR="00274D4E" w:rsidRDefault="00B5732B">
      <w:pPr>
        <w:pStyle w:val="af8"/>
        <w:numPr>
          <w:ilvl w:val="0"/>
          <w:numId w:val="59"/>
        </w:numPr>
      </w:pPr>
      <w:r>
        <w:rPr>
          <w:rFonts w:hint="eastAsia"/>
        </w:rPr>
        <w:t>开展处理的探地雷达数据应为质量检查合格的数据；</w:t>
      </w:r>
    </w:p>
    <w:p w:rsidR="00274D4E" w:rsidRDefault="00B5732B">
      <w:pPr>
        <w:pStyle w:val="af8"/>
        <w:numPr>
          <w:ilvl w:val="0"/>
          <w:numId w:val="59"/>
        </w:numPr>
      </w:pPr>
      <w:r>
        <w:rPr>
          <w:rFonts w:hint="eastAsia"/>
        </w:rPr>
        <w:t>数据处理应以压制干扰、提升信噪比、突出异常信息及高保真为目标，防止探地雷达数据信号产生畸变；</w:t>
      </w:r>
    </w:p>
    <w:p w:rsidR="00274D4E" w:rsidRDefault="00B5732B">
      <w:pPr>
        <w:pStyle w:val="af8"/>
        <w:numPr>
          <w:ilvl w:val="0"/>
          <w:numId w:val="59"/>
        </w:numPr>
      </w:pPr>
      <w:r>
        <w:rPr>
          <w:rFonts w:hint="eastAsia"/>
        </w:rPr>
        <w:t>在处理过程中应辨识干扰源，排除虚假异常；</w:t>
      </w:r>
    </w:p>
    <w:p w:rsidR="00274D4E" w:rsidRDefault="00B5732B">
      <w:pPr>
        <w:pStyle w:val="af8"/>
        <w:numPr>
          <w:ilvl w:val="0"/>
          <w:numId w:val="59"/>
        </w:numPr>
      </w:pPr>
      <w:r>
        <w:rPr>
          <w:rFonts w:hint="eastAsia"/>
        </w:rPr>
        <w:t>探地雷达数据处理涵盖数据预处理、常规处理、高级处理及可视化处理等环节。</w:t>
      </w:r>
    </w:p>
    <w:p w:rsidR="00274D4E" w:rsidRDefault="00B5732B">
      <w:pPr>
        <w:pStyle w:val="affffffffc"/>
      </w:pPr>
      <w:r>
        <w:rPr>
          <w:rFonts w:hint="eastAsia"/>
        </w:rPr>
        <w:t>探地</w:t>
      </w:r>
      <w:r>
        <w:t>雷达检测的数据预处理</w:t>
      </w:r>
      <w:r>
        <w:rPr>
          <w:rFonts w:hint="eastAsia"/>
        </w:rPr>
        <w:t>应</w:t>
      </w:r>
      <w:r>
        <w:t>符合下列规定：</w:t>
      </w:r>
    </w:p>
    <w:p w:rsidR="00274D4E" w:rsidRDefault="00B5732B">
      <w:pPr>
        <w:pStyle w:val="af8"/>
        <w:numPr>
          <w:ilvl w:val="0"/>
          <w:numId w:val="60"/>
        </w:numPr>
      </w:pPr>
      <w:r>
        <w:rPr>
          <w:rFonts w:hint="eastAsia"/>
        </w:rPr>
        <w:t>自由连续采集的数据进行水平距离归一化处理；</w:t>
      </w:r>
    </w:p>
    <w:p w:rsidR="00274D4E" w:rsidRDefault="00B5732B">
      <w:pPr>
        <w:pStyle w:val="af8"/>
        <w:numPr>
          <w:ilvl w:val="0"/>
          <w:numId w:val="60"/>
        </w:numPr>
      </w:pPr>
      <w:r>
        <w:rPr>
          <w:rFonts w:hint="eastAsia"/>
        </w:rPr>
        <w:t>增益调整时曲线不得出现拐点，应保持数据的相对振幅关系及动力学特征；</w:t>
      </w:r>
    </w:p>
    <w:p w:rsidR="00274D4E" w:rsidRDefault="00B5732B">
      <w:pPr>
        <w:pStyle w:val="af8"/>
        <w:numPr>
          <w:ilvl w:val="0"/>
          <w:numId w:val="60"/>
        </w:numPr>
      </w:pPr>
      <w:r>
        <w:rPr>
          <w:rFonts w:hint="eastAsia"/>
        </w:rPr>
        <w:t>预处理应进行位置和距离校正，删除无用道；</w:t>
      </w:r>
    </w:p>
    <w:p w:rsidR="00274D4E" w:rsidRDefault="00B5732B">
      <w:pPr>
        <w:pStyle w:val="af8"/>
        <w:numPr>
          <w:ilvl w:val="0"/>
          <w:numId w:val="60"/>
        </w:numPr>
      </w:pPr>
      <w:r>
        <w:rPr>
          <w:rFonts w:hint="eastAsia"/>
        </w:rPr>
        <w:t>零点校正确定地面反射点的位置。</w:t>
      </w:r>
    </w:p>
    <w:p w:rsidR="00274D4E" w:rsidRDefault="00B5732B">
      <w:pPr>
        <w:pStyle w:val="affffffffc"/>
        <w:rPr>
          <w:rFonts w:ascii="Times New Roman"/>
          <w:bCs/>
        </w:rPr>
      </w:pPr>
      <w:r>
        <w:rPr>
          <w:rFonts w:ascii="Times New Roman"/>
        </w:rPr>
        <w:t>二维</w:t>
      </w:r>
      <w:r>
        <w:rPr>
          <w:rFonts w:ascii="Times New Roman" w:hint="eastAsia"/>
          <w:bCs/>
        </w:rPr>
        <w:t>探地雷达</w:t>
      </w:r>
      <w:r>
        <w:rPr>
          <w:rFonts w:ascii="Times New Roman"/>
          <w:bCs/>
        </w:rPr>
        <w:t>数据处理方法宜根据数据质量及</w:t>
      </w:r>
      <w:r>
        <w:rPr>
          <w:rFonts w:ascii="Times New Roman" w:hint="eastAsia"/>
          <w:bCs/>
        </w:rPr>
        <w:t>解释</w:t>
      </w:r>
      <w:r>
        <w:rPr>
          <w:rFonts w:ascii="Times New Roman"/>
          <w:bCs/>
        </w:rPr>
        <w:t>要求确定，并符合下列规定：</w:t>
      </w:r>
    </w:p>
    <w:p w:rsidR="00274D4E" w:rsidRDefault="00B5732B">
      <w:pPr>
        <w:pStyle w:val="af8"/>
        <w:numPr>
          <w:ilvl w:val="0"/>
          <w:numId w:val="61"/>
        </w:numPr>
      </w:pPr>
      <w:r>
        <w:rPr>
          <w:rFonts w:hint="eastAsia"/>
        </w:rPr>
        <w:t>根据数据处理的目的可选取增益调整、频率滤波、反褶积、偏移归位、空间滤波、数据平滑等常规处理方法；</w:t>
      </w:r>
    </w:p>
    <w:p w:rsidR="00274D4E" w:rsidRDefault="00B5732B">
      <w:pPr>
        <w:pStyle w:val="af8"/>
        <w:numPr>
          <w:ilvl w:val="0"/>
          <w:numId w:val="61"/>
        </w:numPr>
      </w:pPr>
      <w:r>
        <w:rPr>
          <w:rFonts w:hint="eastAsia"/>
        </w:rPr>
        <w:t>在数据处理各阶段可应用频率滤波方法，消除某一频段的干扰波；</w:t>
      </w:r>
    </w:p>
    <w:p w:rsidR="00274D4E" w:rsidRDefault="00B5732B">
      <w:pPr>
        <w:pStyle w:val="af8"/>
        <w:numPr>
          <w:ilvl w:val="0"/>
          <w:numId w:val="61"/>
        </w:numPr>
      </w:pPr>
      <w:r>
        <w:rPr>
          <w:rFonts w:hint="eastAsia"/>
        </w:rPr>
        <w:t>当反射信号弱、信噪比低时不宜对数据进行反褶积、偏移归位处理；</w:t>
      </w:r>
    </w:p>
    <w:p w:rsidR="00274D4E" w:rsidRDefault="00B5732B">
      <w:pPr>
        <w:pStyle w:val="af8"/>
        <w:numPr>
          <w:ilvl w:val="0"/>
          <w:numId w:val="61"/>
        </w:numPr>
      </w:pPr>
      <w:r>
        <w:rPr>
          <w:rFonts w:hint="eastAsia"/>
        </w:rPr>
        <w:t>可用反褶积压制多次反射波干扰，反射子波选择最小相位子波；</w:t>
      </w:r>
    </w:p>
    <w:p w:rsidR="00274D4E" w:rsidRDefault="00B5732B">
      <w:pPr>
        <w:pStyle w:val="af8"/>
        <w:numPr>
          <w:ilvl w:val="0"/>
          <w:numId w:val="61"/>
        </w:numPr>
      </w:pPr>
      <w:r>
        <w:rPr>
          <w:rFonts w:hint="eastAsia"/>
        </w:rPr>
        <w:t>可采用空间滤波的有效道叠加或道间差方法，提高异常信号的连续性、独立性和可解释性；</w:t>
      </w:r>
    </w:p>
    <w:p w:rsidR="00274D4E" w:rsidRDefault="00B5732B">
      <w:pPr>
        <w:pStyle w:val="af8"/>
        <w:numPr>
          <w:ilvl w:val="0"/>
          <w:numId w:val="61"/>
        </w:numPr>
      </w:pPr>
      <w:r>
        <w:rPr>
          <w:rFonts w:hint="eastAsia"/>
        </w:rPr>
        <w:t>可采用平滑数据的点平均法消除信号中的高频干扰，参与计算的点数最大值小于采样率与低通频率之比；</w:t>
      </w:r>
    </w:p>
    <w:p w:rsidR="00274D4E" w:rsidRDefault="00B5732B">
      <w:pPr>
        <w:pStyle w:val="af8"/>
        <w:numPr>
          <w:ilvl w:val="0"/>
          <w:numId w:val="61"/>
        </w:numPr>
      </w:pPr>
      <w:r>
        <w:rPr>
          <w:rFonts w:hint="eastAsia"/>
        </w:rPr>
        <w:t>若改变反射信号的振幅特征时宜完成其他方法处理后进行。</w:t>
      </w:r>
    </w:p>
    <w:p w:rsidR="00274D4E" w:rsidRDefault="00B5732B">
      <w:pPr>
        <w:pStyle w:val="affffffffc"/>
      </w:pPr>
      <w:r>
        <w:t>三维</w:t>
      </w:r>
      <w:r>
        <w:rPr>
          <w:rFonts w:hint="eastAsia"/>
        </w:rPr>
        <w:t>探地雷达</w:t>
      </w:r>
      <w:r>
        <w:t>数据处理除满</w:t>
      </w:r>
      <w:r>
        <w:rPr>
          <w:rFonts w:hint="eastAsia"/>
        </w:rPr>
        <w:t>足第7.4.1.3条</w:t>
      </w:r>
      <w:r>
        <w:t>的规定外，并符合下列规定：</w:t>
      </w:r>
    </w:p>
    <w:p w:rsidR="00274D4E" w:rsidRDefault="00B5732B">
      <w:pPr>
        <w:pStyle w:val="af8"/>
        <w:numPr>
          <w:ilvl w:val="0"/>
          <w:numId w:val="62"/>
        </w:numPr>
      </w:pPr>
      <w:r>
        <w:rPr>
          <w:rFonts w:hint="eastAsia"/>
        </w:rPr>
        <w:t>图像显示的色标调整以突出有效异常体为目的，达到最佳视觉效果；</w:t>
      </w:r>
    </w:p>
    <w:p w:rsidR="00274D4E" w:rsidRDefault="00B5732B">
      <w:pPr>
        <w:pStyle w:val="af8"/>
        <w:numPr>
          <w:ilvl w:val="0"/>
          <w:numId w:val="62"/>
        </w:numPr>
      </w:pPr>
      <w:r>
        <w:rPr>
          <w:rFonts w:hint="eastAsia"/>
        </w:rPr>
        <w:t>滤波前对数据进行频谱分析，得到较为准确的频率分布范围；</w:t>
      </w:r>
    </w:p>
    <w:p w:rsidR="00274D4E" w:rsidRDefault="00B5732B">
      <w:pPr>
        <w:pStyle w:val="af8"/>
        <w:numPr>
          <w:ilvl w:val="0"/>
          <w:numId w:val="62"/>
        </w:numPr>
      </w:pPr>
      <w:r>
        <w:rPr>
          <w:rFonts w:hint="eastAsia"/>
        </w:rPr>
        <w:t>偏移处理时，使绕射波收敛，无画弧现象。</w:t>
      </w:r>
    </w:p>
    <w:p w:rsidR="00274D4E" w:rsidRDefault="00B5732B" w:rsidP="00754DE2">
      <w:pPr>
        <w:pStyle w:val="afff"/>
        <w:spacing w:before="156" w:after="156"/>
      </w:pPr>
      <w:bookmarkStart w:id="152" w:name="_Toc8171"/>
      <w:r>
        <w:rPr>
          <w:rFonts w:hint="eastAsia"/>
        </w:rPr>
        <w:t>数据解释</w:t>
      </w:r>
      <w:bookmarkEnd w:id="152"/>
    </w:p>
    <w:p w:rsidR="00274D4E" w:rsidRDefault="00B5732B">
      <w:pPr>
        <w:pStyle w:val="affffffffc"/>
        <w:rPr>
          <w:rFonts w:ascii="Times New Roman"/>
        </w:rPr>
      </w:pPr>
      <w:r>
        <w:rPr>
          <w:rFonts w:ascii="Times New Roman"/>
        </w:rPr>
        <w:t>二维</w:t>
      </w:r>
      <w:r>
        <w:rPr>
          <w:rFonts w:ascii="Times New Roman" w:hint="eastAsia"/>
        </w:rPr>
        <w:t>探地雷达</w:t>
      </w:r>
      <w:r>
        <w:rPr>
          <w:rFonts w:ascii="Times New Roman"/>
        </w:rPr>
        <w:t>检</w:t>
      </w:r>
      <w:r>
        <w:rPr>
          <w:rFonts w:ascii="Times New Roman" w:hint="eastAsia"/>
        </w:rPr>
        <w:t>数据解释</w:t>
      </w:r>
      <w:r>
        <w:rPr>
          <w:rFonts w:ascii="Times New Roman"/>
        </w:rPr>
        <w:t>流程可</w:t>
      </w:r>
      <w:r>
        <w:rPr>
          <w:rFonts w:ascii="Times New Roman" w:hint="eastAsia"/>
        </w:rPr>
        <w:t>参照</w:t>
      </w:r>
      <w:r>
        <w:rPr>
          <w:rFonts w:hAnsi="宋体"/>
        </w:rPr>
        <w:t>图</w:t>
      </w:r>
      <w:r>
        <w:rPr>
          <w:rFonts w:hAnsi="宋体" w:hint="eastAsia"/>
        </w:rPr>
        <w:t>1</w:t>
      </w:r>
      <w:r>
        <w:rPr>
          <w:rFonts w:ascii="Times New Roman"/>
        </w:rPr>
        <w:t>，并应符合下列规定：</w:t>
      </w:r>
      <w:r>
        <w:rPr>
          <w:rFonts w:ascii="Times New Roman"/>
        </w:rPr>
        <w:t xml:space="preserve"> </w:t>
      </w:r>
    </w:p>
    <w:p w:rsidR="00274D4E" w:rsidRDefault="00B5732B">
      <w:pPr>
        <w:pStyle w:val="af8"/>
        <w:numPr>
          <w:ilvl w:val="0"/>
          <w:numId w:val="63"/>
        </w:numPr>
      </w:pPr>
      <w:r>
        <w:rPr>
          <w:rFonts w:hint="eastAsia"/>
        </w:rPr>
        <w:t>根据信号的能量强弱、同相轴及相位、频率等变化特征提取异常信号；</w:t>
      </w:r>
    </w:p>
    <w:p w:rsidR="00274D4E" w:rsidRDefault="00B5732B">
      <w:pPr>
        <w:pStyle w:val="af8"/>
        <w:numPr>
          <w:ilvl w:val="0"/>
          <w:numId w:val="63"/>
        </w:numPr>
      </w:pPr>
      <w:r>
        <w:rPr>
          <w:rFonts w:hint="eastAsia"/>
        </w:rPr>
        <w:t>识别干扰源，剔除干扰异常；</w:t>
      </w:r>
    </w:p>
    <w:p w:rsidR="00274D4E" w:rsidRDefault="00B5732B">
      <w:pPr>
        <w:pStyle w:val="af8"/>
        <w:numPr>
          <w:ilvl w:val="0"/>
          <w:numId w:val="63"/>
        </w:numPr>
      </w:pPr>
      <w:r>
        <w:rPr>
          <w:rFonts w:hint="eastAsia"/>
        </w:rPr>
        <w:lastRenderedPageBreak/>
        <w:t>结合地下岩土特征、道路环境状况、地下管线、地下基础设施情况、历史坍塌等资料进行综合解释；</w:t>
      </w:r>
    </w:p>
    <w:p w:rsidR="00274D4E" w:rsidRDefault="00B5732B">
      <w:pPr>
        <w:pStyle w:val="af8"/>
        <w:numPr>
          <w:ilvl w:val="0"/>
          <w:numId w:val="63"/>
        </w:numPr>
      </w:pPr>
      <w:r>
        <w:rPr>
          <w:rFonts w:hint="eastAsia"/>
        </w:rPr>
        <w:t>在剖面图像上标出异常的范围；</w:t>
      </w:r>
    </w:p>
    <w:p w:rsidR="00274D4E" w:rsidRDefault="00B5732B">
      <w:pPr>
        <w:pStyle w:val="af8"/>
        <w:numPr>
          <w:ilvl w:val="0"/>
          <w:numId w:val="63"/>
        </w:numPr>
      </w:pPr>
      <w:r>
        <w:rPr>
          <w:rFonts w:hint="eastAsia"/>
        </w:rPr>
        <w:t>结合相邻测线检测结果确定地面病害的位置和范围。</w:t>
      </w:r>
    </w:p>
    <w:p w:rsidR="00274D4E" w:rsidRDefault="00B5732B" w:rsidP="00754DE2">
      <w:pPr>
        <w:pStyle w:val="afffffffff6"/>
        <w:ind w:firstLine="360"/>
        <w:jc w:val="center"/>
      </w:pPr>
      <w:r>
        <w:rPr>
          <w:rFonts w:hint="eastAsia"/>
          <w:noProof/>
        </w:rPr>
        <w:drawing>
          <wp:inline distT="0" distB="0" distL="114300" distR="114300">
            <wp:extent cx="4319905" cy="4319905"/>
            <wp:effectExtent l="0" t="0" r="4445" b="4445"/>
            <wp:docPr id="7" name="图片 3" descr="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绘图1(2)"/>
                    <pic:cNvPicPr>
                      <a:picLocks noChangeAspect="1"/>
                    </pic:cNvPicPr>
                  </pic:nvPicPr>
                  <pic:blipFill>
                    <a:blip r:embed="rId27"/>
                    <a:stretch>
                      <a:fillRect/>
                    </a:stretch>
                  </pic:blipFill>
                  <pic:spPr>
                    <a:xfrm>
                      <a:off x="0" y="0"/>
                      <a:ext cx="4319905" cy="4319905"/>
                    </a:xfrm>
                    <a:prstGeom prst="rect">
                      <a:avLst/>
                    </a:prstGeom>
                  </pic:spPr>
                </pic:pic>
              </a:graphicData>
            </a:graphic>
          </wp:inline>
        </w:drawing>
      </w:r>
    </w:p>
    <w:p w:rsidR="00274D4E" w:rsidRDefault="00B5732B" w:rsidP="00754DE2">
      <w:pPr>
        <w:pStyle w:val="afd"/>
        <w:spacing w:before="156" w:after="156"/>
      </w:pPr>
      <w:r>
        <w:rPr>
          <w:rFonts w:hint="eastAsia"/>
        </w:rPr>
        <w:t>二维探地雷达资料解释流程</w:t>
      </w:r>
    </w:p>
    <w:p w:rsidR="00274D4E" w:rsidRDefault="00B5732B">
      <w:pPr>
        <w:pStyle w:val="affffffffc"/>
      </w:pPr>
      <w:r>
        <w:t>三维</w:t>
      </w:r>
      <w:r>
        <w:rPr>
          <w:rFonts w:hint="eastAsia"/>
        </w:rPr>
        <w:t>探地雷达数据解释</w:t>
      </w:r>
      <w:r>
        <w:t>流程可</w:t>
      </w:r>
      <w:r>
        <w:rPr>
          <w:rFonts w:hint="eastAsia"/>
        </w:rPr>
        <w:t>参照图2</w:t>
      </w:r>
      <w:r>
        <w:t xml:space="preserve">，并符合下列规定： </w:t>
      </w:r>
    </w:p>
    <w:p w:rsidR="00274D4E" w:rsidRDefault="00B5732B">
      <w:pPr>
        <w:pStyle w:val="af8"/>
        <w:numPr>
          <w:ilvl w:val="0"/>
          <w:numId w:val="64"/>
        </w:numPr>
      </w:pPr>
      <w:r>
        <w:rPr>
          <w:rFonts w:hint="eastAsia"/>
        </w:rPr>
        <w:t>根据纵剖面、横剖面的同相轴、振幅、相位和频率等属性特征提取异常体；</w:t>
      </w:r>
    </w:p>
    <w:p w:rsidR="00274D4E" w:rsidRDefault="00B5732B">
      <w:pPr>
        <w:pStyle w:val="af8"/>
        <w:numPr>
          <w:ilvl w:val="0"/>
          <w:numId w:val="64"/>
        </w:numPr>
      </w:pPr>
      <w:r>
        <w:rPr>
          <w:rFonts w:hint="eastAsia"/>
        </w:rPr>
        <w:t>对纵剖面、横剖面、水平切片切取异常体数据并形成图像；</w:t>
      </w:r>
    </w:p>
    <w:p w:rsidR="00274D4E" w:rsidRDefault="00B5732B">
      <w:pPr>
        <w:pStyle w:val="af8"/>
        <w:numPr>
          <w:ilvl w:val="0"/>
          <w:numId w:val="64"/>
        </w:numPr>
      </w:pPr>
      <w:r>
        <w:rPr>
          <w:rFonts w:hint="eastAsia"/>
        </w:rPr>
        <w:t>对于重点异常体，除采用纵剖面、横剖面、水平切片外，还可结合任意方向切取的剖面，识别异常体的空间分布特征；</w:t>
      </w:r>
    </w:p>
    <w:p w:rsidR="00274D4E" w:rsidRDefault="00B5732B">
      <w:pPr>
        <w:pStyle w:val="af8"/>
        <w:numPr>
          <w:ilvl w:val="0"/>
          <w:numId w:val="64"/>
        </w:numPr>
      </w:pPr>
      <w:r>
        <w:rPr>
          <w:rFonts w:hint="eastAsia"/>
        </w:rPr>
        <w:t>识别干扰源，剔除干扰异常；</w:t>
      </w:r>
    </w:p>
    <w:p w:rsidR="00274D4E" w:rsidRDefault="00B5732B">
      <w:pPr>
        <w:pStyle w:val="af8"/>
        <w:numPr>
          <w:ilvl w:val="0"/>
          <w:numId w:val="64"/>
        </w:numPr>
      </w:pPr>
      <w:r>
        <w:rPr>
          <w:rFonts w:hint="eastAsia"/>
        </w:rPr>
        <w:t>当在某一深度切片上，探地雷达异常体呈线状有规律延伸，可解释为地下管线等线状工程体；</w:t>
      </w:r>
    </w:p>
    <w:p w:rsidR="00274D4E" w:rsidRDefault="00B5732B">
      <w:pPr>
        <w:pStyle w:val="af8"/>
        <w:numPr>
          <w:ilvl w:val="0"/>
          <w:numId w:val="64"/>
        </w:numPr>
      </w:pPr>
      <w:r>
        <w:rPr>
          <w:rFonts w:hint="eastAsia"/>
        </w:rPr>
        <w:t>结合地下岩土体条件、道路环境状况、地下管线和地下基础设施情况、历史坍塌等资料进行综合解释确定异常体病害类型；</w:t>
      </w:r>
    </w:p>
    <w:p w:rsidR="00274D4E" w:rsidRDefault="00B5732B">
      <w:pPr>
        <w:pStyle w:val="af8"/>
        <w:numPr>
          <w:ilvl w:val="0"/>
          <w:numId w:val="64"/>
        </w:numPr>
      </w:pPr>
      <w:r>
        <w:rPr>
          <w:rFonts w:hint="eastAsia"/>
        </w:rPr>
        <w:t>确定病害体的位置、尺寸、埋深，并在探地雷达切片上进行注释。</w:t>
      </w:r>
    </w:p>
    <w:p w:rsidR="00274D4E" w:rsidRDefault="00B5732B" w:rsidP="00754DE2">
      <w:pPr>
        <w:pStyle w:val="afffffffff6"/>
        <w:ind w:firstLine="360"/>
        <w:jc w:val="center"/>
      </w:pPr>
      <w:r>
        <w:rPr>
          <w:rFonts w:eastAsia="黑体" w:hint="eastAsia"/>
          <w:noProof/>
        </w:rPr>
        <w:lastRenderedPageBreak/>
        <w:drawing>
          <wp:inline distT="0" distB="0" distL="114300" distR="114300">
            <wp:extent cx="2447925" cy="3700145"/>
            <wp:effectExtent l="0" t="0" r="9525" b="14605"/>
            <wp:docPr id="9" name="图片 4" descr="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绘图1(5)"/>
                    <pic:cNvPicPr>
                      <a:picLocks noChangeAspect="1"/>
                    </pic:cNvPicPr>
                  </pic:nvPicPr>
                  <pic:blipFill>
                    <a:blip r:embed="rId28"/>
                    <a:stretch>
                      <a:fillRect/>
                    </a:stretch>
                  </pic:blipFill>
                  <pic:spPr>
                    <a:xfrm>
                      <a:off x="0" y="0"/>
                      <a:ext cx="2447925" cy="3700145"/>
                    </a:xfrm>
                    <a:prstGeom prst="rect">
                      <a:avLst/>
                    </a:prstGeom>
                    <a:noFill/>
                    <a:ln>
                      <a:noFill/>
                    </a:ln>
                  </pic:spPr>
                </pic:pic>
              </a:graphicData>
            </a:graphic>
          </wp:inline>
        </w:drawing>
      </w:r>
    </w:p>
    <w:p w:rsidR="00274D4E" w:rsidRDefault="00B5732B" w:rsidP="00754DE2">
      <w:pPr>
        <w:pStyle w:val="afd"/>
        <w:spacing w:before="156" w:after="156"/>
      </w:pPr>
      <w:r>
        <w:rPr>
          <w:rFonts w:hint="eastAsia"/>
        </w:rPr>
        <w:t>三维探地雷达资料解释流程</w:t>
      </w:r>
    </w:p>
    <w:p w:rsidR="00274D4E" w:rsidRDefault="00B5732B">
      <w:pPr>
        <w:pStyle w:val="affffffffc"/>
      </w:pPr>
      <w:r>
        <w:rPr>
          <w:rFonts w:hint="eastAsia"/>
        </w:rPr>
        <w:t>路基土体坍塌病害的解释特征可根据探地雷达的波组形态、振幅与衰减、相位和频谱结构等特征指标，参照JGJ/T 437相关规定和表3方法识别各类地面病害,典型图谱特征参见附录D。</w:t>
      </w:r>
    </w:p>
    <w:p w:rsidR="00274D4E" w:rsidRDefault="00B5732B" w:rsidP="00754DE2">
      <w:pPr>
        <w:pStyle w:val="aff2"/>
        <w:spacing w:before="156" w:after="156"/>
      </w:pPr>
      <w:r>
        <w:rPr>
          <w:rFonts w:hint="eastAsia"/>
        </w:rPr>
        <w:t>路基土体坍塌病害探地雷达识别方法</w:t>
      </w:r>
    </w:p>
    <w:tbl>
      <w:tblPr>
        <w:tblW w:w="95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21"/>
        <w:gridCol w:w="3287"/>
        <w:gridCol w:w="2338"/>
        <w:gridCol w:w="1114"/>
        <w:gridCol w:w="1946"/>
      </w:tblGrid>
      <w:tr w:rsidR="00274D4E">
        <w:trPr>
          <w:trHeight w:val="90"/>
          <w:jc w:val="center"/>
        </w:trPr>
        <w:tc>
          <w:tcPr>
            <w:tcW w:w="821" w:type="dxa"/>
            <w:tcBorders>
              <w:bottom w:val="single" w:sz="8" w:space="0" w:color="000000"/>
              <w:right w:val="single" w:sz="4" w:space="0" w:color="000000"/>
            </w:tcBorders>
            <w:vAlign w:val="center"/>
          </w:tcPr>
          <w:p w:rsidR="00274D4E" w:rsidRDefault="00B5732B">
            <w:pPr>
              <w:pStyle w:val="afffffffff6"/>
              <w:ind w:firstLineChars="0" w:firstLine="0"/>
              <w:jc w:val="center"/>
              <w:rPr>
                <w:b/>
                <w:bCs/>
              </w:rPr>
            </w:pPr>
            <w:r>
              <w:rPr>
                <w:rFonts w:hint="eastAsia"/>
                <w:b/>
                <w:bCs/>
              </w:rPr>
              <w:t>病害类型</w:t>
            </w:r>
          </w:p>
        </w:tc>
        <w:tc>
          <w:tcPr>
            <w:tcW w:w="3287" w:type="dxa"/>
            <w:tcBorders>
              <w:left w:val="single" w:sz="4" w:space="0" w:color="000000"/>
              <w:bottom w:val="single" w:sz="8"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三维水平切片</w:t>
            </w:r>
          </w:p>
        </w:tc>
        <w:tc>
          <w:tcPr>
            <w:tcW w:w="2338" w:type="dxa"/>
            <w:tcBorders>
              <w:left w:val="single" w:sz="4" w:space="0" w:color="000000"/>
              <w:bottom w:val="single" w:sz="8"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二维波组形态/三维垂直剖面</w:t>
            </w:r>
          </w:p>
        </w:tc>
        <w:tc>
          <w:tcPr>
            <w:tcW w:w="1114" w:type="dxa"/>
            <w:tcBorders>
              <w:left w:val="single" w:sz="4" w:space="0" w:color="000000"/>
              <w:bottom w:val="single" w:sz="8"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振幅特征</w:t>
            </w:r>
          </w:p>
        </w:tc>
        <w:tc>
          <w:tcPr>
            <w:tcW w:w="0" w:type="auto"/>
            <w:tcBorders>
              <w:left w:val="single" w:sz="4" w:space="0" w:color="000000"/>
              <w:bottom w:val="single" w:sz="8"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相位与频谱特征</w:t>
            </w:r>
          </w:p>
        </w:tc>
      </w:tr>
      <w:tr w:rsidR="00274D4E">
        <w:trPr>
          <w:trHeight w:val="349"/>
          <w:jc w:val="center"/>
        </w:trPr>
        <w:tc>
          <w:tcPr>
            <w:tcW w:w="821" w:type="dxa"/>
            <w:tcBorders>
              <w:top w:val="single" w:sz="8" w:space="0" w:color="000000"/>
              <w:bottom w:val="single" w:sz="4" w:space="0" w:color="000000"/>
              <w:right w:val="single" w:sz="4" w:space="0" w:color="000000"/>
            </w:tcBorders>
            <w:vAlign w:val="center"/>
          </w:tcPr>
          <w:p w:rsidR="00274D4E" w:rsidRDefault="00B5732B">
            <w:pPr>
              <w:pStyle w:val="afffffffff6"/>
              <w:ind w:firstLineChars="0" w:firstLine="0"/>
              <w:jc w:val="center"/>
            </w:pPr>
            <w:r>
              <w:rPr>
                <w:rFonts w:hint="eastAsia"/>
              </w:rPr>
              <w:t>脱空</w:t>
            </w:r>
          </w:p>
        </w:tc>
        <w:tc>
          <w:tcPr>
            <w:tcW w:w="3287" w:type="dxa"/>
            <w:tcBorders>
              <w:top w:val="single" w:sz="8"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1.顶部呈与脱空水平形状相近的闭合图形；</w:t>
            </w:r>
          </w:p>
          <w:p w:rsidR="00274D4E" w:rsidRDefault="00B5732B">
            <w:pPr>
              <w:pStyle w:val="afffffffff6"/>
              <w:ind w:firstLineChars="0" w:firstLine="0"/>
            </w:pPr>
            <w:r>
              <w:rPr>
                <w:rFonts w:hint="eastAsia"/>
              </w:rPr>
              <w:t>2.脱空图形内部色系单一、发育在道路结构层内的脱空体呈少量雪花状</w:t>
            </w:r>
          </w:p>
        </w:tc>
        <w:tc>
          <w:tcPr>
            <w:tcW w:w="2338" w:type="dxa"/>
            <w:tcBorders>
              <w:top w:val="single" w:sz="8"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1.顶部形成连续的同向性反射波组，以似平板状形态特征为主；</w:t>
            </w:r>
          </w:p>
          <w:p w:rsidR="00274D4E" w:rsidRDefault="00B5732B">
            <w:pPr>
              <w:pStyle w:val="afffffffff6"/>
              <w:ind w:firstLineChars="0" w:firstLine="0"/>
            </w:pPr>
            <w:r>
              <w:rPr>
                <w:rFonts w:hint="eastAsia"/>
              </w:rPr>
              <w:t>2.多次波明显；</w:t>
            </w:r>
          </w:p>
          <w:p w:rsidR="00274D4E" w:rsidRDefault="00B5732B">
            <w:pPr>
              <w:pStyle w:val="afffffffff6"/>
              <w:ind w:firstLineChars="0" w:firstLine="0"/>
            </w:pPr>
            <w:r>
              <w:rPr>
                <w:rFonts w:hint="eastAsia"/>
              </w:rPr>
              <w:t>3.两侧绕射波明显</w:t>
            </w:r>
          </w:p>
        </w:tc>
        <w:tc>
          <w:tcPr>
            <w:tcW w:w="1114" w:type="dxa"/>
            <w:tcBorders>
              <w:top w:val="single" w:sz="8"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振幅很强、衰减慢</w:t>
            </w:r>
          </w:p>
        </w:tc>
        <w:tc>
          <w:tcPr>
            <w:tcW w:w="0" w:type="auto"/>
            <w:tcBorders>
              <w:top w:val="single" w:sz="8" w:space="0" w:color="000000"/>
              <w:left w:val="single" w:sz="4" w:space="0" w:color="000000"/>
              <w:bottom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1.顶部反射波与入射波同向，底部反射波与入射波反向；</w:t>
            </w:r>
          </w:p>
          <w:p w:rsidR="00274D4E" w:rsidRDefault="00B5732B">
            <w:pPr>
              <w:pStyle w:val="afffffffff6"/>
              <w:ind w:firstLineChars="0" w:firstLine="0"/>
            </w:pPr>
            <w:r>
              <w:rPr>
                <w:rFonts w:hint="eastAsia"/>
              </w:rPr>
              <w:t>2.频率明显高于背景场</w:t>
            </w:r>
          </w:p>
        </w:tc>
      </w:tr>
      <w:tr w:rsidR="00274D4E">
        <w:trPr>
          <w:trHeight w:val="1851"/>
          <w:jc w:val="center"/>
        </w:trPr>
        <w:tc>
          <w:tcPr>
            <w:tcW w:w="821" w:type="dxa"/>
            <w:tcBorders>
              <w:top w:val="single" w:sz="4" w:space="0" w:color="000000"/>
              <w:bottom w:val="single" w:sz="4" w:space="0" w:color="000000"/>
              <w:right w:val="single" w:sz="4" w:space="0" w:color="000000"/>
            </w:tcBorders>
            <w:vAlign w:val="center"/>
          </w:tcPr>
          <w:p w:rsidR="00274D4E" w:rsidRDefault="00B5732B">
            <w:pPr>
              <w:pStyle w:val="afffffffff6"/>
              <w:ind w:firstLineChars="0" w:firstLine="0"/>
              <w:jc w:val="center"/>
            </w:pPr>
            <w:r>
              <w:rPr>
                <w:rFonts w:hint="eastAsia"/>
              </w:rPr>
              <w:t>空洞</w:t>
            </w:r>
          </w:p>
        </w:tc>
        <w:tc>
          <w:tcPr>
            <w:tcW w:w="3287"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1.图像异常整体形状与空洞病害体的形状相似，边界清晰；</w:t>
            </w:r>
          </w:p>
          <w:p w:rsidR="00274D4E" w:rsidRDefault="00B5732B">
            <w:pPr>
              <w:pStyle w:val="afffffffff6"/>
              <w:ind w:firstLineChars="0" w:firstLine="0"/>
            </w:pPr>
            <w:r>
              <w:rPr>
                <w:rFonts w:hint="eastAsia"/>
              </w:rPr>
              <w:t>2.顶部表现为与空洞形状相似的闭合图形，随着时间、深度变大，向深部图像形状趋于闭合，随着空洞的变化而变化；</w:t>
            </w:r>
          </w:p>
          <w:p w:rsidR="00274D4E" w:rsidRDefault="00B5732B">
            <w:pPr>
              <w:pStyle w:val="afffffffff6"/>
              <w:ind w:firstLineChars="0" w:firstLine="0"/>
            </w:pPr>
            <w:r>
              <w:rPr>
                <w:rFonts w:hint="eastAsia"/>
              </w:rPr>
              <w:t>3.空洞内部的探地雷达图像色系单一，结构均匀，随着时间、深度变大，图像内部逐渐呈雪花状</w:t>
            </w:r>
          </w:p>
        </w:tc>
        <w:tc>
          <w:tcPr>
            <w:tcW w:w="2338"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1.波组整体形状受空洞病害体的形状影响而变化；</w:t>
            </w:r>
          </w:p>
          <w:p w:rsidR="00274D4E" w:rsidRDefault="00B5732B">
            <w:pPr>
              <w:pStyle w:val="afffffffff6"/>
              <w:ind w:firstLineChars="0" w:firstLine="0"/>
            </w:pPr>
            <w:r>
              <w:rPr>
                <w:rFonts w:hint="eastAsia"/>
              </w:rPr>
              <w:t>2.近似球形空洞反射波组表现为倒悬双曲线；</w:t>
            </w:r>
          </w:p>
          <w:p w:rsidR="00274D4E" w:rsidRDefault="00B5732B">
            <w:pPr>
              <w:pStyle w:val="afffffffff6"/>
              <w:ind w:firstLineChars="0" w:firstLine="0"/>
            </w:pPr>
            <w:r>
              <w:rPr>
                <w:rFonts w:hint="eastAsia"/>
              </w:rPr>
              <w:t>3.近似方形空洞反射波组表现为正向连续平板状双曲线；</w:t>
            </w:r>
          </w:p>
          <w:p w:rsidR="00274D4E" w:rsidRDefault="00B5732B">
            <w:pPr>
              <w:pStyle w:val="afffffffff6"/>
              <w:ind w:firstLineChars="0" w:firstLine="0"/>
            </w:pPr>
            <w:r>
              <w:rPr>
                <w:rFonts w:hint="eastAsia"/>
              </w:rPr>
              <w:t>4.多次波明显；</w:t>
            </w:r>
          </w:p>
          <w:p w:rsidR="00274D4E" w:rsidRDefault="00B5732B">
            <w:pPr>
              <w:pStyle w:val="afffffffff6"/>
              <w:ind w:firstLineChars="0" w:firstLine="0"/>
            </w:pPr>
            <w:r>
              <w:rPr>
                <w:rFonts w:hint="eastAsia"/>
              </w:rPr>
              <w:t>5.两侧绕射波很明显</w:t>
            </w:r>
          </w:p>
        </w:tc>
        <w:tc>
          <w:tcPr>
            <w:tcW w:w="1114"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振幅很强、衰减慢</w:t>
            </w:r>
          </w:p>
        </w:tc>
        <w:tc>
          <w:tcPr>
            <w:tcW w:w="0" w:type="auto"/>
            <w:tcBorders>
              <w:top w:val="single" w:sz="4" w:space="0" w:color="000000"/>
              <w:left w:val="single" w:sz="4" w:space="0" w:color="000000"/>
              <w:bottom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1.顶部反射波与入射波同向，底部反射波与入射波反向；</w:t>
            </w:r>
          </w:p>
          <w:p w:rsidR="00274D4E" w:rsidRDefault="00B5732B">
            <w:pPr>
              <w:pStyle w:val="afffffffff6"/>
              <w:ind w:firstLineChars="0" w:firstLine="0"/>
            </w:pPr>
            <w:r>
              <w:rPr>
                <w:rFonts w:hint="eastAsia"/>
              </w:rPr>
              <w:t>2.频率明显高于背景场</w:t>
            </w:r>
          </w:p>
        </w:tc>
      </w:tr>
    </w:tbl>
    <w:p w:rsidR="00274D4E" w:rsidRDefault="00B5732B">
      <w:pPr>
        <w:pStyle w:val="afffffffff6"/>
        <w:ind w:firstLineChars="0" w:firstLine="0"/>
        <w:jc w:val="center"/>
      </w:pPr>
      <w:r>
        <w:rPr>
          <w:rFonts w:hint="eastAsia"/>
        </w:rPr>
        <w:lastRenderedPageBreak/>
        <w:br w:type="page"/>
      </w:r>
    </w:p>
    <w:p w:rsidR="00274D4E" w:rsidRDefault="00B5732B" w:rsidP="00754DE2">
      <w:pPr>
        <w:pStyle w:val="afffff1"/>
        <w:pageBreakBefore/>
        <w:spacing w:beforeLines="50" w:before="156" w:afterLines="50" w:after="156"/>
        <w:ind w:firstLineChars="0" w:firstLine="0"/>
        <w:jc w:val="center"/>
        <w:rPr>
          <w:rFonts w:hAnsi="宋体" w:cs="宋体"/>
        </w:rPr>
      </w:pPr>
      <w:r>
        <w:rPr>
          <w:rFonts w:ascii="黑体" w:eastAsia="黑体" w:hAnsi="黑体" w:cs="黑体" w:hint="eastAsia"/>
        </w:rPr>
        <w:lastRenderedPageBreak/>
        <w:t>表3  路基土体坍塌病害探地雷达识别</w:t>
      </w:r>
      <w:r>
        <w:rPr>
          <w:rFonts w:ascii="黑体" w:eastAsia="黑体" w:hint="eastAsia"/>
        </w:rPr>
        <w:t>方法（续）</w:t>
      </w:r>
    </w:p>
    <w:tbl>
      <w:tblPr>
        <w:tblW w:w="95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21"/>
        <w:gridCol w:w="3287"/>
        <w:gridCol w:w="2338"/>
        <w:gridCol w:w="1114"/>
        <w:gridCol w:w="1946"/>
      </w:tblGrid>
      <w:tr w:rsidR="00274D4E">
        <w:trPr>
          <w:trHeight w:val="90"/>
          <w:jc w:val="center"/>
        </w:trPr>
        <w:tc>
          <w:tcPr>
            <w:tcW w:w="821" w:type="dxa"/>
            <w:tcBorders>
              <w:bottom w:val="single" w:sz="8" w:space="0" w:color="000000"/>
              <w:right w:val="single" w:sz="4" w:space="0" w:color="000000"/>
            </w:tcBorders>
            <w:vAlign w:val="center"/>
          </w:tcPr>
          <w:p w:rsidR="00274D4E" w:rsidRDefault="00B5732B">
            <w:pPr>
              <w:pStyle w:val="afffffffff6"/>
              <w:ind w:firstLineChars="0" w:firstLine="0"/>
              <w:jc w:val="center"/>
              <w:rPr>
                <w:b/>
                <w:bCs/>
              </w:rPr>
            </w:pPr>
            <w:r>
              <w:rPr>
                <w:rFonts w:hint="eastAsia"/>
                <w:b/>
                <w:bCs/>
              </w:rPr>
              <w:t>病害类型</w:t>
            </w:r>
          </w:p>
        </w:tc>
        <w:tc>
          <w:tcPr>
            <w:tcW w:w="3287" w:type="dxa"/>
            <w:tcBorders>
              <w:left w:val="single" w:sz="4" w:space="0" w:color="000000"/>
              <w:bottom w:val="single" w:sz="8"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三维水平切片</w:t>
            </w:r>
          </w:p>
        </w:tc>
        <w:tc>
          <w:tcPr>
            <w:tcW w:w="2338" w:type="dxa"/>
            <w:tcBorders>
              <w:left w:val="single" w:sz="4" w:space="0" w:color="000000"/>
              <w:bottom w:val="single" w:sz="8"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二维波组形态/三维垂直剖面</w:t>
            </w:r>
          </w:p>
        </w:tc>
        <w:tc>
          <w:tcPr>
            <w:tcW w:w="1114" w:type="dxa"/>
            <w:tcBorders>
              <w:left w:val="single" w:sz="4" w:space="0" w:color="000000"/>
              <w:bottom w:val="single" w:sz="8"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振幅特征</w:t>
            </w:r>
          </w:p>
        </w:tc>
        <w:tc>
          <w:tcPr>
            <w:tcW w:w="1946" w:type="dxa"/>
            <w:tcBorders>
              <w:left w:val="single" w:sz="4" w:space="0" w:color="000000"/>
              <w:bottom w:val="single" w:sz="8" w:space="0" w:color="000000"/>
            </w:tcBorders>
            <w:tcMar>
              <w:top w:w="74" w:type="dxa"/>
              <w:left w:w="142" w:type="dxa"/>
              <w:bottom w:w="74" w:type="dxa"/>
              <w:right w:w="142" w:type="dxa"/>
            </w:tcMar>
            <w:vAlign w:val="center"/>
          </w:tcPr>
          <w:p w:rsidR="00274D4E" w:rsidRDefault="00B5732B">
            <w:pPr>
              <w:pStyle w:val="afffffffff6"/>
              <w:ind w:firstLineChars="0" w:firstLine="0"/>
              <w:jc w:val="center"/>
              <w:rPr>
                <w:b/>
                <w:bCs/>
              </w:rPr>
            </w:pPr>
            <w:r>
              <w:rPr>
                <w:rFonts w:hint="eastAsia"/>
                <w:b/>
                <w:bCs/>
              </w:rPr>
              <w:t>相位与频谱特征</w:t>
            </w:r>
          </w:p>
        </w:tc>
      </w:tr>
      <w:tr w:rsidR="00274D4E">
        <w:trPr>
          <w:trHeight w:val="1646"/>
          <w:jc w:val="center"/>
        </w:trPr>
        <w:tc>
          <w:tcPr>
            <w:tcW w:w="821" w:type="dxa"/>
            <w:tcBorders>
              <w:top w:val="single" w:sz="4" w:space="0" w:color="000000"/>
              <w:bottom w:val="single" w:sz="4" w:space="0" w:color="000000"/>
              <w:right w:val="single" w:sz="4" w:space="0" w:color="000000"/>
            </w:tcBorders>
            <w:vAlign w:val="center"/>
          </w:tcPr>
          <w:p w:rsidR="00274D4E" w:rsidRDefault="00B5732B">
            <w:pPr>
              <w:pStyle w:val="afffffffff6"/>
              <w:ind w:firstLineChars="0" w:firstLine="0"/>
              <w:jc w:val="center"/>
            </w:pPr>
            <w:r>
              <w:rPr>
                <w:rFonts w:hint="eastAsia"/>
              </w:rPr>
              <w:t>严重疏松</w:t>
            </w:r>
          </w:p>
        </w:tc>
        <w:tc>
          <w:tcPr>
            <w:tcW w:w="3287"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 图像异常整体形状与严重疏松体的形状相似，顶部呈闭合形状，随着时间、深度变大，深部图形形状随着疏松体的变化而变化；</w:t>
            </w:r>
          </w:p>
          <w:p w:rsidR="00274D4E" w:rsidRDefault="00B5732B">
            <w:pPr>
              <w:pStyle w:val="afffffffff6"/>
              <w:ind w:firstLineChars="0" w:firstLine="0"/>
            </w:pPr>
            <w:r>
              <w:rPr>
                <w:rFonts w:hint="eastAsia"/>
              </w:rPr>
              <w:t>2. 图像内部呈雪花状、结构变化不均匀；</w:t>
            </w:r>
          </w:p>
          <w:p w:rsidR="00274D4E" w:rsidRDefault="00B5732B">
            <w:pPr>
              <w:pStyle w:val="afffffffff6"/>
              <w:ind w:firstLineChars="0" w:firstLine="0"/>
            </w:pPr>
            <w:r>
              <w:rPr>
                <w:rFonts w:hint="eastAsia"/>
              </w:rPr>
              <w:t>3.能量谱较强</w:t>
            </w:r>
          </w:p>
        </w:tc>
        <w:tc>
          <w:tcPr>
            <w:tcW w:w="2338"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1.顶部形成连续的同向性反射波组，波组形态由顶部形态决定；</w:t>
            </w:r>
          </w:p>
          <w:p w:rsidR="00274D4E" w:rsidRDefault="00B5732B">
            <w:pPr>
              <w:pStyle w:val="afffffffff6"/>
              <w:ind w:firstLineChars="0" w:firstLine="0"/>
            </w:pPr>
            <w:r>
              <w:rPr>
                <w:rFonts w:hint="eastAsia"/>
              </w:rPr>
              <w:t>2.多次波发育明显；</w:t>
            </w:r>
          </w:p>
          <w:p w:rsidR="00274D4E" w:rsidRDefault="00B5732B">
            <w:pPr>
              <w:pStyle w:val="afffffffff6"/>
              <w:ind w:firstLineChars="0" w:firstLine="0"/>
            </w:pPr>
            <w:r>
              <w:rPr>
                <w:rFonts w:hint="eastAsia"/>
              </w:rPr>
              <w:t>3.两侧存在绕射波；</w:t>
            </w:r>
          </w:p>
          <w:p w:rsidR="00274D4E" w:rsidRDefault="00B5732B">
            <w:pPr>
              <w:pStyle w:val="afffffffff6"/>
              <w:ind w:firstLineChars="0" w:firstLine="0"/>
            </w:pPr>
            <w:r>
              <w:rPr>
                <w:rFonts w:hint="eastAsia"/>
              </w:rPr>
              <w:t>4.严重疏松内部波形结构很杂乱，波形同相轴很不连续</w:t>
            </w:r>
          </w:p>
        </w:tc>
        <w:tc>
          <w:tcPr>
            <w:tcW w:w="1114"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振幅强，衰减很慢</w:t>
            </w:r>
          </w:p>
        </w:tc>
        <w:tc>
          <w:tcPr>
            <w:tcW w:w="1946" w:type="dxa"/>
            <w:tcBorders>
              <w:top w:val="single" w:sz="4" w:space="0" w:color="000000"/>
              <w:left w:val="single" w:sz="4" w:space="0" w:color="000000"/>
              <w:bottom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顶部反射波与入射波同向，底部反射波与入射波反向；</w:t>
            </w:r>
          </w:p>
          <w:p w:rsidR="00274D4E" w:rsidRDefault="00B5732B">
            <w:pPr>
              <w:pStyle w:val="afffffffff6"/>
              <w:ind w:firstLineChars="0" w:firstLine="0"/>
            </w:pPr>
            <w:r>
              <w:rPr>
                <w:rFonts w:hint="eastAsia"/>
              </w:rPr>
              <w:t>频率高于背景场的频率</w:t>
            </w:r>
          </w:p>
        </w:tc>
      </w:tr>
      <w:tr w:rsidR="00274D4E">
        <w:trPr>
          <w:trHeight w:val="1646"/>
          <w:jc w:val="center"/>
        </w:trPr>
        <w:tc>
          <w:tcPr>
            <w:tcW w:w="821" w:type="dxa"/>
            <w:tcBorders>
              <w:top w:val="single" w:sz="4" w:space="0" w:color="000000"/>
              <w:bottom w:val="single" w:sz="4" w:space="0" w:color="000000"/>
              <w:right w:val="single" w:sz="4" w:space="0" w:color="000000"/>
            </w:tcBorders>
            <w:vAlign w:val="center"/>
          </w:tcPr>
          <w:p w:rsidR="00274D4E" w:rsidRDefault="00B5732B">
            <w:pPr>
              <w:pStyle w:val="afffffffff6"/>
              <w:ind w:firstLineChars="0" w:firstLine="0"/>
              <w:jc w:val="center"/>
            </w:pPr>
            <w:r>
              <w:rPr>
                <w:rFonts w:hint="eastAsia"/>
              </w:rPr>
              <w:t>中等疏松</w:t>
            </w:r>
          </w:p>
        </w:tc>
        <w:tc>
          <w:tcPr>
            <w:tcW w:w="3287"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 图像异常整体形状与中等疏松体的形状相似，顶部呈闭合形状，随着时间、深度变大，深部图形形状随着中等疏松体的变化而变化；</w:t>
            </w:r>
          </w:p>
          <w:p w:rsidR="00274D4E" w:rsidRDefault="00B5732B">
            <w:pPr>
              <w:pStyle w:val="afffffffff6"/>
              <w:ind w:firstLineChars="0" w:firstLine="0"/>
            </w:pPr>
            <w:r>
              <w:rPr>
                <w:rFonts w:hint="eastAsia"/>
              </w:rPr>
              <w:t>2 图像内部呈雪花状、结构变化不均匀；</w:t>
            </w:r>
          </w:p>
          <w:p w:rsidR="00274D4E" w:rsidRDefault="00B5732B">
            <w:pPr>
              <w:pStyle w:val="afffffffff6"/>
              <w:ind w:firstLineChars="0" w:firstLine="0"/>
            </w:pPr>
            <w:r>
              <w:rPr>
                <w:rFonts w:hint="eastAsia"/>
              </w:rPr>
              <w:t>3.能量谱强。</w:t>
            </w:r>
          </w:p>
        </w:tc>
        <w:tc>
          <w:tcPr>
            <w:tcW w:w="2338"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顶部形成较连续的同向性反射波组，波组形态由顶部形态决定；</w:t>
            </w:r>
          </w:p>
          <w:p w:rsidR="00274D4E" w:rsidRDefault="00B5732B">
            <w:pPr>
              <w:pStyle w:val="afffffffff6"/>
              <w:ind w:firstLineChars="0" w:firstLine="0"/>
            </w:pPr>
            <w:r>
              <w:rPr>
                <w:rFonts w:hint="eastAsia"/>
              </w:rPr>
              <w:t>多次波发育；</w:t>
            </w:r>
          </w:p>
          <w:p w:rsidR="00274D4E" w:rsidRDefault="00B5732B">
            <w:pPr>
              <w:pStyle w:val="afffffffff6"/>
              <w:ind w:firstLineChars="0" w:firstLine="0"/>
            </w:pPr>
            <w:r>
              <w:rPr>
                <w:rFonts w:hint="eastAsia"/>
              </w:rPr>
              <w:t>两侧存在绕射波；</w:t>
            </w:r>
          </w:p>
          <w:p w:rsidR="00274D4E" w:rsidRDefault="00B5732B">
            <w:pPr>
              <w:pStyle w:val="afffffffff6"/>
              <w:ind w:firstLineChars="0" w:firstLine="0"/>
            </w:pPr>
            <w:r>
              <w:rPr>
                <w:rFonts w:hint="eastAsia"/>
              </w:rPr>
              <w:t>中等疏松内部波形结构杂乱，波形同相轴不连续</w:t>
            </w:r>
          </w:p>
        </w:tc>
        <w:tc>
          <w:tcPr>
            <w:tcW w:w="1114"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振幅较强，衰减慢</w:t>
            </w:r>
          </w:p>
        </w:tc>
        <w:tc>
          <w:tcPr>
            <w:tcW w:w="1946" w:type="dxa"/>
            <w:tcBorders>
              <w:top w:val="single" w:sz="4" w:space="0" w:color="000000"/>
              <w:left w:val="single" w:sz="4" w:space="0" w:color="000000"/>
              <w:bottom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1.顶部反射波与入射波同向，底部反射波与入射波反向；</w:t>
            </w:r>
          </w:p>
          <w:p w:rsidR="00274D4E" w:rsidRDefault="00B5732B">
            <w:pPr>
              <w:pStyle w:val="afffffffff6"/>
              <w:ind w:firstLineChars="0" w:firstLine="0"/>
            </w:pPr>
            <w:r>
              <w:rPr>
                <w:rFonts w:hint="eastAsia"/>
              </w:rPr>
              <w:t>2.频率高于背景场的频率</w:t>
            </w:r>
          </w:p>
        </w:tc>
      </w:tr>
      <w:tr w:rsidR="00274D4E">
        <w:trPr>
          <w:trHeight w:val="1646"/>
          <w:jc w:val="center"/>
        </w:trPr>
        <w:tc>
          <w:tcPr>
            <w:tcW w:w="821" w:type="dxa"/>
            <w:tcBorders>
              <w:top w:val="single" w:sz="4" w:space="0" w:color="000000"/>
              <w:bottom w:val="single" w:sz="4" w:space="0" w:color="000000"/>
              <w:right w:val="single" w:sz="4" w:space="0" w:color="000000"/>
            </w:tcBorders>
            <w:vAlign w:val="center"/>
          </w:tcPr>
          <w:p w:rsidR="00274D4E" w:rsidRDefault="00B5732B">
            <w:pPr>
              <w:pStyle w:val="afffffffff6"/>
              <w:ind w:firstLineChars="0" w:firstLine="0"/>
              <w:jc w:val="center"/>
            </w:pPr>
            <w:r>
              <w:rPr>
                <w:rFonts w:hint="eastAsia"/>
              </w:rPr>
              <w:t>轻微疏松</w:t>
            </w:r>
          </w:p>
        </w:tc>
        <w:tc>
          <w:tcPr>
            <w:tcW w:w="3287"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 图像异常整体形状与轻微疏松体的形状相似，顶部呈闭合形状，随着时间、深度变大，深部图形形状随着轻微疏松体的变化而变化；</w:t>
            </w:r>
          </w:p>
          <w:p w:rsidR="00274D4E" w:rsidRDefault="00B5732B">
            <w:pPr>
              <w:pStyle w:val="afffffffff6"/>
              <w:ind w:firstLineChars="0" w:firstLine="0"/>
            </w:pPr>
            <w:r>
              <w:rPr>
                <w:rFonts w:hint="eastAsia"/>
              </w:rPr>
              <w:t>2 图像内部呈雪花状、结构变化不均匀。</w:t>
            </w:r>
          </w:p>
        </w:tc>
        <w:tc>
          <w:tcPr>
            <w:tcW w:w="2338"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顶部形成连续的同向性反射波组，波组形态由顶部形态决定；</w:t>
            </w:r>
          </w:p>
          <w:p w:rsidR="00274D4E" w:rsidRDefault="00B5732B">
            <w:pPr>
              <w:pStyle w:val="afffffffff6"/>
              <w:ind w:firstLineChars="0" w:firstLine="0"/>
            </w:pPr>
            <w:r>
              <w:rPr>
                <w:rFonts w:hint="eastAsia"/>
              </w:rPr>
              <w:t>多次波发育不明显；</w:t>
            </w:r>
          </w:p>
          <w:p w:rsidR="00274D4E" w:rsidRDefault="00B5732B">
            <w:pPr>
              <w:pStyle w:val="afffffffff6"/>
              <w:ind w:firstLineChars="0" w:firstLine="0"/>
            </w:pPr>
            <w:r>
              <w:rPr>
                <w:rFonts w:hint="eastAsia"/>
              </w:rPr>
              <w:t>轻微疏松内部波形结构较杂乱，波形同相轴较不连续</w:t>
            </w:r>
          </w:p>
        </w:tc>
        <w:tc>
          <w:tcPr>
            <w:tcW w:w="1114" w:type="dxa"/>
            <w:tcBorders>
              <w:top w:val="single" w:sz="4" w:space="0" w:color="000000"/>
              <w:left w:val="single" w:sz="4" w:space="0" w:color="000000"/>
              <w:bottom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振幅较强，衰减较慢</w:t>
            </w:r>
          </w:p>
        </w:tc>
        <w:tc>
          <w:tcPr>
            <w:tcW w:w="1946" w:type="dxa"/>
            <w:tcBorders>
              <w:top w:val="single" w:sz="4" w:space="0" w:color="000000"/>
              <w:left w:val="single" w:sz="4" w:space="0" w:color="000000"/>
              <w:bottom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顶部反射波与入射波同向，底部反射波与入射波反向；</w:t>
            </w:r>
          </w:p>
          <w:p w:rsidR="00274D4E" w:rsidRDefault="00B5732B">
            <w:pPr>
              <w:pStyle w:val="afffffffff6"/>
              <w:ind w:firstLineChars="0" w:firstLine="0"/>
            </w:pPr>
            <w:r>
              <w:rPr>
                <w:rFonts w:hint="eastAsia"/>
              </w:rPr>
              <w:t>频率高于背景场的频率</w:t>
            </w:r>
          </w:p>
        </w:tc>
      </w:tr>
      <w:tr w:rsidR="00274D4E">
        <w:trPr>
          <w:trHeight w:val="1646"/>
          <w:jc w:val="center"/>
        </w:trPr>
        <w:tc>
          <w:tcPr>
            <w:tcW w:w="821" w:type="dxa"/>
            <w:tcBorders>
              <w:top w:val="single" w:sz="4" w:space="0" w:color="000000"/>
              <w:right w:val="single" w:sz="4" w:space="0" w:color="000000"/>
            </w:tcBorders>
            <w:vAlign w:val="center"/>
          </w:tcPr>
          <w:p w:rsidR="00274D4E" w:rsidRDefault="00B5732B">
            <w:pPr>
              <w:pStyle w:val="afffffffff6"/>
              <w:ind w:firstLineChars="0" w:firstLine="0"/>
              <w:jc w:val="center"/>
            </w:pPr>
            <w:r>
              <w:rPr>
                <w:rFonts w:hint="eastAsia"/>
              </w:rPr>
              <w:t>富水体</w:t>
            </w:r>
          </w:p>
        </w:tc>
        <w:tc>
          <w:tcPr>
            <w:tcW w:w="3287" w:type="dxa"/>
            <w:tcBorders>
              <w:top w:val="single" w:sz="4" w:space="0" w:color="000000"/>
              <w:left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1.图像异常整体形状与富水体的形状相似，边界清晰；</w:t>
            </w:r>
          </w:p>
          <w:p w:rsidR="00274D4E" w:rsidRDefault="00B5732B">
            <w:pPr>
              <w:pStyle w:val="afffffffff6"/>
              <w:ind w:firstLineChars="0" w:firstLine="0"/>
            </w:pPr>
            <w:r>
              <w:rPr>
                <w:rFonts w:hint="eastAsia"/>
              </w:rPr>
              <w:t>2.顶部表现为与富水体形状相似的闭合图形，随着时间、深度变大，向深部图像形状趋于闭合，随着空洞的变化而变化；</w:t>
            </w:r>
          </w:p>
          <w:p w:rsidR="00274D4E" w:rsidRDefault="00B5732B">
            <w:pPr>
              <w:pStyle w:val="afffffffff6"/>
              <w:ind w:firstLineChars="0" w:firstLine="0"/>
            </w:pPr>
            <w:r>
              <w:rPr>
                <w:rFonts w:hint="eastAsia"/>
              </w:rPr>
              <w:t>3.富水体内部的探地雷达图像色系单一，结构均匀，随着时间、深度变大，图像内部逐渐呈雪花状。</w:t>
            </w:r>
          </w:p>
        </w:tc>
        <w:tc>
          <w:tcPr>
            <w:tcW w:w="2338" w:type="dxa"/>
            <w:tcBorders>
              <w:top w:val="single" w:sz="4" w:space="0" w:color="000000"/>
              <w:left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 顶部形成连续的同向性反射波组；</w:t>
            </w:r>
          </w:p>
          <w:p w:rsidR="00274D4E" w:rsidRDefault="00B5732B">
            <w:pPr>
              <w:pStyle w:val="afffffffff6"/>
              <w:ind w:firstLineChars="0" w:firstLine="0"/>
            </w:pPr>
            <w:r>
              <w:rPr>
                <w:rFonts w:hint="eastAsia"/>
              </w:rPr>
              <w:t>2 绕射波不明显；</w:t>
            </w:r>
          </w:p>
          <w:p w:rsidR="00274D4E" w:rsidRDefault="00B5732B">
            <w:pPr>
              <w:pStyle w:val="afffffffff6"/>
              <w:ind w:firstLineChars="0" w:firstLine="0"/>
            </w:pPr>
            <w:r>
              <w:rPr>
                <w:rFonts w:hint="eastAsia"/>
              </w:rPr>
              <w:t>3 底部反射波多次波不明显</w:t>
            </w:r>
          </w:p>
        </w:tc>
        <w:tc>
          <w:tcPr>
            <w:tcW w:w="1114" w:type="dxa"/>
            <w:tcBorders>
              <w:top w:val="single" w:sz="4" w:space="0" w:color="000000"/>
              <w:left w:val="single" w:sz="4" w:space="0" w:color="000000"/>
              <w:righ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顶部反射波振幅强，衰减快</w:t>
            </w:r>
          </w:p>
        </w:tc>
        <w:tc>
          <w:tcPr>
            <w:tcW w:w="1946" w:type="dxa"/>
            <w:tcBorders>
              <w:top w:val="single" w:sz="4" w:space="0" w:color="000000"/>
              <w:left w:val="single" w:sz="4" w:space="0" w:color="000000"/>
            </w:tcBorders>
            <w:tcMar>
              <w:top w:w="74" w:type="dxa"/>
              <w:left w:w="142" w:type="dxa"/>
              <w:bottom w:w="74" w:type="dxa"/>
              <w:right w:w="142" w:type="dxa"/>
            </w:tcMar>
            <w:vAlign w:val="center"/>
          </w:tcPr>
          <w:p w:rsidR="00274D4E" w:rsidRDefault="00B5732B">
            <w:pPr>
              <w:pStyle w:val="afffffffff6"/>
              <w:ind w:firstLineChars="0" w:firstLine="0"/>
            </w:pPr>
            <w:r>
              <w:rPr>
                <w:rFonts w:hint="eastAsia"/>
              </w:rPr>
              <w:t>1 顶部反射波与入射波反向，底部反射波与入射波同向</w:t>
            </w:r>
          </w:p>
          <w:p w:rsidR="00274D4E" w:rsidRDefault="00B5732B">
            <w:pPr>
              <w:pStyle w:val="afffffffff6"/>
              <w:ind w:firstLineChars="0" w:firstLine="0"/>
            </w:pPr>
            <w:r>
              <w:rPr>
                <w:rFonts w:hint="eastAsia"/>
              </w:rPr>
              <w:t>2 频率低于背景场</w:t>
            </w:r>
          </w:p>
        </w:tc>
      </w:tr>
    </w:tbl>
    <w:p w:rsidR="00274D4E" w:rsidRDefault="00274D4E">
      <w:pPr>
        <w:spacing w:line="240" w:lineRule="auto"/>
        <w:rPr>
          <w:szCs w:val="13"/>
        </w:rPr>
      </w:pPr>
    </w:p>
    <w:p w:rsidR="00274D4E" w:rsidRDefault="00B5732B">
      <w:pPr>
        <w:pStyle w:val="affffffffc"/>
        <w:rPr>
          <w:rFonts w:ascii="Times New Roman"/>
          <w:szCs w:val="21"/>
        </w:rPr>
      </w:pPr>
      <w:r>
        <w:rPr>
          <w:rFonts w:ascii="Times New Roman" w:hint="eastAsia"/>
          <w:szCs w:val="21"/>
        </w:rPr>
        <w:t>可采用智能识别技术提高探地雷达数据处理效率，探地雷达数据智能识别应基于可靠的数据模型、科学的计算方法，并应通过验证。</w:t>
      </w:r>
    </w:p>
    <w:p w:rsidR="00274D4E" w:rsidRDefault="00B5732B">
      <w:pPr>
        <w:pStyle w:val="affffffffc"/>
      </w:pPr>
      <w:r>
        <w:rPr>
          <w:rFonts w:hint="eastAsia"/>
        </w:rPr>
        <w:t>应用于智能识别的数据样本库创建工作包括数据处理、图谱或数据标注等，相关工作应符合下列要求：</w:t>
      </w:r>
    </w:p>
    <w:p w:rsidR="00274D4E" w:rsidRDefault="00B5732B">
      <w:pPr>
        <w:pStyle w:val="af8"/>
        <w:numPr>
          <w:ilvl w:val="0"/>
          <w:numId w:val="65"/>
        </w:numPr>
      </w:pPr>
      <w:r>
        <w:rPr>
          <w:rFonts w:hint="eastAsia"/>
        </w:rPr>
        <w:lastRenderedPageBreak/>
        <w:t>数据处理主要对数据样本进行消洗和抽样，剔除无效样本，保证样本均衡；</w:t>
      </w:r>
    </w:p>
    <w:p w:rsidR="00274D4E" w:rsidRDefault="00B5732B">
      <w:pPr>
        <w:pStyle w:val="af8"/>
        <w:numPr>
          <w:ilvl w:val="0"/>
          <w:numId w:val="65"/>
        </w:numPr>
      </w:pPr>
      <w:r>
        <w:rPr>
          <w:rFonts w:hint="eastAsia"/>
        </w:rPr>
        <w:t>图谱或数据标注时应对样本进行分类标注，标明病害体及典型干扰源的类别、特征等关键信息。</w:t>
      </w:r>
    </w:p>
    <w:p w:rsidR="00274D4E" w:rsidRDefault="00B5732B">
      <w:pPr>
        <w:pStyle w:val="affffffffc"/>
      </w:pPr>
      <w:r>
        <w:rPr>
          <w:rFonts w:hint="eastAsia"/>
        </w:rPr>
        <w:t>智能识别工作流程包括数据预处理、智能识别和结果验证，相关工作应符合以下要求：</w:t>
      </w:r>
    </w:p>
    <w:p w:rsidR="00274D4E" w:rsidRDefault="00B5732B">
      <w:pPr>
        <w:pStyle w:val="af8"/>
        <w:numPr>
          <w:ilvl w:val="0"/>
          <w:numId w:val="66"/>
        </w:numPr>
      </w:pPr>
      <w:r>
        <w:rPr>
          <w:rFonts w:hint="eastAsia"/>
        </w:rPr>
        <w:t>数据预处理，采集完成后应对采集数据进行滤波、增益等预处理，达到智能识别要求的数据质量；</w:t>
      </w:r>
    </w:p>
    <w:p w:rsidR="00274D4E" w:rsidRDefault="00B5732B">
      <w:pPr>
        <w:pStyle w:val="af8"/>
        <w:numPr>
          <w:ilvl w:val="0"/>
          <w:numId w:val="66"/>
        </w:numPr>
      </w:pPr>
      <w:r>
        <w:rPr>
          <w:rFonts w:hint="eastAsia"/>
        </w:rPr>
        <w:t>智能识别，对识别出的病害体进行分类，标明病害体类别、特点及置信度等信息；</w:t>
      </w:r>
    </w:p>
    <w:p w:rsidR="00274D4E" w:rsidRDefault="00B5732B">
      <w:pPr>
        <w:pStyle w:val="af8"/>
        <w:numPr>
          <w:ilvl w:val="0"/>
          <w:numId w:val="66"/>
        </w:numPr>
      </w:pPr>
      <w:r>
        <w:rPr>
          <w:rFonts w:hint="eastAsia"/>
        </w:rPr>
        <w:t>结果验证，识别的成果整理后进行人工判读确认，提出现场验证。</w:t>
      </w:r>
    </w:p>
    <w:p w:rsidR="00274D4E" w:rsidRDefault="00B5732B">
      <w:pPr>
        <w:pStyle w:val="affffffffc"/>
      </w:pPr>
      <w:r>
        <w:rPr>
          <w:rFonts w:hint="eastAsia"/>
        </w:rPr>
        <w:t>对探地雷达数据进行智能识别时，宜先通过试验段对智能识别效果进行验证，有效的识别模型方可应用探地雷达识别中。</w:t>
      </w:r>
    </w:p>
    <w:p w:rsidR="00274D4E" w:rsidRDefault="00B5732B" w:rsidP="00754DE2">
      <w:pPr>
        <w:pStyle w:val="affd"/>
        <w:spacing w:before="312" w:after="312"/>
      </w:pPr>
      <w:bookmarkStart w:id="153" w:name="_Toc29347"/>
      <w:bookmarkStart w:id="154" w:name="_Toc5675"/>
      <w:bookmarkStart w:id="155" w:name="_Toc31874"/>
      <w:r>
        <w:rPr>
          <w:rFonts w:hint="eastAsia"/>
        </w:rPr>
        <w:t>复核与验证</w:t>
      </w:r>
      <w:bookmarkEnd w:id="153"/>
      <w:bookmarkEnd w:id="154"/>
      <w:bookmarkEnd w:id="155"/>
    </w:p>
    <w:p w:rsidR="00274D4E" w:rsidRDefault="00B5732B" w:rsidP="00754DE2">
      <w:pPr>
        <w:pStyle w:val="affe"/>
        <w:spacing w:before="156" w:after="156"/>
      </w:pPr>
      <w:bookmarkStart w:id="156" w:name="_Toc13845"/>
      <w:bookmarkStart w:id="157" w:name="_Toc8573"/>
      <w:bookmarkStart w:id="158" w:name="_Toc15079"/>
      <w:r>
        <w:rPr>
          <w:rFonts w:hint="eastAsia"/>
        </w:rPr>
        <w:t>一般</w:t>
      </w:r>
      <w:bookmarkEnd w:id="156"/>
      <w:bookmarkEnd w:id="157"/>
      <w:r>
        <w:rPr>
          <w:rFonts w:hint="eastAsia"/>
        </w:rPr>
        <w:t>要求</w:t>
      </w:r>
      <w:bookmarkEnd w:id="158"/>
    </w:p>
    <w:p w:rsidR="00274D4E" w:rsidRDefault="00B5732B">
      <w:pPr>
        <w:pStyle w:val="affffffffd"/>
      </w:pPr>
      <w:r>
        <w:rPr>
          <w:rFonts w:hint="eastAsia"/>
        </w:rPr>
        <w:t>对解释的疑似道路结构层病害或路基土体坍塌病害应通过探地雷达或其他物探方法进行复测，进一步明确疑似病害体的位置、范围及类型等属性信息；然后采取钻探、挖探、钎探等方法辅以影像手段对疑似道路结构层病害或路基土体坍塌病害进行验证。</w:t>
      </w:r>
    </w:p>
    <w:p w:rsidR="00274D4E" w:rsidRDefault="00B5732B">
      <w:pPr>
        <w:pStyle w:val="affffffffd"/>
      </w:pPr>
      <w:r>
        <w:rPr>
          <w:rFonts w:hint="eastAsia"/>
        </w:rPr>
        <w:t>复核与验证工作实施前，</w:t>
      </w:r>
      <w:r>
        <w:rPr>
          <w:rFonts w:ascii="Times New Roman" w:hint="eastAsia"/>
          <w:color w:val="000000"/>
        </w:rPr>
        <w:t>应</w:t>
      </w:r>
      <w:r>
        <w:rPr>
          <w:rFonts w:ascii="Times New Roman"/>
          <w:color w:val="000000"/>
        </w:rPr>
        <w:t>根据</w:t>
      </w:r>
      <w:r>
        <w:rPr>
          <w:rFonts w:ascii="Times New Roman" w:hint="eastAsia"/>
          <w:color w:val="000000"/>
        </w:rPr>
        <w:t>解释的疑似病害的</w:t>
      </w:r>
      <w:r>
        <w:rPr>
          <w:rFonts w:ascii="Times New Roman"/>
          <w:color w:val="000000"/>
        </w:rPr>
        <w:t>规模、埋深以及上覆地层承载能力等</w:t>
      </w:r>
      <w:r>
        <w:rPr>
          <w:rFonts w:ascii="Times New Roman" w:hint="eastAsia"/>
          <w:color w:val="000000"/>
        </w:rPr>
        <w:t>因素</w:t>
      </w:r>
      <w:r>
        <w:rPr>
          <w:rFonts w:ascii="Times New Roman"/>
          <w:color w:val="000000"/>
        </w:rPr>
        <w:t>，评估复核与验证工作致灾的可能性，</w:t>
      </w:r>
      <w:r>
        <w:rPr>
          <w:rFonts w:ascii="Times New Roman" w:hint="eastAsia"/>
          <w:color w:val="000000"/>
        </w:rPr>
        <w:t>采取</w:t>
      </w:r>
      <w:r>
        <w:rPr>
          <w:rFonts w:ascii="Times New Roman"/>
          <w:color w:val="000000"/>
        </w:rPr>
        <w:t>安全保护措施</w:t>
      </w:r>
      <w:r>
        <w:rPr>
          <w:rFonts w:hint="eastAsia"/>
        </w:rPr>
        <w:t>，避免引发道路塌陷事件。</w:t>
      </w:r>
    </w:p>
    <w:p w:rsidR="00274D4E" w:rsidRDefault="00B5732B">
      <w:pPr>
        <w:pStyle w:val="affffffffd"/>
      </w:pPr>
      <w:r>
        <w:t>对复核或验证确认的</w:t>
      </w:r>
      <w:r>
        <w:rPr>
          <w:rFonts w:hint="eastAsia"/>
        </w:rPr>
        <w:t>病害</w:t>
      </w:r>
      <w:r>
        <w:t>，</w:t>
      </w:r>
      <w:r>
        <w:rPr>
          <w:rFonts w:hint="eastAsia"/>
        </w:rPr>
        <w:t>应</w:t>
      </w:r>
      <w:r>
        <w:t>做好现场定位标记。</w:t>
      </w:r>
    </w:p>
    <w:p w:rsidR="00274D4E" w:rsidRDefault="00B5732B" w:rsidP="00754DE2">
      <w:pPr>
        <w:pStyle w:val="affe"/>
        <w:spacing w:before="156" w:after="156"/>
      </w:pPr>
      <w:bookmarkStart w:id="159" w:name="_Toc8003"/>
      <w:r>
        <w:rPr>
          <w:rFonts w:hint="eastAsia"/>
        </w:rPr>
        <w:t>道路结构层病害复核</w:t>
      </w:r>
      <w:bookmarkEnd w:id="159"/>
    </w:p>
    <w:p w:rsidR="00274D4E" w:rsidRDefault="00B5732B">
      <w:pPr>
        <w:pStyle w:val="afffd"/>
        <w:widowControl/>
        <w:autoSpaceDE w:val="0"/>
        <w:autoSpaceDN w:val="0"/>
        <w:adjustRightInd/>
        <w:spacing w:line="360" w:lineRule="auto"/>
        <w:ind w:firstLineChars="200" w:firstLine="420"/>
        <w:jc w:val="left"/>
        <w:rPr>
          <w:rFonts w:ascii="宋体" w:hAnsi="宋体" w:cs="宋体"/>
        </w:rPr>
      </w:pPr>
      <w:r>
        <w:rPr>
          <w:rFonts w:ascii="宋体" w:hAnsi="宋体" w:cs="宋体" w:hint="eastAsia"/>
        </w:rPr>
        <w:t>对解释的疑似道路结构层病害应进行复核，</w:t>
      </w:r>
      <w:r>
        <w:rPr>
          <w:rFonts w:ascii="宋体" w:hAnsi="宋体" w:cs="宋体" w:hint="eastAsia"/>
          <w:szCs w:val="20"/>
        </w:rPr>
        <w:t>消除外界环境、定位信号对探地雷达检测的影响，</w:t>
      </w:r>
      <w:r>
        <w:rPr>
          <w:rFonts w:ascii="宋体" w:hAnsi="宋体" w:cs="宋体"/>
        </w:rPr>
        <w:t>应</w:t>
      </w:r>
      <w:r>
        <w:rPr>
          <w:rFonts w:ascii="宋体" w:hAnsi="宋体" w:cs="宋体" w:hint="eastAsia"/>
        </w:rPr>
        <w:t>符合以下规定：</w:t>
      </w:r>
    </w:p>
    <w:p w:rsidR="00274D4E" w:rsidRDefault="00B5732B">
      <w:pPr>
        <w:pStyle w:val="af8"/>
        <w:numPr>
          <w:ilvl w:val="0"/>
          <w:numId w:val="67"/>
        </w:numPr>
      </w:pPr>
      <w:r>
        <w:rPr>
          <w:rFonts w:hint="eastAsia"/>
        </w:rPr>
        <w:t>根据定位或标记信息确定病害位置，采用探地雷达复核，必要时可选用其他方法，确认数据的一致性。</w:t>
      </w:r>
    </w:p>
    <w:p w:rsidR="00274D4E" w:rsidRDefault="00B5732B">
      <w:pPr>
        <w:pStyle w:val="af8"/>
        <w:numPr>
          <w:ilvl w:val="0"/>
          <w:numId w:val="67"/>
        </w:numPr>
      </w:pPr>
      <w:r>
        <w:rPr>
          <w:rFonts w:hint="eastAsia"/>
        </w:rPr>
        <w:t>复核范围不宜小于解释的疑似的病害体边界5m。</w:t>
      </w:r>
    </w:p>
    <w:p w:rsidR="00274D4E" w:rsidRDefault="00B5732B">
      <w:pPr>
        <w:pStyle w:val="af8"/>
        <w:numPr>
          <w:ilvl w:val="0"/>
          <w:numId w:val="67"/>
        </w:numPr>
      </w:pPr>
      <w:r>
        <w:rPr>
          <w:rFonts w:hint="eastAsia"/>
        </w:rPr>
        <w:t>宜采用二维探地雷达网格化加密布置测线（见图3），并满足以下要求：</w:t>
      </w:r>
    </w:p>
    <w:p w:rsidR="00274D4E" w:rsidRDefault="00B5732B">
      <w:pPr>
        <w:pStyle w:val="af9"/>
        <w:numPr>
          <w:ilvl w:val="1"/>
          <w:numId w:val="57"/>
        </w:numPr>
      </w:pPr>
      <w:r>
        <w:rPr>
          <w:rFonts w:hint="eastAsia"/>
        </w:rPr>
        <w:t>沿道路辅线方向的加密测线应超过异常体沿道路方向边界以外不小于10m范围：</w:t>
      </w:r>
    </w:p>
    <w:p w:rsidR="00274D4E" w:rsidRDefault="00B5732B">
      <w:pPr>
        <w:pStyle w:val="af9"/>
        <w:numPr>
          <w:ilvl w:val="1"/>
          <w:numId w:val="57"/>
        </w:numPr>
      </w:pPr>
      <w:r>
        <w:rPr>
          <w:rFonts w:hint="eastAsia"/>
        </w:rPr>
        <w:t>垂直道路辅线方向的加密测线宜根据现场条件延长：</w:t>
      </w:r>
    </w:p>
    <w:p w:rsidR="00274D4E" w:rsidRDefault="00B5732B">
      <w:pPr>
        <w:pStyle w:val="af9"/>
        <w:numPr>
          <w:ilvl w:val="1"/>
          <w:numId w:val="57"/>
        </w:numPr>
      </w:pPr>
      <w:r>
        <w:rPr>
          <w:rFonts w:hint="eastAsia"/>
        </w:rPr>
        <w:t>加密测线间距不宜小于1m；</w:t>
      </w:r>
    </w:p>
    <w:p w:rsidR="00274D4E" w:rsidRDefault="00B5732B">
      <w:pPr>
        <w:pStyle w:val="af9"/>
        <w:numPr>
          <w:ilvl w:val="1"/>
          <w:numId w:val="57"/>
        </w:numPr>
      </w:pPr>
      <w:r>
        <w:rPr>
          <w:rFonts w:hint="eastAsia"/>
        </w:rPr>
        <w:t>超出异常区域范围外仍需布设不少于1条测线：</w:t>
      </w:r>
    </w:p>
    <w:p w:rsidR="00274D4E" w:rsidRDefault="00B5732B">
      <w:pPr>
        <w:pStyle w:val="af9"/>
        <w:numPr>
          <w:ilvl w:val="1"/>
          <w:numId w:val="57"/>
        </w:numPr>
      </w:pPr>
      <w:r>
        <w:rPr>
          <w:rFonts w:hint="eastAsia"/>
        </w:rPr>
        <w:t>确定异常体范围后，在实地用喷漆做标记，在附近明显的地方标注其点号、测量异常位置坐标，并将相关信息填写于城市道路病害复核验证记录单，记录格式见附录E。</w:t>
      </w:r>
    </w:p>
    <w:p w:rsidR="00274D4E" w:rsidRDefault="00B5732B" w:rsidP="00754DE2">
      <w:pPr>
        <w:pStyle w:val="afffff1"/>
        <w:ind w:firstLine="420"/>
        <w:jc w:val="center"/>
      </w:pPr>
      <w:r>
        <w:rPr>
          <w:rFonts w:hint="eastAsia"/>
          <w:noProof/>
        </w:rPr>
        <w:lastRenderedPageBreak/>
        <w:drawing>
          <wp:inline distT="0" distB="0" distL="114300" distR="114300">
            <wp:extent cx="2172335" cy="2078355"/>
            <wp:effectExtent l="9525" t="9525" r="27940" b="266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a:off x="0" y="0"/>
                      <a:ext cx="2172335" cy="2078355"/>
                    </a:xfrm>
                    <a:prstGeom prst="rect">
                      <a:avLst/>
                    </a:prstGeom>
                    <a:noFill/>
                    <a:ln>
                      <a:solidFill>
                        <a:schemeClr val="tx1"/>
                      </a:solidFill>
                    </a:ln>
                  </pic:spPr>
                </pic:pic>
              </a:graphicData>
            </a:graphic>
          </wp:inline>
        </w:drawing>
      </w:r>
    </w:p>
    <w:p w:rsidR="00274D4E" w:rsidRDefault="00B5732B" w:rsidP="00754DE2">
      <w:pPr>
        <w:pStyle w:val="afd"/>
        <w:spacing w:before="156" w:after="156"/>
      </w:pPr>
      <w:r>
        <w:rPr>
          <w:rFonts w:hint="eastAsia"/>
        </w:rPr>
        <w:t>加密布置测线示意图</w:t>
      </w:r>
    </w:p>
    <w:p w:rsidR="00274D4E" w:rsidRDefault="00B5732B" w:rsidP="00754DE2">
      <w:pPr>
        <w:pStyle w:val="affe"/>
        <w:spacing w:before="156" w:after="156"/>
      </w:pPr>
      <w:bookmarkStart w:id="160" w:name="_Toc32611"/>
      <w:r>
        <w:rPr>
          <w:rFonts w:hint="eastAsia"/>
        </w:rPr>
        <w:t>路基土体坍塌病害复核</w:t>
      </w:r>
      <w:bookmarkEnd w:id="160"/>
    </w:p>
    <w:p w:rsidR="00274D4E" w:rsidRDefault="00B5732B">
      <w:pPr>
        <w:pStyle w:val="afffd"/>
        <w:spacing w:line="360" w:lineRule="auto"/>
        <w:ind w:firstLineChars="200" w:firstLine="420"/>
        <w:jc w:val="left"/>
        <w:rPr>
          <w:rFonts w:eastAsia="黑体" w:cs="黑体"/>
        </w:rPr>
      </w:pPr>
      <w:r>
        <w:rPr>
          <w:rFonts w:ascii="Times New Roman"/>
          <w:color w:val="000000"/>
        </w:rPr>
        <w:t>应根据</w:t>
      </w:r>
      <w:r>
        <w:rPr>
          <w:rFonts w:ascii="Times New Roman" w:hint="eastAsia"/>
          <w:color w:val="000000"/>
        </w:rPr>
        <w:t>解释的疑似</w:t>
      </w:r>
      <w:r>
        <w:rPr>
          <w:rFonts w:ascii="Times New Roman" w:hint="eastAsia"/>
          <w:bCs/>
          <w:color w:val="000000"/>
        </w:rPr>
        <w:t>路基土体坍塌病害</w:t>
      </w:r>
      <w:r>
        <w:rPr>
          <w:rFonts w:ascii="Times New Roman"/>
          <w:color w:val="000000"/>
        </w:rPr>
        <w:t>的规模、地球物理</w:t>
      </w:r>
      <w:r>
        <w:rPr>
          <w:rFonts w:ascii="Times New Roman" w:hint="eastAsia"/>
          <w:color w:val="000000"/>
        </w:rPr>
        <w:t>场</w:t>
      </w:r>
      <w:r>
        <w:rPr>
          <w:rFonts w:ascii="Times New Roman"/>
          <w:color w:val="000000"/>
        </w:rPr>
        <w:t>特征和周边作业环境等因素，选取合理的地球物理勘探方法进行复核，</w:t>
      </w:r>
      <w:r>
        <w:rPr>
          <w:rFonts w:ascii="Times New Roman" w:hint="eastAsia"/>
          <w:color w:val="000000"/>
        </w:rPr>
        <w:t>除满足第</w:t>
      </w:r>
      <w:r>
        <w:rPr>
          <w:rFonts w:ascii="Times New Roman" w:hint="eastAsia"/>
          <w:color w:val="000000"/>
        </w:rPr>
        <w:t>8.2</w:t>
      </w:r>
      <w:r>
        <w:rPr>
          <w:rFonts w:ascii="Times New Roman" w:hint="eastAsia"/>
          <w:color w:val="000000"/>
        </w:rPr>
        <w:t>条的规定外，并符合以下要求</w:t>
      </w:r>
      <w:r>
        <w:rPr>
          <w:rFonts w:ascii="宋体" w:hAnsi="宋体" w:cs="宋体"/>
        </w:rPr>
        <w:t>：</w:t>
      </w:r>
    </w:p>
    <w:p w:rsidR="00274D4E" w:rsidRDefault="00B5732B">
      <w:pPr>
        <w:pStyle w:val="af8"/>
      </w:pPr>
      <w:r>
        <w:rPr>
          <w:rFonts w:hint="eastAsia"/>
        </w:rPr>
        <w:t>宜采用不同中心频率探地雷达对</w:t>
      </w:r>
      <w:r>
        <w:t>初判的地下病害</w:t>
      </w:r>
      <w:r>
        <w:rPr>
          <w:rFonts w:hint="eastAsia"/>
        </w:rPr>
        <w:t>进行复核，确定病害的平面位置、类型和规模等</w:t>
      </w:r>
      <w:r>
        <w:t>；</w:t>
      </w:r>
    </w:p>
    <w:p w:rsidR="00274D4E" w:rsidRDefault="00B5732B">
      <w:pPr>
        <w:pStyle w:val="af8"/>
      </w:pPr>
      <w:r>
        <w:rPr>
          <w:rFonts w:hint="eastAsia"/>
        </w:rPr>
        <w:t>病害</w:t>
      </w:r>
      <w:r>
        <w:t>埋深较</w:t>
      </w:r>
      <w:r>
        <w:rPr>
          <w:rFonts w:hint="eastAsia"/>
        </w:rPr>
        <w:t>大</w:t>
      </w:r>
      <w:r>
        <w:t>时可结合现场条件选用微动勘探法、地震映像法或瞬态面波法等物探方法进行复核</w:t>
      </w:r>
      <w:r>
        <w:rPr>
          <w:rFonts w:hint="eastAsia"/>
        </w:rPr>
        <w:t>；</w:t>
      </w:r>
    </w:p>
    <w:p w:rsidR="00274D4E" w:rsidRDefault="00B5732B">
      <w:pPr>
        <w:pStyle w:val="af8"/>
      </w:pPr>
      <w:r>
        <w:t>病害</w:t>
      </w:r>
      <w:r>
        <w:rPr>
          <w:rFonts w:hint="eastAsia"/>
        </w:rPr>
        <w:t>周边存在排水管线时，宜采用管线电视或管线潜望镜检测，必要时采用管中探地雷达</w:t>
      </w:r>
      <w:r>
        <w:t>检查</w:t>
      </w:r>
      <w:r>
        <w:rPr>
          <w:rFonts w:hint="eastAsia"/>
        </w:rPr>
        <w:t>管线周边</w:t>
      </w:r>
      <w:r>
        <w:t>情况</w:t>
      </w:r>
      <w:r>
        <w:rPr>
          <w:rFonts w:hint="eastAsia"/>
        </w:rPr>
        <w:t>，相关要求应符合JGJ/T 437相关规定。</w:t>
      </w:r>
    </w:p>
    <w:p w:rsidR="00274D4E" w:rsidRDefault="00B5732B">
      <w:pPr>
        <w:pStyle w:val="af8"/>
      </w:pPr>
      <w:r>
        <w:t>隐患复核时应按照不同检测方法及时填写</w:t>
      </w:r>
      <w:r>
        <w:rPr>
          <w:rFonts w:hint="eastAsia"/>
        </w:rPr>
        <w:t>城市道路病害复核验证记录单</w:t>
      </w:r>
      <w:r>
        <w:t>，记录内容应清晰、准确、完整，记录格式</w:t>
      </w:r>
      <w:r>
        <w:rPr>
          <w:rFonts w:hint="eastAsia"/>
        </w:rPr>
        <w:t>见附录E。</w:t>
      </w:r>
    </w:p>
    <w:p w:rsidR="00274D4E" w:rsidRDefault="00B5732B" w:rsidP="00754DE2">
      <w:pPr>
        <w:pStyle w:val="affe"/>
        <w:spacing w:before="156" w:after="156"/>
      </w:pPr>
      <w:bookmarkStart w:id="161" w:name="_Toc10584"/>
      <w:r>
        <w:rPr>
          <w:rFonts w:hint="eastAsia"/>
        </w:rPr>
        <w:t>道路结构层病害验证</w:t>
      </w:r>
      <w:bookmarkEnd w:id="161"/>
    </w:p>
    <w:p w:rsidR="00274D4E" w:rsidRDefault="00B5732B">
      <w:pPr>
        <w:pStyle w:val="afffd"/>
        <w:widowControl/>
        <w:autoSpaceDE w:val="0"/>
        <w:autoSpaceDN w:val="0"/>
        <w:adjustRightInd/>
        <w:spacing w:line="360" w:lineRule="auto"/>
        <w:ind w:firstLineChars="200" w:firstLine="420"/>
        <w:jc w:val="left"/>
        <w:rPr>
          <w:rFonts w:ascii="宋体" w:hAnsi="宋体" w:cs="宋体"/>
        </w:rPr>
      </w:pPr>
      <w:r>
        <w:rPr>
          <w:rFonts w:ascii="宋体" w:hAnsi="宋体" w:cs="宋体" w:hint="eastAsia"/>
        </w:rPr>
        <w:t>对复核完的疑似道路结构层病害应进行验证并符合以下规定：</w:t>
      </w:r>
    </w:p>
    <w:p w:rsidR="00274D4E" w:rsidRDefault="00B5732B">
      <w:pPr>
        <w:pStyle w:val="af8"/>
        <w:numPr>
          <w:ilvl w:val="0"/>
          <w:numId w:val="68"/>
        </w:numPr>
      </w:pPr>
      <w:r>
        <w:rPr>
          <w:rFonts w:hint="eastAsia"/>
        </w:rPr>
        <w:t>宜对影响道路服役性能的道路结构层疑似病害进行钻孔取芯验证，确认病害属性特征；</w:t>
      </w:r>
    </w:p>
    <w:p w:rsidR="00274D4E" w:rsidRDefault="00B5732B">
      <w:pPr>
        <w:pStyle w:val="af8"/>
        <w:numPr>
          <w:ilvl w:val="0"/>
          <w:numId w:val="68"/>
        </w:numPr>
      </w:pPr>
      <w:bookmarkStart w:id="162" w:name="_Toc29381"/>
      <w:bookmarkStart w:id="163" w:name="_Toc30385"/>
      <w:r>
        <w:t>疑似的结构性裂缝、结构层松散病害验证应按实际情况验证，每种不少于3处</w:t>
      </w:r>
      <w:r>
        <w:rPr>
          <w:rFonts w:hint="eastAsia"/>
        </w:rPr>
        <w:t>。</w:t>
      </w:r>
    </w:p>
    <w:p w:rsidR="00274D4E" w:rsidRDefault="00B5732B" w:rsidP="00754DE2">
      <w:pPr>
        <w:pStyle w:val="affe"/>
        <w:spacing w:before="156" w:after="156"/>
      </w:pPr>
      <w:bookmarkStart w:id="164" w:name="_Toc13996"/>
      <w:r>
        <w:rPr>
          <w:rFonts w:hint="eastAsia"/>
        </w:rPr>
        <w:t>路基土体坍塌病害验证</w:t>
      </w:r>
      <w:bookmarkEnd w:id="162"/>
      <w:bookmarkEnd w:id="163"/>
      <w:bookmarkEnd w:id="164"/>
    </w:p>
    <w:p w:rsidR="00274D4E" w:rsidRDefault="00B5732B">
      <w:pPr>
        <w:pStyle w:val="affffffffd"/>
      </w:pPr>
      <w:r>
        <w:t>宜选取钻探、挖探、动力触探等方法</w:t>
      </w:r>
      <w:r>
        <w:rPr>
          <w:rFonts w:hint="eastAsia"/>
        </w:rPr>
        <w:t>，辅以孔内摄像等手段</w:t>
      </w:r>
      <w:r>
        <w:t>对</w:t>
      </w:r>
      <w:r>
        <w:rPr>
          <w:rFonts w:hint="eastAsia"/>
        </w:rPr>
        <w:t>解释</w:t>
      </w:r>
      <w:r>
        <w:t>的空洞、脱空、疏松体等</w:t>
      </w:r>
      <w:r>
        <w:rPr>
          <w:rFonts w:hint="eastAsia"/>
        </w:rPr>
        <w:t>路基土体坍塌病害</w:t>
      </w:r>
      <w:r>
        <w:t>进行验证，确定</w:t>
      </w:r>
      <w:r>
        <w:rPr>
          <w:rFonts w:hint="eastAsia"/>
        </w:rPr>
        <w:t>病害体</w:t>
      </w:r>
      <w:r>
        <w:t>的隐患类型、内部性状等</w:t>
      </w:r>
      <w:r>
        <w:rPr>
          <w:rFonts w:hint="eastAsia"/>
        </w:rPr>
        <w:t>，查明其顶部埋深、底部埋深和净深等参数</w:t>
      </w:r>
      <w:r>
        <w:t>。</w:t>
      </w:r>
    </w:p>
    <w:p w:rsidR="00274D4E" w:rsidRDefault="00B5732B">
      <w:pPr>
        <w:pStyle w:val="affffffffd"/>
      </w:pPr>
      <w:r>
        <w:rPr>
          <w:rFonts w:hint="eastAsia"/>
        </w:rPr>
        <w:t>路基土体坍塌病害</w:t>
      </w:r>
      <w:r>
        <w:t>验证</w:t>
      </w:r>
      <w:r>
        <w:rPr>
          <w:rFonts w:hint="eastAsia"/>
        </w:rPr>
        <w:t>前</w:t>
      </w:r>
      <w:r>
        <w:t>应调查周边环境情况，查明</w:t>
      </w:r>
      <w:r>
        <w:rPr>
          <w:rFonts w:hint="eastAsia"/>
        </w:rPr>
        <w:t>病害</w:t>
      </w:r>
      <w:r>
        <w:t>影响区域内地下管线和其他设施分布情况，避免因验证工作破坏地下设施，产生次生事故</w:t>
      </w:r>
      <w:r>
        <w:rPr>
          <w:rFonts w:hint="eastAsia"/>
        </w:rPr>
        <w:t>，同时为病害的成因分析提供相关信息</w:t>
      </w:r>
      <w:r>
        <w:t>。</w:t>
      </w:r>
    </w:p>
    <w:p w:rsidR="00274D4E" w:rsidRDefault="00B5732B">
      <w:pPr>
        <w:pStyle w:val="affffffffd"/>
      </w:pPr>
      <w:r>
        <w:t>疑似的空洞、脱空及严重疏松病害体验证比例应为100%；疑似的富水体、中等疏松体、一般疏松体验证比例不宜低于20%。</w:t>
      </w:r>
    </w:p>
    <w:p w:rsidR="00274D4E" w:rsidRDefault="00B5732B">
      <w:pPr>
        <w:pStyle w:val="affffffffd"/>
      </w:pPr>
      <w:r>
        <w:rPr>
          <w:rFonts w:hint="eastAsia"/>
        </w:rPr>
        <w:t>验证点布设应符合以下要求：</w:t>
      </w:r>
    </w:p>
    <w:p w:rsidR="00274D4E" w:rsidRDefault="00B5732B">
      <w:pPr>
        <w:pStyle w:val="af8"/>
        <w:numPr>
          <w:ilvl w:val="0"/>
          <w:numId w:val="69"/>
        </w:numPr>
      </w:pPr>
      <w:r>
        <w:lastRenderedPageBreak/>
        <w:t>应结合</w:t>
      </w:r>
      <w:r>
        <w:rPr>
          <w:rFonts w:hint="eastAsia"/>
        </w:rPr>
        <w:t>病害</w:t>
      </w:r>
      <w:r>
        <w:t>体附近区域的探地雷达图谱特征设计钻孔位置，对于平板状图谱特征的</w:t>
      </w:r>
      <w:r>
        <w:rPr>
          <w:rFonts w:hint="eastAsia"/>
        </w:rPr>
        <w:t>病害</w:t>
      </w:r>
      <w:r>
        <w:t>体宜布设在探地雷达图谱异常反映最强部位或中心部位；对于抛物线图谱特征的</w:t>
      </w:r>
      <w:r>
        <w:rPr>
          <w:rFonts w:hint="eastAsia"/>
        </w:rPr>
        <w:t>病害</w:t>
      </w:r>
      <w:r>
        <w:t>体，钻孔布设在抛物线顶点位置；</w:t>
      </w:r>
    </w:p>
    <w:p w:rsidR="00274D4E" w:rsidRDefault="00B5732B">
      <w:pPr>
        <w:pStyle w:val="af8"/>
        <w:numPr>
          <w:ilvl w:val="0"/>
          <w:numId w:val="69"/>
        </w:numPr>
      </w:pPr>
      <w:r>
        <w:rPr>
          <w:rFonts w:hint="eastAsia"/>
        </w:rPr>
        <w:t>病害</w:t>
      </w:r>
      <w:r>
        <w:t>规模较大时，应结合异常体的特征增加验证点数量；</w:t>
      </w:r>
    </w:p>
    <w:p w:rsidR="00274D4E" w:rsidRDefault="00B5732B">
      <w:pPr>
        <w:pStyle w:val="af8"/>
        <w:numPr>
          <w:ilvl w:val="0"/>
          <w:numId w:val="69"/>
        </w:numPr>
      </w:pPr>
      <w:r>
        <w:t>当验证</w:t>
      </w:r>
      <w:r>
        <w:rPr>
          <w:rFonts w:hint="eastAsia"/>
        </w:rPr>
        <w:t>病害</w:t>
      </w:r>
      <w:r>
        <w:t>体的边界时，可根据探地雷达</w:t>
      </w:r>
      <w:r>
        <w:rPr>
          <w:rFonts w:hint="eastAsia"/>
        </w:rPr>
        <w:t>图谱</w:t>
      </w:r>
      <w:r>
        <w:t>反映的边界位置，在所检测的边界两侧0.5 m</w:t>
      </w:r>
      <w:r>
        <w:rPr>
          <w:rFonts w:ascii="Times New Roman"/>
        </w:rPr>
        <w:t>~</w:t>
      </w:r>
      <w:r>
        <w:t>1.0 m</w:t>
      </w:r>
      <w:r>
        <w:rPr>
          <w:rFonts w:hint="eastAsia"/>
        </w:rPr>
        <w:t>范围内</w:t>
      </w:r>
      <w:r>
        <w:t>分别布设验证点；</w:t>
      </w:r>
    </w:p>
    <w:p w:rsidR="00274D4E" w:rsidRDefault="00B5732B">
      <w:pPr>
        <w:pStyle w:val="af8"/>
        <w:numPr>
          <w:ilvl w:val="0"/>
          <w:numId w:val="69"/>
        </w:numPr>
      </w:pPr>
      <w:r>
        <w:t>当验证</w:t>
      </w:r>
      <w:r>
        <w:rPr>
          <w:rFonts w:hint="eastAsia"/>
        </w:rPr>
        <w:t>病害</w:t>
      </w:r>
      <w:r>
        <w:t>体下方或周边存在时，应根据地下管线调查结果避开管线进行验证。</w:t>
      </w:r>
    </w:p>
    <w:p w:rsidR="00274D4E" w:rsidRDefault="00B5732B">
      <w:pPr>
        <w:pStyle w:val="affffffffd"/>
      </w:pPr>
      <w:r>
        <w:rPr>
          <w:rFonts w:hint="eastAsia"/>
        </w:rPr>
        <w:t>现场验证工作应按照以下要求开展：</w:t>
      </w:r>
    </w:p>
    <w:p w:rsidR="00274D4E" w:rsidRDefault="00B5732B">
      <w:pPr>
        <w:pStyle w:val="af8"/>
        <w:numPr>
          <w:ilvl w:val="0"/>
          <w:numId w:val="70"/>
        </w:numPr>
      </w:pPr>
      <w:r>
        <w:rPr>
          <w:rFonts w:hint="eastAsia"/>
        </w:rPr>
        <w:t>病害</w:t>
      </w:r>
      <w:r>
        <w:t>验证时应对验证人员和设备进行安全防护，设置专门的安全防护设备和设施，安排专人负责交通安全疏导</w:t>
      </w:r>
      <w:r>
        <w:rPr>
          <w:rFonts w:hint="eastAsia"/>
        </w:rPr>
        <w:t>；</w:t>
      </w:r>
    </w:p>
    <w:p w:rsidR="00274D4E" w:rsidRDefault="00B5732B">
      <w:pPr>
        <w:pStyle w:val="af8"/>
        <w:numPr>
          <w:ilvl w:val="0"/>
          <w:numId w:val="70"/>
        </w:numPr>
      </w:pPr>
      <w:r>
        <w:t>采用带水钻探方式进行验证时，应结合</w:t>
      </w:r>
      <w:r>
        <w:rPr>
          <w:rFonts w:hint="eastAsia"/>
        </w:rPr>
        <w:t>病害</w:t>
      </w:r>
      <w:r>
        <w:t>的特点，控制钻探用水方式，避免钻探用水对</w:t>
      </w:r>
      <w:r>
        <w:rPr>
          <w:rFonts w:hint="eastAsia"/>
        </w:rPr>
        <w:t>病害体</w:t>
      </w:r>
      <w:r>
        <w:t>特征识别造成干扰</w:t>
      </w:r>
      <w:r>
        <w:rPr>
          <w:rFonts w:hint="eastAsia"/>
        </w:rPr>
        <w:t>；</w:t>
      </w:r>
    </w:p>
    <w:p w:rsidR="00274D4E" w:rsidRDefault="00B5732B">
      <w:pPr>
        <w:pStyle w:val="af8"/>
        <w:numPr>
          <w:ilvl w:val="0"/>
          <w:numId w:val="70"/>
        </w:numPr>
      </w:pPr>
      <w:r>
        <w:rPr>
          <w:rFonts w:ascii="Times New Roman"/>
          <w:color w:val="000000"/>
        </w:rPr>
        <w:t>验证时应记录</w:t>
      </w:r>
      <w:r>
        <w:rPr>
          <w:rFonts w:ascii="Times New Roman" w:hint="eastAsia"/>
          <w:color w:val="000000"/>
        </w:rPr>
        <w:t>病害</w:t>
      </w:r>
      <w:r>
        <w:rPr>
          <w:rFonts w:ascii="Times New Roman"/>
          <w:color w:val="000000"/>
        </w:rPr>
        <w:t>的详细位置、起止深度、岩土体性状、土体湿度状况、周边环境、验证过程施工的异常现象等，并且准确、完整填写</w:t>
      </w:r>
      <w:r>
        <w:rPr>
          <w:rFonts w:hint="eastAsia"/>
        </w:rPr>
        <w:t>城市道路病害复核验证记录单</w:t>
      </w:r>
      <w:r>
        <w:rPr>
          <w:rFonts w:hAnsi="宋体" w:cs="宋体" w:hint="eastAsia"/>
          <w:color w:val="000000"/>
        </w:rPr>
        <w:t>，</w:t>
      </w:r>
      <w:r>
        <w:t>记录格式</w:t>
      </w:r>
      <w:r>
        <w:rPr>
          <w:rFonts w:hint="eastAsia"/>
        </w:rPr>
        <w:t>见附录E；</w:t>
      </w:r>
    </w:p>
    <w:p w:rsidR="00274D4E" w:rsidRDefault="00B5732B">
      <w:pPr>
        <w:pStyle w:val="af8"/>
        <w:numPr>
          <w:ilvl w:val="0"/>
          <w:numId w:val="70"/>
        </w:numPr>
      </w:pPr>
      <w:r>
        <w:t>钻探验证结束后，应对</w:t>
      </w:r>
      <w:r>
        <w:rPr>
          <w:rFonts w:hint="eastAsia"/>
        </w:rPr>
        <w:t>病害</w:t>
      </w:r>
      <w:r>
        <w:t>顶部以上、道路结构层部分的钻孔深度段进行封堵。</w:t>
      </w:r>
    </w:p>
    <w:p w:rsidR="00274D4E" w:rsidRDefault="00B5732B">
      <w:pPr>
        <w:pStyle w:val="affffffffd"/>
      </w:pPr>
      <w:r>
        <w:t>验证完成后应根据验证结果及时修正初始检测结论，确认</w:t>
      </w:r>
      <w:r>
        <w:rPr>
          <w:rFonts w:hint="eastAsia"/>
        </w:rPr>
        <w:t>病害的</w:t>
      </w:r>
      <w:r>
        <w:t>类型、影响范围及性状，两者偏差较大时，应及时分析原因并修正相关结果。</w:t>
      </w:r>
    </w:p>
    <w:p w:rsidR="00274D4E" w:rsidRDefault="00B5732B" w:rsidP="00754DE2">
      <w:pPr>
        <w:pStyle w:val="affd"/>
        <w:spacing w:before="312" w:after="312"/>
      </w:pPr>
      <w:bookmarkStart w:id="165" w:name="_Toc4173"/>
      <w:bookmarkStart w:id="166" w:name="_Toc16190"/>
      <w:bookmarkStart w:id="167" w:name="_Toc28299"/>
      <w:r>
        <w:rPr>
          <w:rFonts w:hint="eastAsia"/>
        </w:rPr>
        <w:t>路基土体坍塌病害风险评估</w:t>
      </w:r>
      <w:bookmarkEnd w:id="165"/>
      <w:bookmarkEnd w:id="166"/>
      <w:r>
        <w:rPr>
          <w:rFonts w:hint="eastAsia"/>
        </w:rPr>
        <w:t>及处置</w:t>
      </w:r>
      <w:bookmarkEnd w:id="167"/>
    </w:p>
    <w:p w:rsidR="00274D4E" w:rsidRDefault="00B5732B" w:rsidP="00754DE2">
      <w:pPr>
        <w:pStyle w:val="affe"/>
        <w:spacing w:before="156" w:after="156"/>
      </w:pPr>
      <w:bookmarkStart w:id="168" w:name="_Toc30154"/>
      <w:bookmarkStart w:id="169" w:name="_Toc24573"/>
      <w:bookmarkStart w:id="170" w:name="_Toc25356"/>
      <w:r>
        <w:rPr>
          <w:rFonts w:hint="eastAsia"/>
        </w:rPr>
        <w:t>一般</w:t>
      </w:r>
      <w:bookmarkEnd w:id="168"/>
      <w:bookmarkEnd w:id="169"/>
      <w:r>
        <w:rPr>
          <w:rFonts w:hint="eastAsia"/>
        </w:rPr>
        <w:t>要求</w:t>
      </w:r>
      <w:bookmarkEnd w:id="170"/>
    </w:p>
    <w:p w:rsidR="00274D4E" w:rsidRDefault="00B5732B">
      <w:pPr>
        <w:pStyle w:val="affffffffd"/>
      </w:pPr>
      <w:r>
        <w:rPr>
          <w:rFonts w:hint="eastAsia"/>
        </w:rPr>
        <w:t>对确认的路基土体坍塌病害进行风险评估，可分为单个病害体风险评估和道路塌陷风险评估，并应符合以下要求：</w:t>
      </w:r>
    </w:p>
    <w:p w:rsidR="00274D4E" w:rsidRDefault="00B5732B">
      <w:pPr>
        <w:pStyle w:val="af8"/>
        <w:numPr>
          <w:ilvl w:val="0"/>
          <w:numId w:val="71"/>
        </w:numPr>
      </w:pPr>
      <w:r>
        <w:rPr>
          <w:rFonts w:hint="eastAsia"/>
        </w:rPr>
        <w:t>路基土体坍塌病害风险评估应以</w:t>
      </w:r>
      <w:r>
        <w:t>单个</w:t>
      </w:r>
      <w:r>
        <w:rPr>
          <w:rFonts w:hint="eastAsia"/>
        </w:rPr>
        <w:t>路基土体坍塌病害</w:t>
      </w:r>
      <w:r>
        <w:t>为</w:t>
      </w:r>
      <w:r>
        <w:rPr>
          <w:rFonts w:hint="eastAsia"/>
        </w:rPr>
        <w:t>评估</w:t>
      </w:r>
      <w:r>
        <w:t>对象，</w:t>
      </w:r>
      <w:r>
        <w:rPr>
          <w:rFonts w:cs="宋体" w:hint="eastAsia"/>
        </w:rPr>
        <w:t>根据检测的路基土体坍塌病害的类型、规模及其周边主控环境因素评价其致塌可能性及其对道路和周边地下管线等设施的危害，综合评价其致塌风险性等级</w:t>
      </w:r>
      <w:r>
        <w:t>，提出风险控制对策建议</w:t>
      </w:r>
      <w:r>
        <w:rPr>
          <w:rFonts w:hint="eastAsia"/>
        </w:rPr>
        <w:t>；</w:t>
      </w:r>
    </w:p>
    <w:p w:rsidR="00274D4E" w:rsidRDefault="00B5732B">
      <w:pPr>
        <w:pStyle w:val="af8"/>
        <w:numPr>
          <w:ilvl w:val="0"/>
          <w:numId w:val="71"/>
        </w:numPr>
      </w:pPr>
      <w:r>
        <w:rPr>
          <w:rFonts w:hint="eastAsia"/>
        </w:rPr>
        <w:t>道路塌陷风险评估以所检测的道路单元为评估对象，结合道路本次与历次检测的路基土体坍塌病害风险评估结果和历次塌陷情况、地质条件及周边致塌环境因素等，评估各条道路的塌陷风险等级，提出相应的风险控制建议。</w:t>
      </w:r>
    </w:p>
    <w:p w:rsidR="00274D4E" w:rsidRDefault="00B5732B">
      <w:pPr>
        <w:pStyle w:val="affffffffd"/>
      </w:pPr>
      <w:r>
        <w:rPr>
          <w:rFonts w:hint="eastAsia"/>
        </w:rPr>
        <w:t>路基土体坍塌病害风险评估工作包括风险影响因素调查、风险发生可能性评价、风险后果评价和风险等级评定。</w:t>
      </w:r>
    </w:p>
    <w:p w:rsidR="00274D4E" w:rsidRDefault="00B5732B">
      <w:pPr>
        <w:pStyle w:val="affffffffd"/>
      </w:pPr>
      <w:r>
        <w:t>风险发生可能性和风险后果评价宜采用指标体系法，道路塌陷风险等级评定宜采用风险矩阵法。</w:t>
      </w:r>
    </w:p>
    <w:p w:rsidR="00274D4E" w:rsidRDefault="00B5732B">
      <w:pPr>
        <w:pStyle w:val="affffffffd"/>
      </w:pPr>
      <w:r>
        <w:t>风险</w:t>
      </w:r>
      <w:r>
        <w:rPr>
          <w:rFonts w:hint="eastAsia"/>
        </w:rPr>
        <w:t>评价</w:t>
      </w:r>
      <w:r>
        <w:t>指标及与权重应</w:t>
      </w:r>
      <w:r>
        <w:rPr>
          <w:rFonts w:hint="eastAsia"/>
        </w:rPr>
        <w:t>根据致塌风险的主控因素确定，</w:t>
      </w:r>
      <w:r>
        <w:t>具有代表性、针对性和全面性。</w:t>
      </w:r>
    </w:p>
    <w:p w:rsidR="00274D4E" w:rsidRDefault="00B5732B">
      <w:pPr>
        <w:pStyle w:val="affffffffd"/>
      </w:pPr>
      <w:r>
        <w:rPr>
          <w:rFonts w:hint="eastAsia"/>
        </w:rPr>
        <w:t>道路检测成果验证后宜立即进行风险评估，复核后或评估条件发生变化时，宜重新进行评估。</w:t>
      </w:r>
    </w:p>
    <w:p w:rsidR="00274D4E" w:rsidRDefault="00B5732B" w:rsidP="00754DE2">
      <w:pPr>
        <w:pStyle w:val="affe"/>
        <w:spacing w:before="156" w:after="156"/>
      </w:pPr>
      <w:bookmarkStart w:id="171" w:name="_Toc20992"/>
      <w:bookmarkStart w:id="172" w:name="_Toc15901"/>
      <w:bookmarkStart w:id="173" w:name="_Toc29571"/>
      <w:r>
        <w:rPr>
          <w:rFonts w:hint="eastAsia"/>
        </w:rPr>
        <w:t>风险影响因素调查</w:t>
      </w:r>
      <w:bookmarkEnd w:id="171"/>
      <w:bookmarkEnd w:id="172"/>
      <w:bookmarkEnd w:id="173"/>
    </w:p>
    <w:p w:rsidR="00274D4E" w:rsidRDefault="00B5732B">
      <w:pPr>
        <w:pStyle w:val="affffffffd"/>
      </w:pPr>
      <w:r>
        <w:rPr>
          <w:rFonts w:hint="eastAsia"/>
        </w:rPr>
        <w:t>应根据风险评估的目的和要求开展路基土体坍塌病害体自身及评估区致塌环境等因素调查。</w:t>
      </w:r>
    </w:p>
    <w:p w:rsidR="00274D4E" w:rsidRDefault="00B5732B">
      <w:pPr>
        <w:pStyle w:val="affffffffd"/>
      </w:pPr>
      <w:r>
        <w:rPr>
          <w:rFonts w:hint="eastAsia"/>
        </w:rPr>
        <w:t>风险影响因素调查可采用资料搜集、现场调查测绘等方法，必要时开展检测工作。</w:t>
      </w:r>
    </w:p>
    <w:p w:rsidR="00274D4E" w:rsidRDefault="00B5732B">
      <w:pPr>
        <w:pStyle w:val="affffffffd"/>
      </w:pPr>
      <w:r>
        <w:rPr>
          <w:rFonts w:hint="eastAsia"/>
        </w:rPr>
        <w:t>风险影响因素调查应包含以下内容：</w:t>
      </w:r>
    </w:p>
    <w:p w:rsidR="00274D4E" w:rsidRDefault="00B5732B">
      <w:pPr>
        <w:pStyle w:val="af8"/>
        <w:numPr>
          <w:ilvl w:val="0"/>
          <w:numId w:val="72"/>
        </w:numPr>
      </w:pPr>
      <w:r>
        <w:rPr>
          <w:rFonts w:hint="eastAsia"/>
        </w:rPr>
        <w:t>病害影响范围内道路、地下管线、地下建构筑物、地面设施等的分布、规模和状态，以及其与病害之间的相对位置关系；</w:t>
      </w:r>
    </w:p>
    <w:p w:rsidR="00274D4E" w:rsidRDefault="00B5732B">
      <w:pPr>
        <w:pStyle w:val="af8"/>
        <w:numPr>
          <w:ilvl w:val="0"/>
          <w:numId w:val="72"/>
        </w:numPr>
      </w:pPr>
      <w:r>
        <w:rPr>
          <w:rFonts w:hint="eastAsia"/>
        </w:rPr>
        <w:t>检测道路历次地下病害检测情况及其工程处置；</w:t>
      </w:r>
    </w:p>
    <w:p w:rsidR="00274D4E" w:rsidRDefault="00B5732B">
      <w:pPr>
        <w:pStyle w:val="af8"/>
        <w:numPr>
          <w:ilvl w:val="0"/>
          <w:numId w:val="72"/>
        </w:numPr>
      </w:pPr>
      <w:r>
        <w:rPr>
          <w:rFonts w:hint="eastAsia"/>
        </w:rPr>
        <w:lastRenderedPageBreak/>
        <w:t>病害周边地下岩土层组成、结构等及水文地质条件；</w:t>
      </w:r>
    </w:p>
    <w:p w:rsidR="00274D4E" w:rsidRDefault="00B5732B">
      <w:pPr>
        <w:pStyle w:val="af8"/>
        <w:numPr>
          <w:ilvl w:val="0"/>
          <w:numId w:val="72"/>
        </w:numPr>
      </w:pPr>
      <w:r>
        <w:rPr>
          <w:rFonts w:hint="eastAsia"/>
        </w:rPr>
        <w:t>病害影响范围内道路历史上发育的变形、沉陷、裂缝、坑槽、积水等异常情况及其严重程度，以及历史塌陷情况和修复处置；</w:t>
      </w:r>
    </w:p>
    <w:p w:rsidR="00274D4E" w:rsidRDefault="00B5732B">
      <w:pPr>
        <w:pStyle w:val="af8"/>
        <w:numPr>
          <w:ilvl w:val="0"/>
          <w:numId w:val="72"/>
        </w:numPr>
      </w:pPr>
      <w:r>
        <w:rPr>
          <w:rFonts w:hint="eastAsia"/>
        </w:rPr>
        <w:t>病害影响范围内的地下管线及管井淤堵、变形、破损等异常情况及其严重程度、相关设施的养护情况；</w:t>
      </w:r>
    </w:p>
    <w:p w:rsidR="00274D4E" w:rsidRDefault="00B5732B">
      <w:pPr>
        <w:pStyle w:val="af8"/>
        <w:numPr>
          <w:ilvl w:val="0"/>
          <w:numId w:val="72"/>
        </w:numPr>
      </w:pPr>
      <w:r>
        <w:rPr>
          <w:rFonts w:hint="eastAsia"/>
        </w:rPr>
        <w:t>病害影响范围内的地面开挖、地下工程和邻近建筑工程施工等现状及历史状况；</w:t>
      </w:r>
    </w:p>
    <w:p w:rsidR="00274D4E" w:rsidRDefault="00B5732B">
      <w:pPr>
        <w:pStyle w:val="af8"/>
        <w:numPr>
          <w:ilvl w:val="0"/>
          <w:numId w:val="72"/>
        </w:numPr>
      </w:pPr>
      <w:r>
        <w:rPr>
          <w:rFonts w:hint="eastAsia"/>
        </w:rPr>
        <w:t>病害影响范围内的建(构)筑物、人员分布等情况，评价人员、财产密集程度；</w:t>
      </w:r>
    </w:p>
    <w:p w:rsidR="00274D4E" w:rsidRDefault="00B5732B">
      <w:pPr>
        <w:pStyle w:val="af8"/>
        <w:numPr>
          <w:ilvl w:val="0"/>
          <w:numId w:val="72"/>
        </w:numPr>
      </w:pPr>
      <w:r>
        <w:rPr>
          <w:rFonts w:hint="eastAsia"/>
        </w:rPr>
        <w:t>其他有关资料。</w:t>
      </w:r>
    </w:p>
    <w:p w:rsidR="00274D4E" w:rsidRDefault="00B5732B" w:rsidP="00754DE2">
      <w:pPr>
        <w:pStyle w:val="affe"/>
        <w:spacing w:before="156" w:after="156"/>
      </w:pPr>
      <w:bookmarkStart w:id="174" w:name="_Toc27770"/>
      <w:bookmarkStart w:id="175" w:name="_Toc32474"/>
      <w:bookmarkStart w:id="176" w:name="_Toc7260"/>
      <w:r>
        <w:rPr>
          <w:rFonts w:hint="eastAsia"/>
        </w:rPr>
        <w:t>路基土体坍塌病害风险评估</w:t>
      </w:r>
      <w:bookmarkEnd w:id="174"/>
      <w:bookmarkEnd w:id="175"/>
      <w:bookmarkEnd w:id="176"/>
    </w:p>
    <w:p w:rsidR="00274D4E" w:rsidRDefault="00B5732B" w:rsidP="00754DE2">
      <w:pPr>
        <w:pStyle w:val="afff"/>
        <w:spacing w:before="156" w:after="156"/>
      </w:pPr>
      <w:bookmarkStart w:id="177" w:name="_Toc17321"/>
      <w:bookmarkStart w:id="178" w:name="_Toc10168"/>
      <w:r>
        <w:rPr>
          <w:rFonts w:hint="eastAsia"/>
        </w:rPr>
        <w:t>致塌风险可能性评估</w:t>
      </w:r>
      <w:bookmarkEnd w:id="177"/>
      <w:bookmarkEnd w:id="178"/>
    </w:p>
    <w:p w:rsidR="00274D4E" w:rsidRDefault="00B5732B">
      <w:pPr>
        <w:pStyle w:val="affffffffc"/>
      </w:pPr>
      <w:r>
        <w:rPr>
          <w:rFonts w:hint="eastAsia"/>
        </w:rPr>
        <w:t>当路基土体坍塌病害周边致塌环境复杂、埋深大于5m时，或者为重大项目的保障时，或是有特殊要求时宜根据DB11/T 1399规定方法进行评估。</w:t>
      </w:r>
    </w:p>
    <w:p w:rsidR="00274D4E" w:rsidRDefault="00B5732B">
      <w:pPr>
        <w:pStyle w:val="affffffffc"/>
      </w:pPr>
      <w:r>
        <w:rPr>
          <w:rFonts w:hint="eastAsia"/>
        </w:rPr>
        <w:t>当路基土体坍塌病害周边环境简单、埋深小于5m时，宜遵照以下简易方法评估其致塌风险发生可能性：</w:t>
      </w:r>
    </w:p>
    <w:p w:rsidR="00274D4E" w:rsidRDefault="00B5732B">
      <w:pPr>
        <w:pStyle w:val="af8"/>
        <w:numPr>
          <w:ilvl w:val="0"/>
          <w:numId w:val="73"/>
        </w:numPr>
      </w:pPr>
      <w:r>
        <w:rPr>
          <w:rFonts w:hint="eastAsia"/>
        </w:rPr>
        <w:t>选择路基土体坍塌病害的类型、面积、净高、覆跨比和主要成因为评估指标；</w:t>
      </w:r>
    </w:p>
    <w:p w:rsidR="00274D4E" w:rsidRDefault="00B5732B">
      <w:pPr>
        <w:pStyle w:val="af8"/>
        <w:numPr>
          <w:ilvl w:val="0"/>
          <w:numId w:val="73"/>
        </w:numPr>
      </w:pPr>
      <w:r>
        <w:rPr>
          <w:rFonts w:hint="eastAsia"/>
        </w:rPr>
        <w:t>路基土体坍塌病害的面积、净高、覆跨比和主要成因指标的权重分别为0.15、0.35、0.35和0.15，各指标取值方法应按照表4方法取值；</w:t>
      </w:r>
    </w:p>
    <w:p w:rsidR="00274D4E" w:rsidRDefault="00B5732B" w:rsidP="00754DE2">
      <w:pPr>
        <w:pStyle w:val="aff2"/>
        <w:spacing w:before="156" w:after="156"/>
      </w:pPr>
      <w:r>
        <w:rPr>
          <w:rFonts w:hint="eastAsia"/>
        </w:rPr>
        <w:t>路基土体坍塌病害</w:t>
      </w:r>
      <w:r>
        <w:rPr>
          <w:rFonts w:hint="eastAsia"/>
          <w:iCs/>
          <w:szCs w:val="22"/>
        </w:rPr>
        <w:t>风险发生可能性简化评价指标体系</w:t>
      </w:r>
    </w:p>
    <w:tbl>
      <w:tblPr>
        <w:tblStyle w:val="TableNormal"/>
        <w:tblW w:w="5074" w:type="pct"/>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2381"/>
        <w:gridCol w:w="1808"/>
        <w:gridCol w:w="4009"/>
        <w:gridCol w:w="1315"/>
      </w:tblGrid>
      <w:tr w:rsidR="00274D4E">
        <w:trPr>
          <w:trHeight w:val="321"/>
          <w:jc w:val="center"/>
        </w:trPr>
        <w:tc>
          <w:tcPr>
            <w:tcW w:w="1251" w:type="pct"/>
            <w:vMerge w:val="restart"/>
            <w:vAlign w:val="center"/>
          </w:tcPr>
          <w:p w:rsidR="00274D4E" w:rsidRDefault="00B5732B">
            <w:pPr>
              <w:pStyle w:val="afffffffff6"/>
              <w:ind w:firstLineChars="0" w:firstLine="0"/>
              <w:jc w:val="center"/>
              <w:rPr>
                <w:b/>
                <w:bCs/>
              </w:rPr>
            </w:pPr>
            <w:r>
              <w:rPr>
                <w:rFonts w:hint="eastAsia"/>
                <w:b/>
                <w:bCs/>
              </w:rPr>
              <w:t>评价指标</w:t>
            </w:r>
          </w:p>
        </w:tc>
        <w:tc>
          <w:tcPr>
            <w:tcW w:w="950" w:type="pct"/>
            <w:vMerge w:val="restart"/>
            <w:vAlign w:val="center"/>
          </w:tcPr>
          <w:p w:rsidR="00274D4E" w:rsidRDefault="00B5732B">
            <w:pPr>
              <w:pStyle w:val="afffffffff6"/>
              <w:ind w:firstLineChars="0" w:firstLine="0"/>
              <w:jc w:val="center"/>
              <w:rPr>
                <w:b/>
                <w:bCs/>
              </w:rPr>
            </w:pPr>
            <w:r>
              <w:rPr>
                <w:rFonts w:hint="eastAsia"/>
                <w:b/>
                <w:bCs/>
              </w:rPr>
              <w:t>权重WJ</w:t>
            </w:r>
          </w:p>
        </w:tc>
        <w:tc>
          <w:tcPr>
            <w:tcW w:w="2798" w:type="pct"/>
            <w:gridSpan w:val="2"/>
            <w:vAlign w:val="center"/>
          </w:tcPr>
          <w:p w:rsidR="00274D4E" w:rsidRDefault="00B5732B">
            <w:pPr>
              <w:pStyle w:val="afffffffff6"/>
              <w:ind w:firstLineChars="0" w:firstLine="0"/>
              <w:jc w:val="center"/>
              <w:rPr>
                <w:b/>
                <w:bCs/>
              </w:rPr>
            </w:pPr>
            <w:r>
              <w:rPr>
                <w:b/>
                <w:bCs/>
              </w:rPr>
              <w:t>评价指标取值</w:t>
            </w:r>
          </w:p>
        </w:tc>
      </w:tr>
      <w:tr w:rsidR="00274D4E">
        <w:trPr>
          <w:trHeight w:val="316"/>
          <w:jc w:val="center"/>
        </w:trPr>
        <w:tc>
          <w:tcPr>
            <w:tcW w:w="1251" w:type="pct"/>
            <w:vMerge/>
            <w:vAlign w:val="center"/>
          </w:tcPr>
          <w:p w:rsidR="00274D4E" w:rsidRDefault="00274D4E">
            <w:pPr>
              <w:pStyle w:val="afffffffff6"/>
              <w:ind w:firstLineChars="0" w:firstLine="0"/>
              <w:jc w:val="center"/>
              <w:rPr>
                <w:b/>
                <w:bCs/>
              </w:rPr>
            </w:pPr>
          </w:p>
        </w:tc>
        <w:tc>
          <w:tcPr>
            <w:tcW w:w="950" w:type="pct"/>
            <w:vMerge/>
            <w:vAlign w:val="center"/>
          </w:tcPr>
          <w:p w:rsidR="00274D4E" w:rsidRDefault="00274D4E">
            <w:pPr>
              <w:pStyle w:val="afffffffff6"/>
              <w:ind w:firstLineChars="0" w:firstLine="0"/>
              <w:jc w:val="center"/>
              <w:rPr>
                <w:b/>
                <w:bCs/>
              </w:rPr>
            </w:pPr>
          </w:p>
        </w:tc>
        <w:tc>
          <w:tcPr>
            <w:tcW w:w="2107" w:type="pct"/>
            <w:vAlign w:val="center"/>
          </w:tcPr>
          <w:p w:rsidR="00274D4E" w:rsidRDefault="00B5732B">
            <w:pPr>
              <w:pStyle w:val="afffffffff6"/>
              <w:ind w:firstLineChars="0" w:firstLine="0"/>
              <w:jc w:val="center"/>
              <w:rPr>
                <w:b/>
                <w:bCs/>
              </w:rPr>
            </w:pPr>
            <w:r>
              <w:rPr>
                <w:b/>
                <w:bCs/>
              </w:rPr>
              <w:t>评价依据</w:t>
            </w:r>
          </w:p>
        </w:tc>
        <w:tc>
          <w:tcPr>
            <w:tcW w:w="690" w:type="pct"/>
            <w:vAlign w:val="center"/>
          </w:tcPr>
          <w:p w:rsidR="00274D4E" w:rsidRDefault="00B5732B">
            <w:pPr>
              <w:pStyle w:val="afffffffff6"/>
              <w:ind w:firstLineChars="0" w:firstLine="0"/>
              <w:jc w:val="center"/>
              <w:rPr>
                <w:b/>
                <w:bCs/>
              </w:rPr>
            </w:pPr>
            <w:r>
              <w:rPr>
                <w:b/>
                <w:bCs/>
              </w:rPr>
              <w:t>取值范围</w:t>
            </w:r>
          </w:p>
        </w:tc>
      </w:tr>
      <w:tr w:rsidR="00274D4E">
        <w:trPr>
          <w:trHeight w:val="454"/>
          <w:jc w:val="center"/>
        </w:trPr>
        <w:tc>
          <w:tcPr>
            <w:tcW w:w="1251" w:type="pct"/>
            <w:vMerge w:val="restart"/>
            <w:vAlign w:val="center"/>
          </w:tcPr>
          <w:p w:rsidR="00274D4E" w:rsidRDefault="00B5732B">
            <w:pPr>
              <w:pStyle w:val="afffffffff6"/>
              <w:ind w:firstLineChars="0" w:firstLine="0"/>
              <w:jc w:val="center"/>
            </w:pPr>
            <w:r>
              <w:rPr>
                <w:rFonts w:hint="eastAsia"/>
              </w:rPr>
              <w:t>病害</w:t>
            </w:r>
            <w:r>
              <w:t>面积P</w:t>
            </w:r>
            <w:r>
              <w:rPr>
                <w:rFonts w:hint="eastAsia"/>
                <w:vertAlign w:val="subscript"/>
              </w:rPr>
              <w:t>A</w:t>
            </w:r>
          </w:p>
        </w:tc>
        <w:tc>
          <w:tcPr>
            <w:tcW w:w="950" w:type="pct"/>
            <w:vMerge w:val="restart"/>
            <w:vAlign w:val="center"/>
          </w:tcPr>
          <w:p w:rsidR="00274D4E" w:rsidRDefault="00B5732B">
            <w:pPr>
              <w:pStyle w:val="afffffffff6"/>
              <w:ind w:firstLineChars="0" w:firstLine="0"/>
              <w:jc w:val="center"/>
            </w:pPr>
            <w:r>
              <w:rPr>
                <w:rFonts w:hint="eastAsia"/>
              </w:rPr>
              <w:t>0.15</w:t>
            </w:r>
          </w:p>
        </w:tc>
        <w:tc>
          <w:tcPr>
            <w:tcW w:w="2107" w:type="pct"/>
            <w:vAlign w:val="center"/>
          </w:tcPr>
          <w:p w:rsidR="00274D4E" w:rsidRDefault="00B5732B">
            <w:pPr>
              <w:pStyle w:val="afffffffff6"/>
              <w:ind w:firstLineChars="0" w:firstLine="0"/>
              <w:jc w:val="center"/>
            </w:pPr>
            <w:r>
              <w:t>S</w:t>
            </w:r>
            <w:r>
              <w:t>≥</w:t>
            </w:r>
            <w:r>
              <w:t>15m</w:t>
            </w:r>
            <w:r>
              <w:rPr>
                <w:vertAlign w:val="superscript"/>
              </w:rPr>
              <w:t>2</w:t>
            </w:r>
          </w:p>
        </w:tc>
        <w:tc>
          <w:tcPr>
            <w:tcW w:w="690" w:type="pct"/>
            <w:vAlign w:val="center"/>
          </w:tcPr>
          <w:p w:rsidR="00274D4E" w:rsidRDefault="00B5732B">
            <w:pPr>
              <w:pStyle w:val="afffffffff6"/>
              <w:ind w:firstLineChars="0" w:firstLine="0"/>
              <w:jc w:val="center"/>
            </w:pPr>
            <w:r>
              <w:t>90</w:t>
            </w:r>
            <w:r>
              <w:rPr>
                <w:rFonts w:ascii="Times New Roman"/>
              </w:rPr>
              <w:t>~</w:t>
            </w:r>
            <w:r>
              <w:t>100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10m</w:t>
            </w:r>
            <w:r>
              <w:rPr>
                <w:vertAlign w:val="superscript"/>
              </w:rPr>
              <w:t>2</w:t>
            </w:r>
            <w:r>
              <w:t xml:space="preserve"> </w:t>
            </w:r>
            <w:r>
              <w:t>≤</w:t>
            </w:r>
            <w:r>
              <w:t>S&lt;15m</w:t>
            </w:r>
            <w:r>
              <w:rPr>
                <w:vertAlign w:val="superscript"/>
              </w:rPr>
              <w:t>2</w:t>
            </w:r>
          </w:p>
        </w:tc>
        <w:tc>
          <w:tcPr>
            <w:tcW w:w="690" w:type="pct"/>
            <w:vAlign w:val="center"/>
          </w:tcPr>
          <w:p w:rsidR="00274D4E" w:rsidRDefault="00B5732B">
            <w:pPr>
              <w:pStyle w:val="afffffffff6"/>
              <w:ind w:firstLineChars="0" w:firstLine="0"/>
              <w:jc w:val="center"/>
            </w:pPr>
            <w:r>
              <w:t>70</w:t>
            </w:r>
            <w:r>
              <w:rPr>
                <w:rFonts w:ascii="Times New Roman"/>
              </w:rPr>
              <w:t>~</w:t>
            </w:r>
            <w:r>
              <w:t>90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3m</w:t>
            </w:r>
            <w:r>
              <w:rPr>
                <w:vertAlign w:val="superscript"/>
              </w:rPr>
              <w:t>2</w:t>
            </w:r>
            <w:r>
              <w:t xml:space="preserve"> </w:t>
            </w:r>
            <w:r>
              <w:t>≤</w:t>
            </w:r>
            <w:r>
              <w:t>S&lt;10m</w:t>
            </w:r>
            <w:r>
              <w:rPr>
                <w:vertAlign w:val="superscript"/>
              </w:rPr>
              <w:t>2</w:t>
            </w:r>
          </w:p>
        </w:tc>
        <w:tc>
          <w:tcPr>
            <w:tcW w:w="690" w:type="pct"/>
            <w:vAlign w:val="center"/>
          </w:tcPr>
          <w:p w:rsidR="00274D4E" w:rsidRDefault="00B5732B">
            <w:pPr>
              <w:pStyle w:val="afffffffff6"/>
              <w:ind w:firstLineChars="0" w:firstLine="0"/>
              <w:jc w:val="center"/>
            </w:pPr>
            <w:r>
              <w:t>50</w:t>
            </w:r>
            <w:r>
              <w:rPr>
                <w:rFonts w:ascii="Times New Roman"/>
              </w:rPr>
              <w:t>~</w:t>
            </w:r>
            <w:r>
              <w:t>70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S&lt;3m</w:t>
            </w:r>
            <w:r>
              <w:rPr>
                <w:vertAlign w:val="superscript"/>
              </w:rPr>
              <w:t>2</w:t>
            </w:r>
          </w:p>
        </w:tc>
        <w:tc>
          <w:tcPr>
            <w:tcW w:w="690" w:type="pct"/>
            <w:vAlign w:val="center"/>
          </w:tcPr>
          <w:p w:rsidR="00274D4E" w:rsidRDefault="00B5732B">
            <w:pPr>
              <w:pStyle w:val="afffffffff6"/>
              <w:ind w:firstLineChars="0" w:firstLine="0"/>
              <w:jc w:val="center"/>
            </w:pPr>
            <w:r>
              <w:t>20</w:t>
            </w:r>
            <w:r>
              <w:rPr>
                <w:rFonts w:ascii="Times New Roman"/>
              </w:rPr>
              <w:t>~</w:t>
            </w:r>
            <w:r>
              <w:t>50</w:t>
            </w:r>
          </w:p>
        </w:tc>
      </w:tr>
      <w:tr w:rsidR="00274D4E">
        <w:trPr>
          <w:trHeight w:val="454"/>
          <w:jc w:val="center"/>
        </w:trPr>
        <w:tc>
          <w:tcPr>
            <w:tcW w:w="1251" w:type="pct"/>
            <w:vMerge w:val="restart"/>
            <w:vAlign w:val="center"/>
          </w:tcPr>
          <w:p w:rsidR="00274D4E" w:rsidRDefault="00B5732B">
            <w:pPr>
              <w:pStyle w:val="afffffffff6"/>
              <w:ind w:firstLineChars="0" w:firstLine="0"/>
              <w:jc w:val="center"/>
            </w:pPr>
            <w:r>
              <w:rPr>
                <w:rFonts w:hint="eastAsia"/>
              </w:rPr>
              <w:t>病害净高</w:t>
            </w:r>
            <w:r>
              <w:t>P</w:t>
            </w:r>
            <w:r>
              <w:rPr>
                <w:rFonts w:hint="eastAsia"/>
                <w:vertAlign w:val="subscript"/>
              </w:rPr>
              <w:t>B</w:t>
            </w:r>
          </w:p>
        </w:tc>
        <w:tc>
          <w:tcPr>
            <w:tcW w:w="950" w:type="pct"/>
            <w:vMerge w:val="restart"/>
            <w:vAlign w:val="center"/>
          </w:tcPr>
          <w:p w:rsidR="00274D4E" w:rsidRDefault="00B5732B">
            <w:pPr>
              <w:pStyle w:val="afffffffff6"/>
              <w:ind w:firstLineChars="0" w:firstLine="0"/>
              <w:jc w:val="center"/>
            </w:pPr>
            <w:r>
              <w:rPr>
                <w:rFonts w:hint="eastAsia"/>
              </w:rPr>
              <w:t>0.35</w:t>
            </w:r>
          </w:p>
        </w:tc>
        <w:tc>
          <w:tcPr>
            <w:tcW w:w="2107" w:type="pct"/>
            <w:vAlign w:val="center"/>
          </w:tcPr>
          <w:p w:rsidR="00274D4E" w:rsidRDefault="00B5732B">
            <w:pPr>
              <w:pStyle w:val="afffffffff6"/>
              <w:ind w:firstLineChars="0" w:firstLine="0"/>
              <w:jc w:val="center"/>
            </w:pPr>
            <w:r>
              <w:t>d＞4m</w:t>
            </w:r>
          </w:p>
        </w:tc>
        <w:tc>
          <w:tcPr>
            <w:tcW w:w="690" w:type="pct"/>
            <w:vAlign w:val="center"/>
          </w:tcPr>
          <w:p w:rsidR="00274D4E" w:rsidRDefault="00B5732B">
            <w:pPr>
              <w:pStyle w:val="afffffffff6"/>
              <w:ind w:firstLineChars="0" w:firstLine="0"/>
              <w:jc w:val="center"/>
            </w:pPr>
            <w:r>
              <w:t>90</w:t>
            </w:r>
            <w:r>
              <w:rPr>
                <w:rFonts w:ascii="Times New Roman"/>
              </w:rPr>
              <w:t>~</w:t>
            </w:r>
            <w:r>
              <w:t>100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2m＜d</w:t>
            </w:r>
            <w:r>
              <w:t>≤</w:t>
            </w:r>
            <w:r>
              <w:t>4m</w:t>
            </w:r>
          </w:p>
        </w:tc>
        <w:tc>
          <w:tcPr>
            <w:tcW w:w="690" w:type="pct"/>
            <w:vAlign w:val="center"/>
          </w:tcPr>
          <w:p w:rsidR="00274D4E" w:rsidRDefault="00B5732B">
            <w:pPr>
              <w:pStyle w:val="afffffffff6"/>
              <w:ind w:firstLineChars="0" w:firstLine="0"/>
              <w:jc w:val="center"/>
            </w:pPr>
            <w:r>
              <w:t>80</w:t>
            </w:r>
            <w:r>
              <w:rPr>
                <w:rFonts w:ascii="Times New Roman"/>
              </w:rPr>
              <w:t>~</w:t>
            </w:r>
            <w:r>
              <w:t>90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1m＜d</w:t>
            </w:r>
            <w:r>
              <w:t>≤</w:t>
            </w:r>
            <w:r>
              <w:t>2m</w:t>
            </w:r>
          </w:p>
        </w:tc>
        <w:tc>
          <w:tcPr>
            <w:tcW w:w="690" w:type="pct"/>
            <w:vAlign w:val="center"/>
          </w:tcPr>
          <w:p w:rsidR="00274D4E" w:rsidRDefault="00B5732B">
            <w:pPr>
              <w:pStyle w:val="afffffffff6"/>
              <w:ind w:firstLineChars="0" w:firstLine="0"/>
              <w:jc w:val="center"/>
            </w:pPr>
            <w:r>
              <w:t>70</w:t>
            </w:r>
            <w:r>
              <w:rPr>
                <w:rFonts w:ascii="Times New Roman"/>
              </w:rPr>
              <w:t>~</w:t>
            </w:r>
            <w:r>
              <w:t>80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d</w:t>
            </w:r>
            <w:r>
              <w:t>≤</w:t>
            </w:r>
            <w:r>
              <w:t>1m</w:t>
            </w:r>
          </w:p>
        </w:tc>
        <w:tc>
          <w:tcPr>
            <w:tcW w:w="690" w:type="pct"/>
            <w:vAlign w:val="center"/>
          </w:tcPr>
          <w:p w:rsidR="00274D4E" w:rsidRDefault="00B5732B">
            <w:pPr>
              <w:pStyle w:val="afffffffff6"/>
              <w:ind w:firstLineChars="0" w:firstLine="0"/>
              <w:jc w:val="center"/>
            </w:pPr>
            <w:r>
              <w:t>60</w:t>
            </w:r>
            <w:r>
              <w:rPr>
                <w:rFonts w:ascii="Times New Roman"/>
              </w:rPr>
              <w:t>~</w:t>
            </w:r>
            <w:r>
              <w:t>70</w:t>
            </w:r>
          </w:p>
        </w:tc>
      </w:tr>
      <w:tr w:rsidR="00274D4E">
        <w:trPr>
          <w:trHeight w:val="454"/>
          <w:jc w:val="center"/>
        </w:trPr>
        <w:tc>
          <w:tcPr>
            <w:tcW w:w="1251" w:type="pct"/>
            <w:vMerge w:val="restart"/>
            <w:vAlign w:val="center"/>
          </w:tcPr>
          <w:p w:rsidR="00274D4E" w:rsidRDefault="00B5732B">
            <w:pPr>
              <w:pStyle w:val="afffffffff6"/>
              <w:ind w:firstLineChars="0" w:firstLine="0"/>
              <w:jc w:val="center"/>
            </w:pPr>
            <w:r>
              <w:rPr>
                <w:rFonts w:hint="eastAsia"/>
              </w:rPr>
              <w:t>病害</w:t>
            </w:r>
            <w:r>
              <w:t>覆跨</w:t>
            </w:r>
            <w:r>
              <w:rPr>
                <w:rFonts w:hint="eastAsia"/>
              </w:rPr>
              <w:t>比</w:t>
            </w:r>
            <w:r>
              <w:t>P</w:t>
            </w:r>
            <w:r>
              <w:rPr>
                <w:rFonts w:hint="eastAsia"/>
                <w:vertAlign w:val="subscript"/>
              </w:rPr>
              <w:t>C</w:t>
            </w:r>
          </w:p>
        </w:tc>
        <w:tc>
          <w:tcPr>
            <w:tcW w:w="950" w:type="pct"/>
            <w:vMerge w:val="restart"/>
            <w:vAlign w:val="center"/>
          </w:tcPr>
          <w:p w:rsidR="00274D4E" w:rsidRDefault="00B5732B">
            <w:pPr>
              <w:pStyle w:val="afffffffff6"/>
              <w:ind w:firstLineChars="0" w:firstLine="0"/>
              <w:jc w:val="center"/>
            </w:pPr>
            <w:r>
              <w:rPr>
                <w:rFonts w:hint="eastAsia"/>
              </w:rPr>
              <w:t>0.35</w:t>
            </w:r>
          </w:p>
        </w:tc>
        <w:tc>
          <w:tcPr>
            <w:tcW w:w="2107" w:type="pct"/>
            <w:vAlign w:val="center"/>
          </w:tcPr>
          <w:p w:rsidR="00274D4E" w:rsidRDefault="00B5732B">
            <w:pPr>
              <w:pStyle w:val="afffffffff6"/>
              <w:ind w:firstLineChars="0" w:firstLine="0"/>
              <w:jc w:val="center"/>
            </w:pPr>
            <w:r>
              <w:t>0&lt;r</w:t>
            </w:r>
            <w:r>
              <w:t>≤</w:t>
            </w:r>
            <w:r>
              <w:t>0.5</w:t>
            </w:r>
          </w:p>
        </w:tc>
        <w:tc>
          <w:tcPr>
            <w:tcW w:w="690" w:type="pct"/>
            <w:vAlign w:val="center"/>
          </w:tcPr>
          <w:p w:rsidR="00274D4E" w:rsidRDefault="00B5732B">
            <w:pPr>
              <w:pStyle w:val="afffffffff6"/>
              <w:ind w:firstLineChars="0" w:firstLine="0"/>
              <w:jc w:val="center"/>
            </w:pPr>
            <w:r>
              <w:t>90</w:t>
            </w:r>
            <w:r>
              <w:rPr>
                <w:rFonts w:ascii="Times New Roman"/>
              </w:rPr>
              <w:t>~</w:t>
            </w:r>
            <w:r>
              <w:t>100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0.5&lt;r</w:t>
            </w:r>
            <w:r>
              <w:t>≤</w:t>
            </w:r>
            <w:r>
              <w:t>1</w:t>
            </w:r>
          </w:p>
        </w:tc>
        <w:tc>
          <w:tcPr>
            <w:tcW w:w="690" w:type="pct"/>
            <w:vAlign w:val="center"/>
          </w:tcPr>
          <w:p w:rsidR="00274D4E" w:rsidRDefault="00B5732B">
            <w:pPr>
              <w:pStyle w:val="afffffffff6"/>
              <w:ind w:firstLineChars="0" w:firstLine="0"/>
              <w:jc w:val="center"/>
            </w:pPr>
            <w:r>
              <w:t>70</w:t>
            </w:r>
            <w:r>
              <w:rPr>
                <w:rFonts w:ascii="Times New Roman"/>
              </w:rPr>
              <w:t>~</w:t>
            </w:r>
            <w:r>
              <w:t>90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1&lt;r</w:t>
            </w:r>
            <w:r>
              <w:t>≤</w:t>
            </w:r>
            <w:r>
              <w:t>3</w:t>
            </w:r>
          </w:p>
        </w:tc>
        <w:tc>
          <w:tcPr>
            <w:tcW w:w="690" w:type="pct"/>
            <w:vAlign w:val="center"/>
          </w:tcPr>
          <w:p w:rsidR="00274D4E" w:rsidRDefault="00B5732B">
            <w:pPr>
              <w:pStyle w:val="afffffffff6"/>
              <w:ind w:firstLineChars="0" w:firstLine="0"/>
              <w:jc w:val="center"/>
            </w:pPr>
            <w:r>
              <w:t>40</w:t>
            </w:r>
            <w:r>
              <w:rPr>
                <w:rFonts w:ascii="Times New Roman"/>
              </w:rPr>
              <w:t>~</w:t>
            </w:r>
            <w:r>
              <w:t>70</w:t>
            </w:r>
          </w:p>
        </w:tc>
      </w:tr>
      <w:tr w:rsidR="00274D4E">
        <w:trPr>
          <w:trHeight w:val="454"/>
          <w:jc w:val="center"/>
        </w:trPr>
        <w:tc>
          <w:tcPr>
            <w:tcW w:w="1251" w:type="pct"/>
            <w:vMerge/>
            <w:vAlign w:val="center"/>
          </w:tcPr>
          <w:p w:rsidR="00274D4E" w:rsidRDefault="00274D4E">
            <w:pPr>
              <w:pStyle w:val="afffffffff6"/>
              <w:ind w:firstLineChars="0" w:firstLine="0"/>
              <w:jc w:val="center"/>
            </w:pPr>
          </w:p>
        </w:tc>
        <w:tc>
          <w:tcPr>
            <w:tcW w:w="950" w:type="pct"/>
            <w:vMerge/>
            <w:vAlign w:val="center"/>
          </w:tcPr>
          <w:p w:rsidR="00274D4E" w:rsidRDefault="00274D4E">
            <w:pPr>
              <w:pStyle w:val="afffffffff6"/>
              <w:ind w:firstLineChars="0" w:firstLine="0"/>
              <w:jc w:val="center"/>
            </w:pPr>
          </w:p>
        </w:tc>
        <w:tc>
          <w:tcPr>
            <w:tcW w:w="2107" w:type="pct"/>
            <w:vAlign w:val="center"/>
          </w:tcPr>
          <w:p w:rsidR="00274D4E" w:rsidRDefault="00B5732B">
            <w:pPr>
              <w:pStyle w:val="afffffffff6"/>
              <w:ind w:firstLineChars="0" w:firstLine="0"/>
              <w:jc w:val="center"/>
            </w:pPr>
            <w:r>
              <w:t>r&gt;3</w:t>
            </w:r>
          </w:p>
        </w:tc>
        <w:tc>
          <w:tcPr>
            <w:tcW w:w="690" w:type="pct"/>
            <w:vAlign w:val="center"/>
          </w:tcPr>
          <w:p w:rsidR="00274D4E" w:rsidRDefault="00B5732B">
            <w:pPr>
              <w:pStyle w:val="afffffffff6"/>
              <w:ind w:firstLineChars="0" w:firstLine="0"/>
              <w:jc w:val="center"/>
            </w:pPr>
            <w:r>
              <w:t>0</w:t>
            </w:r>
            <w:r>
              <w:rPr>
                <w:rFonts w:ascii="Times New Roman"/>
              </w:rPr>
              <w:t>~</w:t>
            </w:r>
            <w:r>
              <w:t>40</w:t>
            </w:r>
          </w:p>
        </w:tc>
      </w:tr>
    </w:tbl>
    <w:p w:rsidR="00274D4E" w:rsidRDefault="00B5732B">
      <w:pPr>
        <w:pStyle w:val="afffffffff6"/>
        <w:ind w:firstLineChars="0" w:firstLine="0"/>
        <w:jc w:val="center"/>
      </w:pPr>
      <w:r>
        <w:rPr>
          <w:rFonts w:hint="eastAsia"/>
        </w:rPr>
        <w:br w:type="page"/>
      </w:r>
    </w:p>
    <w:p w:rsidR="00274D4E" w:rsidRDefault="00B5732B" w:rsidP="00754DE2">
      <w:pPr>
        <w:pStyle w:val="afffff1"/>
        <w:pageBreakBefore/>
        <w:spacing w:beforeLines="50" w:before="156" w:afterLines="50" w:after="156"/>
        <w:ind w:firstLineChars="0" w:firstLine="0"/>
        <w:jc w:val="center"/>
        <w:rPr>
          <w:rFonts w:hAnsi="宋体" w:cs="宋体"/>
        </w:rPr>
      </w:pPr>
      <w:r>
        <w:rPr>
          <w:rFonts w:ascii="黑体" w:eastAsia="黑体" w:hAnsi="黑体" w:cs="黑体" w:hint="eastAsia"/>
        </w:rPr>
        <w:lastRenderedPageBreak/>
        <w:t>表4  路基土体坍塌病害风险发生可能性简化评价指标体系</w:t>
      </w:r>
      <w:r>
        <w:rPr>
          <w:rFonts w:hAnsi="宋体" w:cs="宋体" w:hint="eastAsia"/>
        </w:rPr>
        <w:t>（续）</w:t>
      </w:r>
    </w:p>
    <w:tbl>
      <w:tblPr>
        <w:tblStyle w:val="TableNormal"/>
        <w:tblW w:w="5107" w:type="pct"/>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2396"/>
        <w:gridCol w:w="1815"/>
        <w:gridCol w:w="4052"/>
        <w:gridCol w:w="1312"/>
      </w:tblGrid>
      <w:tr w:rsidR="00274D4E">
        <w:trPr>
          <w:trHeight w:val="454"/>
          <w:jc w:val="center"/>
        </w:trPr>
        <w:tc>
          <w:tcPr>
            <w:tcW w:w="1251" w:type="pct"/>
            <w:vAlign w:val="center"/>
          </w:tcPr>
          <w:p w:rsidR="00274D4E" w:rsidRDefault="00B5732B">
            <w:pPr>
              <w:pStyle w:val="afffffffff6"/>
              <w:ind w:firstLineChars="0" w:firstLine="0"/>
              <w:jc w:val="center"/>
              <w:rPr>
                <w:b/>
                <w:bCs/>
              </w:rPr>
            </w:pPr>
            <w:r>
              <w:rPr>
                <w:rFonts w:hint="eastAsia"/>
                <w:b/>
                <w:bCs/>
              </w:rPr>
              <w:t>评价指标</w:t>
            </w:r>
          </w:p>
        </w:tc>
        <w:tc>
          <w:tcPr>
            <w:tcW w:w="948" w:type="pct"/>
            <w:vAlign w:val="center"/>
          </w:tcPr>
          <w:p w:rsidR="00274D4E" w:rsidRDefault="00B5732B">
            <w:pPr>
              <w:pStyle w:val="afffffffff6"/>
              <w:ind w:firstLineChars="0" w:firstLine="0"/>
              <w:jc w:val="center"/>
              <w:rPr>
                <w:b/>
                <w:bCs/>
              </w:rPr>
            </w:pPr>
            <w:r>
              <w:rPr>
                <w:rFonts w:hint="eastAsia"/>
                <w:b/>
                <w:bCs/>
              </w:rPr>
              <w:t>权重WJ</w:t>
            </w:r>
          </w:p>
        </w:tc>
        <w:tc>
          <w:tcPr>
            <w:tcW w:w="2800" w:type="pct"/>
            <w:gridSpan w:val="2"/>
            <w:vAlign w:val="center"/>
          </w:tcPr>
          <w:p w:rsidR="00274D4E" w:rsidRDefault="00B5732B">
            <w:pPr>
              <w:pStyle w:val="afffffffff6"/>
              <w:ind w:firstLineChars="0" w:firstLine="0"/>
              <w:jc w:val="center"/>
              <w:rPr>
                <w:b/>
                <w:bCs/>
              </w:rPr>
            </w:pPr>
            <w:r>
              <w:rPr>
                <w:b/>
                <w:bCs/>
              </w:rPr>
              <w:t>评价指标取值</w:t>
            </w:r>
          </w:p>
        </w:tc>
      </w:tr>
      <w:tr w:rsidR="00274D4E">
        <w:trPr>
          <w:trHeight w:val="1587"/>
          <w:jc w:val="center"/>
        </w:trPr>
        <w:tc>
          <w:tcPr>
            <w:tcW w:w="1251" w:type="pct"/>
            <w:vMerge w:val="restart"/>
            <w:vAlign w:val="center"/>
          </w:tcPr>
          <w:p w:rsidR="00274D4E" w:rsidRDefault="00B5732B">
            <w:pPr>
              <w:pStyle w:val="afffffffff6"/>
              <w:ind w:firstLineChars="0" w:firstLine="0"/>
              <w:jc w:val="center"/>
            </w:pPr>
            <w:r>
              <w:rPr>
                <w:rFonts w:hint="eastAsia"/>
              </w:rPr>
              <w:t>病害主要成因P</w:t>
            </w:r>
            <w:r>
              <w:rPr>
                <w:rFonts w:hint="eastAsia"/>
                <w:vertAlign w:val="subscript"/>
              </w:rPr>
              <w:t>D</w:t>
            </w:r>
          </w:p>
        </w:tc>
        <w:tc>
          <w:tcPr>
            <w:tcW w:w="948" w:type="pct"/>
            <w:vMerge w:val="restart"/>
            <w:vAlign w:val="center"/>
          </w:tcPr>
          <w:p w:rsidR="00274D4E" w:rsidRDefault="00B5732B">
            <w:pPr>
              <w:pStyle w:val="afffffffff6"/>
              <w:ind w:firstLineChars="0" w:firstLine="0"/>
              <w:jc w:val="center"/>
            </w:pPr>
            <w:r>
              <w:rPr>
                <w:rFonts w:hint="eastAsia"/>
              </w:rPr>
              <w:t>0.15</w:t>
            </w:r>
          </w:p>
        </w:tc>
        <w:tc>
          <w:tcPr>
            <w:tcW w:w="2116" w:type="pct"/>
            <w:vAlign w:val="center"/>
          </w:tcPr>
          <w:p w:rsidR="00274D4E" w:rsidRDefault="00B5732B">
            <w:pPr>
              <w:pStyle w:val="afffffffff6"/>
              <w:ind w:firstLineChars="0" w:firstLine="0"/>
            </w:pPr>
            <w:r>
              <w:rPr>
                <w:rFonts w:hint="eastAsia"/>
              </w:rPr>
              <w:t>管线及窨井、人防破损；</w:t>
            </w:r>
          </w:p>
          <w:p w:rsidR="00274D4E" w:rsidRDefault="00B5732B">
            <w:pPr>
              <w:pStyle w:val="afffffffff6"/>
              <w:ind w:firstLineChars="0" w:firstLine="0"/>
            </w:pPr>
            <w:r>
              <w:rPr>
                <w:rFonts w:hint="eastAsia"/>
              </w:rPr>
              <w:t>地下存在在建工程及工后1年内（含）；</w:t>
            </w:r>
          </w:p>
          <w:p w:rsidR="00274D4E" w:rsidRDefault="00B5732B">
            <w:pPr>
              <w:pStyle w:val="afffffffff6"/>
              <w:ind w:firstLineChars="0" w:firstLine="0"/>
            </w:pPr>
            <w:r>
              <w:rPr>
                <w:rFonts w:hint="eastAsia"/>
              </w:rPr>
              <w:t>近3个月内发生24h内降雨量超过100 mm以上天气。</w:t>
            </w:r>
          </w:p>
        </w:tc>
        <w:tc>
          <w:tcPr>
            <w:tcW w:w="684" w:type="pct"/>
            <w:vAlign w:val="center"/>
          </w:tcPr>
          <w:p w:rsidR="00274D4E" w:rsidRDefault="00B5732B">
            <w:pPr>
              <w:pStyle w:val="afffffffff6"/>
              <w:ind w:firstLineChars="0" w:firstLine="0"/>
              <w:jc w:val="center"/>
            </w:pPr>
            <w:r>
              <w:rPr>
                <w:rFonts w:hint="eastAsia"/>
              </w:rPr>
              <w:t>80</w:t>
            </w:r>
            <w:r>
              <w:rPr>
                <w:rFonts w:ascii="Times New Roman"/>
              </w:rPr>
              <w:t>~</w:t>
            </w:r>
            <w:r>
              <w:rPr>
                <w:rFonts w:hint="eastAsia"/>
              </w:rPr>
              <w:t>100</w:t>
            </w:r>
          </w:p>
        </w:tc>
      </w:tr>
      <w:tr w:rsidR="00274D4E">
        <w:trPr>
          <w:trHeight w:val="1587"/>
          <w:jc w:val="center"/>
        </w:trPr>
        <w:tc>
          <w:tcPr>
            <w:tcW w:w="1251" w:type="pct"/>
            <w:vMerge/>
            <w:vAlign w:val="center"/>
          </w:tcPr>
          <w:p w:rsidR="00274D4E" w:rsidRDefault="00274D4E">
            <w:pPr>
              <w:pStyle w:val="afffffffff6"/>
              <w:ind w:firstLineChars="0" w:firstLine="0"/>
              <w:jc w:val="center"/>
            </w:pPr>
          </w:p>
        </w:tc>
        <w:tc>
          <w:tcPr>
            <w:tcW w:w="948" w:type="pct"/>
            <w:vMerge/>
            <w:vAlign w:val="center"/>
          </w:tcPr>
          <w:p w:rsidR="00274D4E" w:rsidRDefault="00274D4E">
            <w:pPr>
              <w:pStyle w:val="afffffffff6"/>
              <w:ind w:firstLineChars="0" w:firstLine="0"/>
              <w:jc w:val="center"/>
            </w:pPr>
          </w:p>
        </w:tc>
        <w:tc>
          <w:tcPr>
            <w:tcW w:w="2116" w:type="pct"/>
            <w:vAlign w:val="center"/>
          </w:tcPr>
          <w:p w:rsidR="00274D4E" w:rsidRDefault="00B5732B">
            <w:pPr>
              <w:pStyle w:val="afffffffff6"/>
              <w:ind w:firstLineChars="0" w:firstLine="0"/>
            </w:pPr>
            <w:r>
              <w:rPr>
                <w:rFonts w:hint="eastAsia"/>
              </w:rPr>
              <w:t>地铁及顶管等工程工后1</w:t>
            </w:r>
            <w:r w:rsidR="007D3A0C">
              <w:rPr>
                <w:rFonts w:ascii="Times New Roman"/>
              </w:rPr>
              <w:t>~</w:t>
            </w:r>
            <w:r>
              <w:rPr>
                <w:rFonts w:hint="eastAsia"/>
              </w:rPr>
              <w:t>5年；</w:t>
            </w:r>
          </w:p>
          <w:p w:rsidR="00274D4E" w:rsidRDefault="00B5732B">
            <w:pPr>
              <w:pStyle w:val="afffffffff6"/>
              <w:ind w:firstLineChars="0" w:firstLine="0"/>
            </w:pPr>
            <w:r>
              <w:rPr>
                <w:rFonts w:hint="eastAsia"/>
              </w:rPr>
              <w:t>地表施工回填不密实；</w:t>
            </w:r>
          </w:p>
          <w:p w:rsidR="00274D4E" w:rsidRDefault="00B5732B">
            <w:pPr>
              <w:pStyle w:val="afffffffff6"/>
              <w:ind w:firstLineChars="0" w:firstLine="0"/>
            </w:pPr>
            <w:r>
              <w:rPr>
                <w:rFonts w:hint="eastAsia"/>
              </w:rPr>
              <w:t>近3个月内发生24h内降雨量为50-100 mm。</w:t>
            </w:r>
          </w:p>
        </w:tc>
        <w:tc>
          <w:tcPr>
            <w:tcW w:w="684" w:type="pct"/>
            <w:vAlign w:val="center"/>
          </w:tcPr>
          <w:p w:rsidR="00274D4E" w:rsidRDefault="00B5732B">
            <w:pPr>
              <w:pStyle w:val="afffffffff6"/>
              <w:ind w:firstLineChars="0" w:firstLine="0"/>
              <w:jc w:val="center"/>
            </w:pPr>
            <w:r>
              <w:rPr>
                <w:rFonts w:hint="eastAsia"/>
              </w:rPr>
              <w:t>60</w:t>
            </w:r>
            <w:r>
              <w:rPr>
                <w:rFonts w:ascii="Times New Roman"/>
              </w:rPr>
              <w:t>~</w:t>
            </w:r>
            <w:r>
              <w:rPr>
                <w:rFonts w:hint="eastAsia"/>
              </w:rPr>
              <w:t>80</w:t>
            </w:r>
          </w:p>
        </w:tc>
      </w:tr>
      <w:tr w:rsidR="00274D4E">
        <w:trPr>
          <w:trHeight w:val="1587"/>
          <w:jc w:val="center"/>
        </w:trPr>
        <w:tc>
          <w:tcPr>
            <w:tcW w:w="1251" w:type="pct"/>
            <w:vMerge/>
            <w:vAlign w:val="center"/>
          </w:tcPr>
          <w:p w:rsidR="00274D4E" w:rsidRDefault="00274D4E">
            <w:pPr>
              <w:pStyle w:val="afffffffff6"/>
              <w:ind w:firstLineChars="0" w:firstLine="0"/>
              <w:jc w:val="center"/>
            </w:pPr>
          </w:p>
        </w:tc>
        <w:tc>
          <w:tcPr>
            <w:tcW w:w="948" w:type="pct"/>
            <w:vMerge/>
            <w:vAlign w:val="center"/>
          </w:tcPr>
          <w:p w:rsidR="00274D4E" w:rsidRDefault="00274D4E">
            <w:pPr>
              <w:pStyle w:val="afffffffff6"/>
              <w:ind w:firstLineChars="0" w:firstLine="0"/>
              <w:jc w:val="center"/>
            </w:pPr>
          </w:p>
        </w:tc>
        <w:tc>
          <w:tcPr>
            <w:tcW w:w="2116" w:type="pct"/>
            <w:vAlign w:val="center"/>
          </w:tcPr>
          <w:p w:rsidR="00274D4E" w:rsidRDefault="00B5732B">
            <w:pPr>
              <w:pStyle w:val="afffffffff6"/>
              <w:ind w:firstLineChars="0" w:firstLine="0"/>
            </w:pPr>
            <w:r>
              <w:rPr>
                <w:rFonts w:hint="eastAsia"/>
              </w:rPr>
              <w:t>探测区域位于在施</w:t>
            </w:r>
            <w:r>
              <w:t>深基坑开挖</w:t>
            </w:r>
            <w:r>
              <w:rPr>
                <w:rFonts w:hint="eastAsia"/>
              </w:rPr>
              <w:t>与降水影响区域范围内；</w:t>
            </w:r>
          </w:p>
          <w:p w:rsidR="00274D4E" w:rsidRDefault="00B5732B">
            <w:pPr>
              <w:pStyle w:val="afffffffff6"/>
              <w:ind w:firstLineChars="0" w:firstLine="0"/>
            </w:pPr>
            <w:r>
              <w:rPr>
                <w:rFonts w:hint="eastAsia"/>
              </w:rPr>
              <w:t>探测区域上方存在超载、破损等现象；</w:t>
            </w:r>
          </w:p>
          <w:p w:rsidR="00274D4E" w:rsidRDefault="00B5732B">
            <w:pPr>
              <w:pStyle w:val="afffffffff6"/>
              <w:ind w:firstLineChars="0" w:firstLine="0"/>
            </w:pPr>
            <w:r>
              <w:rPr>
                <w:rFonts w:hint="eastAsia"/>
              </w:rPr>
              <w:t>填土、湿陷性黄土等特殊土填方区域和易积水区域；</w:t>
            </w:r>
          </w:p>
          <w:p w:rsidR="00274D4E" w:rsidRDefault="00B5732B">
            <w:pPr>
              <w:pStyle w:val="afffffffff6"/>
              <w:ind w:firstLineChars="0" w:firstLine="0"/>
            </w:pPr>
            <w:r>
              <w:rPr>
                <w:rFonts w:hint="eastAsia"/>
              </w:rPr>
              <w:t>软土路基固结沉降区域</w:t>
            </w:r>
          </w:p>
        </w:tc>
        <w:tc>
          <w:tcPr>
            <w:tcW w:w="684" w:type="pct"/>
            <w:vAlign w:val="center"/>
          </w:tcPr>
          <w:p w:rsidR="00274D4E" w:rsidRDefault="00B5732B">
            <w:pPr>
              <w:pStyle w:val="afffffffff6"/>
              <w:ind w:firstLineChars="0" w:firstLine="0"/>
              <w:jc w:val="center"/>
            </w:pPr>
            <w:r>
              <w:rPr>
                <w:rFonts w:hint="eastAsia"/>
              </w:rPr>
              <w:t>30</w:t>
            </w:r>
            <w:r>
              <w:rPr>
                <w:rFonts w:ascii="Times New Roman"/>
              </w:rPr>
              <w:t>~</w:t>
            </w:r>
            <w:r>
              <w:rPr>
                <w:rFonts w:hint="eastAsia"/>
              </w:rPr>
              <w:t>60</w:t>
            </w:r>
          </w:p>
        </w:tc>
      </w:tr>
      <w:tr w:rsidR="00274D4E">
        <w:trPr>
          <w:trHeight w:val="1587"/>
          <w:jc w:val="center"/>
        </w:trPr>
        <w:tc>
          <w:tcPr>
            <w:tcW w:w="1251" w:type="pct"/>
            <w:vMerge/>
            <w:tcBorders>
              <w:bottom w:val="single" w:sz="8" w:space="0" w:color="000000"/>
            </w:tcBorders>
            <w:vAlign w:val="center"/>
          </w:tcPr>
          <w:p w:rsidR="00274D4E" w:rsidRDefault="00274D4E">
            <w:pPr>
              <w:pStyle w:val="afffffffff6"/>
              <w:ind w:firstLineChars="0" w:firstLine="0"/>
              <w:jc w:val="center"/>
            </w:pPr>
          </w:p>
        </w:tc>
        <w:tc>
          <w:tcPr>
            <w:tcW w:w="948" w:type="pct"/>
            <w:vMerge/>
            <w:tcBorders>
              <w:bottom w:val="single" w:sz="8" w:space="0" w:color="000000"/>
            </w:tcBorders>
            <w:vAlign w:val="center"/>
          </w:tcPr>
          <w:p w:rsidR="00274D4E" w:rsidRDefault="00274D4E">
            <w:pPr>
              <w:pStyle w:val="afffffffff6"/>
              <w:ind w:firstLineChars="0" w:firstLine="0"/>
              <w:jc w:val="center"/>
            </w:pPr>
          </w:p>
        </w:tc>
        <w:tc>
          <w:tcPr>
            <w:tcW w:w="2116" w:type="pct"/>
            <w:tcBorders>
              <w:bottom w:val="single" w:sz="8" w:space="0" w:color="000000"/>
            </w:tcBorders>
            <w:vAlign w:val="center"/>
          </w:tcPr>
          <w:p w:rsidR="00274D4E" w:rsidRDefault="00B5732B">
            <w:pPr>
              <w:pStyle w:val="afffffffff6"/>
              <w:ind w:firstLineChars="0" w:firstLine="0"/>
            </w:pPr>
            <w:r>
              <w:rPr>
                <w:rFonts w:hint="eastAsia"/>
              </w:rPr>
              <w:t>存在</w:t>
            </w:r>
            <w:r>
              <w:t>地表水下渗、</w:t>
            </w:r>
            <w:r>
              <w:rPr>
                <w:rFonts w:hint="eastAsia"/>
              </w:rPr>
              <w:t>地下水位变化、</w:t>
            </w:r>
            <w:r>
              <w:t>地下水</w:t>
            </w:r>
            <w:r>
              <w:rPr>
                <w:rFonts w:hint="eastAsia"/>
              </w:rPr>
              <w:t>渗透破坏现象；</w:t>
            </w:r>
          </w:p>
          <w:p w:rsidR="00274D4E" w:rsidRDefault="00B5732B">
            <w:pPr>
              <w:pStyle w:val="afffffffff6"/>
              <w:ind w:firstLineChars="0" w:firstLine="0"/>
            </w:pPr>
            <w:r>
              <w:rPr>
                <w:rFonts w:hint="eastAsia"/>
              </w:rPr>
              <w:t>存在</w:t>
            </w:r>
            <w:r>
              <w:t>冻融</w:t>
            </w:r>
            <w:r>
              <w:rPr>
                <w:rFonts w:hint="eastAsia"/>
              </w:rPr>
              <w:t>作用影响</w:t>
            </w:r>
          </w:p>
        </w:tc>
        <w:tc>
          <w:tcPr>
            <w:tcW w:w="684" w:type="pct"/>
            <w:tcBorders>
              <w:bottom w:val="single" w:sz="8" w:space="0" w:color="000000"/>
            </w:tcBorders>
            <w:vAlign w:val="center"/>
          </w:tcPr>
          <w:p w:rsidR="00274D4E" w:rsidRDefault="00B5732B">
            <w:pPr>
              <w:pStyle w:val="afffffffff6"/>
              <w:ind w:firstLineChars="0" w:firstLine="0"/>
              <w:jc w:val="center"/>
            </w:pPr>
            <w:r>
              <w:rPr>
                <w:rFonts w:hint="eastAsia"/>
              </w:rPr>
              <w:t>0</w:t>
            </w:r>
            <w:r>
              <w:rPr>
                <w:rFonts w:ascii="Times New Roman"/>
              </w:rPr>
              <w:t>~</w:t>
            </w:r>
            <w:r>
              <w:rPr>
                <w:rFonts w:hint="eastAsia"/>
              </w:rPr>
              <w:t>30</w:t>
            </w:r>
          </w:p>
        </w:tc>
      </w:tr>
      <w:tr w:rsidR="00274D4E">
        <w:trPr>
          <w:trHeight w:val="317"/>
          <w:jc w:val="center"/>
        </w:trPr>
        <w:tc>
          <w:tcPr>
            <w:tcW w:w="5000" w:type="pct"/>
            <w:gridSpan w:val="4"/>
            <w:tcBorders>
              <w:top w:val="single" w:sz="8" w:space="0" w:color="000000"/>
            </w:tcBorders>
            <w:vAlign w:val="center"/>
          </w:tcPr>
          <w:p w:rsidR="00274D4E" w:rsidRDefault="00B5732B" w:rsidP="00754DE2">
            <w:pPr>
              <w:pStyle w:val="afffffffff6"/>
              <w:ind w:firstLine="360"/>
            </w:pPr>
            <w:r>
              <w:rPr>
                <w:rFonts w:hint="eastAsia"/>
              </w:rPr>
              <w:t>注1.当根据病害成因取值时，土体具有湿陷性时应结合湿陷程度、地下积水和管线破损情况宜取大值；</w:t>
            </w:r>
          </w:p>
          <w:p w:rsidR="00274D4E" w:rsidRDefault="00B5732B">
            <w:pPr>
              <w:pStyle w:val="afffffffff6"/>
              <w:ind w:firstLineChars="300" w:firstLine="540"/>
            </w:pPr>
            <w:r>
              <w:rPr>
                <w:rFonts w:hint="eastAsia"/>
              </w:rPr>
              <w:t>2.具体分值可按各因素影响强度和频次综合确定；</w:t>
            </w:r>
          </w:p>
          <w:p w:rsidR="00274D4E" w:rsidRDefault="00B5732B">
            <w:pPr>
              <w:pStyle w:val="afffffffff6"/>
              <w:ind w:firstLineChars="300" w:firstLine="540"/>
            </w:pPr>
            <w:r>
              <w:rPr>
                <w:rFonts w:hint="eastAsia"/>
              </w:rPr>
              <w:t>3.若具有多种成因类型时按最高类型进行取值。</w:t>
            </w:r>
          </w:p>
        </w:tc>
      </w:tr>
    </w:tbl>
    <w:p w:rsidR="00274D4E" w:rsidRDefault="00274D4E" w:rsidP="00754DE2">
      <w:pPr>
        <w:pStyle w:val="afffff1"/>
        <w:ind w:firstLine="420"/>
      </w:pPr>
    </w:p>
    <w:p w:rsidR="00274D4E" w:rsidRDefault="00B5732B">
      <w:pPr>
        <w:pStyle w:val="af8"/>
        <w:numPr>
          <w:ilvl w:val="0"/>
          <w:numId w:val="73"/>
        </w:numPr>
      </w:pPr>
      <w:r>
        <w:rPr>
          <w:rFonts w:hint="eastAsia"/>
        </w:rPr>
        <w:t>风险发生可能性分值宜按公式（3）</w:t>
      </w:r>
      <w:r>
        <w:rPr>
          <w:rFonts w:ascii="Times New Roman"/>
        </w:rPr>
        <w:t>~</w:t>
      </w:r>
      <w:r>
        <w:rPr>
          <w:rFonts w:hint="eastAsia"/>
        </w:rPr>
        <w:t>（4）计算：</w:t>
      </w:r>
    </w:p>
    <w:p w:rsidR="00274D4E" w:rsidRDefault="00B5732B">
      <w:pPr>
        <w:pStyle w:val="affffffd"/>
      </w:pPr>
      <w:r>
        <w:rPr>
          <w:rFonts w:hint="eastAsia"/>
        </w:rPr>
        <w:tab/>
      </w:r>
      <m:oMath>
        <m:r>
          <m:rPr>
            <m:sty m:val="p"/>
          </m:rPr>
          <w:rPr>
            <w:noProof/>
          </w:rPr>
          <w:drawing>
            <wp:inline distT="0" distB="0" distL="114300" distR="114300">
              <wp:extent cx="2286000" cy="228600"/>
              <wp:effectExtent l="0" t="0" r="0" b="0"/>
              <wp:docPr id="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pic:cNvPicPr>
                        <a:picLocks noChangeAspect="1"/>
                      </pic:cNvPicPr>
                    </pic:nvPicPr>
                    <pic:blipFill>
                      <a:blip r:embed="rId30"/>
                      <a:stretch>
                        <a:fillRect/>
                      </a:stretch>
                    </pic:blipFill>
                    <pic:spPr>
                      <a:xfrm>
                        <a:off x="0" y="0"/>
                        <a:ext cx="2286000" cy="228600"/>
                      </a:xfrm>
                      <a:prstGeom prst="rect">
                        <a:avLst/>
                      </a:prstGeom>
                      <a:noFill/>
                      <a:ln>
                        <a:noFill/>
                      </a:ln>
                    </pic:spPr>
                  </pic:pic>
                </a:graphicData>
              </a:graphic>
            </wp:inline>
          </w:drawing>
        </m:r>
      </m:oMath>
      <w:r>
        <w:rPr>
          <w:rFonts w:ascii="微软雅黑" w:eastAsia="微软雅黑" w:hAnsi="微软雅黑" w:cs="微软雅黑" w:hint="eastAsia"/>
        </w:rPr>
        <w:tab/>
      </w:r>
      <w:r>
        <w:rPr>
          <w:rFonts w:hint="eastAsia"/>
        </w:rPr>
        <w:t>(3)</w:t>
      </w:r>
    </w:p>
    <w:p w:rsidR="00274D4E" w:rsidRDefault="00B5732B">
      <w:pPr>
        <w:pStyle w:val="affffffd"/>
      </w:pPr>
      <w:r>
        <w:rPr>
          <w:rFonts w:hint="eastAsia"/>
        </w:rPr>
        <w:tab/>
      </w:r>
      <m:oMath>
        <m:r>
          <m:rPr>
            <m:sty m:val="p"/>
          </m:rPr>
          <w:rPr>
            <w:noProof/>
          </w:rPr>
          <w:drawing>
            <wp:inline distT="0" distB="0" distL="114300" distR="114300">
              <wp:extent cx="1400175" cy="228600"/>
              <wp:effectExtent l="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31"/>
                      <a:stretch>
                        <a:fillRect/>
                      </a:stretch>
                    </pic:blipFill>
                    <pic:spPr>
                      <a:xfrm>
                        <a:off x="0" y="0"/>
                        <a:ext cx="1400175" cy="228600"/>
                      </a:xfrm>
                      <a:prstGeom prst="rect">
                        <a:avLst/>
                      </a:prstGeom>
                      <a:noFill/>
                      <a:ln>
                        <a:noFill/>
                      </a:ln>
                    </pic:spPr>
                  </pic:pic>
                </a:graphicData>
              </a:graphic>
            </wp:inline>
          </w:drawing>
        </m:r>
      </m:oMath>
      <w:r>
        <w:rPr>
          <w:rFonts w:ascii="微软雅黑" w:eastAsia="微软雅黑" w:hAnsi="微软雅黑" w:cs="微软雅黑" w:hint="eastAsia"/>
        </w:rPr>
        <w:tab/>
      </w:r>
      <w:r>
        <w:rPr>
          <w:rFonts w:hint="eastAsia"/>
        </w:rPr>
        <w:t>(4)</w:t>
      </w:r>
    </w:p>
    <w:p w:rsidR="00274D4E" w:rsidRDefault="00B5732B" w:rsidP="00754DE2">
      <w:pPr>
        <w:pStyle w:val="afffff1"/>
        <w:ind w:firstLine="420"/>
      </w:pPr>
      <w:r>
        <w:rPr>
          <w:rFonts w:hint="eastAsia"/>
        </w:rPr>
        <w:t>式中：</w:t>
      </w:r>
    </w:p>
    <w:p w:rsidR="00274D4E" w:rsidRDefault="00B5732B">
      <w:pPr>
        <w:pStyle w:val="afffff1"/>
        <w:ind w:firstLine="420"/>
      </w:pPr>
      <w:r>
        <w:rPr>
          <w:rFonts w:hint="eastAsia"/>
        </w:rPr>
        <w:t>P——路基土体坍塌病害风险发生可能性分值；</w:t>
      </w:r>
    </w:p>
    <w:p w:rsidR="00274D4E" w:rsidRDefault="00B5732B">
      <w:pPr>
        <w:pStyle w:val="afffffffffff8"/>
        <w:spacing w:line="240" w:lineRule="auto"/>
        <w:ind w:left="0" w:firstLineChars="200" w:firstLine="416"/>
        <w:rPr>
          <w:rFonts w:ascii="宋体" w:hAnsi="宋体" w:cs="宋体"/>
          <w:szCs w:val="21"/>
        </w:rPr>
      </w:pPr>
      <w:r>
        <w:rPr>
          <w:rFonts w:ascii="宋体" w:hAnsi="宋体" w:cs="宋体" w:hint="eastAsia"/>
          <w:i/>
          <w:iCs w:val="0"/>
          <w:szCs w:val="21"/>
        </w:rPr>
        <w:t>K</w:t>
      </w:r>
      <w:r>
        <w:rPr>
          <w:rFonts w:ascii="宋体" w:hAnsi="宋体" w:cs="宋体" w:hint="eastAsia"/>
          <w:szCs w:val="21"/>
        </w:rPr>
        <w:t>——路基土体坍塌病害类型系数，空洞取1.05，脱空取0.9，严重疏松体取0.8，富水体</w:t>
      </w:r>
    </w:p>
    <w:p w:rsidR="00274D4E" w:rsidRDefault="00B5732B">
      <w:pPr>
        <w:pStyle w:val="afffffffffff8"/>
        <w:spacing w:line="240" w:lineRule="auto"/>
        <w:ind w:left="0" w:firstLineChars="200" w:firstLine="416"/>
        <w:rPr>
          <w:rFonts w:ascii="宋体" w:hAnsi="宋体" w:cs="宋体"/>
          <w:szCs w:val="21"/>
        </w:rPr>
      </w:pPr>
      <w:r>
        <w:rPr>
          <w:rFonts w:ascii="宋体" w:hAnsi="宋体" w:cs="宋体" w:hint="eastAsia"/>
          <w:szCs w:val="21"/>
        </w:rPr>
        <w:t>取0.7，中等疏松体取0.6，一般疏松体取 0.5；</w:t>
      </w:r>
    </w:p>
    <w:p w:rsidR="00274D4E" w:rsidRDefault="00B5732B">
      <w:pPr>
        <w:pStyle w:val="afffffffffff8"/>
        <w:numPr>
          <w:ilvl w:val="255"/>
          <w:numId w:val="0"/>
        </w:numPr>
        <w:spacing w:line="240" w:lineRule="auto"/>
        <w:ind w:firstLineChars="200" w:firstLine="416"/>
        <w:rPr>
          <w:rFonts w:ascii="宋体" w:hAnsi="宋体" w:cs="宋体"/>
          <w:i/>
          <w:szCs w:val="21"/>
          <w:vertAlign w:val="subscript"/>
        </w:rPr>
      </w:pPr>
      <w:r>
        <w:rPr>
          <w:rFonts w:ascii="宋体" w:hAnsi="宋体" w:cs="宋体" w:hint="eastAsia"/>
          <w:i/>
          <w:szCs w:val="21"/>
        </w:rPr>
        <w:t>P</w:t>
      </w:r>
      <w:r>
        <w:rPr>
          <w:rFonts w:ascii="宋体" w:hAnsi="宋体" w:cs="宋体" w:hint="eastAsia"/>
          <w:i/>
          <w:szCs w:val="21"/>
          <w:vertAlign w:val="subscript"/>
        </w:rPr>
        <w:t>A1</w:t>
      </w:r>
      <w:r>
        <w:rPr>
          <w:rFonts w:ascii="宋体" w:hAnsi="宋体" w:cs="宋体" w:hint="eastAsia"/>
          <w:szCs w:val="21"/>
        </w:rPr>
        <w:t>——</w:t>
      </w:r>
      <w:r>
        <w:rPr>
          <w:rFonts w:ascii="宋体" w:hAnsi="宋体" w:cs="宋体" w:hint="eastAsia"/>
          <w:iCs w:val="0"/>
          <w:szCs w:val="21"/>
        </w:rPr>
        <w:t>路基土体坍塌病害的面积；</w:t>
      </w:r>
    </w:p>
    <w:p w:rsidR="00274D4E" w:rsidRDefault="00B5732B">
      <w:pPr>
        <w:pStyle w:val="afffffffffff8"/>
        <w:numPr>
          <w:ilvl w:val="255"/>
          <w:numId w:val="0"/>
        </w:numPr>
        <w:spacing w:line="240" w:lineRule="auto"/>
        <w:ind w:firstLineChars="200" w:firstLine="416"/>
        <w:rPr>
          <w:rFonts w:ascii="宋体" w:hAnsi="宋体" w:cs="宋体"/>
          <w:i/>
          <w:szCs w:val="21"/>
          <w:vertAlign w:val="subscript"/>
        </w:rPr>
      </w:pPr>
      <w:r>
        <w:rPr>
          <w:rFonts w:ascii="宋体" w:hAnsi="宋体" w:cs="宋体" w:hint="eastAsia"/>
          <w:i/>
          <w:szCs w:val="21"/>
        </w:rPr>
        <w:t>P</w:t>
      </w:r>
      <w:r>
        <w:rPr>
          <w:rFonts w:ascii="宋体" w:hAnsi="宋体" w:cs="宋体" w:hint="eastAsia"/>
          <w:i/>
          <w:szCs w:val="21"/>
          <w:vertAlign w:val="subscript"/>
        </w:rPr>
        <w:t>A2</w:t>
      </w:r>
      <w:r>
        <w:rPr>
          <w:rFonts w:ascii="宋体" w:hAnsi="宋体" w:cs="宋体" w:hint="eastAsia"/>
          <w:szCs w:val="21"/>
        </w:rPr>
        <w:t>——</w:t>
      </w:r>
      <w:r>
        <w:rPr>
          <w:rFonts w:ascii="宋体" w:hAnsi="宋体" w:cs="宋体" w:hint="eastAsia"/>
          <w:iCs w:val="0"/>
          <w:szCs w:val="21"/>
        </w:rPr>
        <w:t>路基土体坍塌病害的净高；</w:t>
      </w:r>
    </w:p>
    <w:p w:rsidR="00274D4E" w:rsidRDefault="00B5732B">
      <w:pPr>
        <w:pStyle w:val="afffffffffff8"/>
        <w:numPr>
          <w:ilvl w:val="255"/>
          <w:numId w:val="0"/>
        </w:numPr>
        <w:spacing w:line="240" w:lineRule="auto"/>
        <w:ind w:firstLineChars="200" w:firstLine="416"/>
        <w:rPr>
          <w:rFonts w:ascii="宋体" w:hAnsi="宋体" w:cs="宋体"/>
          <w:i/>
          <w:szCs w:val="21"/>
          <w:vertAlign w:val="subscript"/>
        </w:rPr>
      </w:pPr>
      <w:r>
        <w:rPr>
          <w:rFonts w:ascii="宋体" w:hAnsi="宋体" w:cs="宋体" w:hint="eastAsia"/>
          <w:i/>
          <w:szCs w:val="21"/>
        </w:rPr>
        <w:t>P</w:t>
      </w:r>
      <w:r>
        <w:rPr>
          <w:rFonts w:ascii="宋体" w:hAnsi="宋体" w:cs="宋体" w:hint="eastAsia"/>
          <w:i/>
          <w:szCs w:val="21"/>
          <w:vertAlign w:val="subscript"/>
        </w:rPr>
        <w:t>B11</w:t>
      </w:r>
      <w:r>
        <w:rPr>
          <w:rFonts w:ascii="宋体" w:hAnsi="宋体" w:cs="宋体" w:hint="eastAsia"/>
          <w:szCs w:val="21"/>
        </w:rPr>
        <w:t>——</w:t>
      </w:r>
      <w:r>
        <w:rPr>
          <w:rFonts w:ascii="宋体" w:hAnsi="宋体" w:cs="宋体" w:hint="eastAsia"/>
          <w:iCs w:val="0"/>
          <w:szCs w:val="21"/>
        </w:rPr>
        <w:t>路基土体坍塌病害的覆跨比；</w:t>
      </w:r>
    </w:p>
    <w:p w:rsidR="00274D4E" w:rsidRDefault="00B5732B">
      <w:pPr>
        <w:pStyle w:val="afffffffffff8"/>
        <w:widowControl/>
        <w:snapToGrid w:val="0"/>
        <w:spacing w:line="240" w:lineRule="auto"/>
        <w:ind w:left="0" w:firstLineChars="200" w:firstLine="416"/>
        <w:textAlignment w:val="baseline"/>
        <w:rPr>
          <w:bCs/>
          <w:sz w:val="24"/>
        </w:rPr>
      </w:pPr>
      <w:r>
        <w:rPr>
          <w:rFonts w:ascii="宋体" w:hAnsi="宋体" w:cs="宋体" w:hint="eastAsia"/>
          <w:szCs w:val="21"/>
        </w:rPr>
        <w:t>P</w:t>
      </w:r>
      <w:r>
        <w:rPr>
          <w:rFonts w:ascii="宋体" w:hAnsi="宋体" w:cs="宋体" w:hint="eastAsia"/>
          <w:szCs w:val="21"/>
          <w:vertAlign w:val="subscript"/>
        </w:rPr>
        <w:t>D</w:t>
      </w:r>
      <w:r>
        <w:rPr>
          <w:rFonts w:ascii="宋体" w:hAnsi="宋体" w:cs="宋体" w:hint="eastAsia"/>
          <w:szCs w:val="21"/>
        </w:rPr>
        <w:t>——路基土体坍塌病害主要成因。</w:t>
      </w:r>
    </w:p>
    <w:p w:rsidR="00274D4E" w:rsidRDefault="00B5732B">
      <w:pPr>
        <w:pStyle w:val="affffffffc"/>
        <w:rPr>
          <w:rFonts w:cs="宋体"/>
        </w:rPr>
      </w:pPr>
      <w:r>
        <w:rPr>
          <w:rFonts w:hint="eastAsia"/>
        </w:rPr>
        <w:t>路基土体坍塌病害塌陷风险发生可能性分级可根据</w:t>
      </w:r>
      <w:r>
        <w:rPr>
          <w:rFonts w:cs="宋体" w:hint="eastAsia"/>
        </w:rPr>
        <w:t>表5</w:t>
      </w:r>
      <w:r>
        <w:rPr>
          <w:rFonts w:cs="宋体"/>
        </w:rPr>
        <w:t>划</w:t>
      </w:r>
      <w:r>
        <w:rPr>
          <w:rFonts w:cs="宋体" w:hint="eastAsia"/>
        </w:rPr>
        <w:t xml:space="preserve">分为 5个等级。 </w:t>
      </w:r>
    </w:p>
    <w:p w:rsidR="00274D4E" w:rsidRDefault="00B5732B" w:rsidP="00754DE2">
      <w:pPr>
        <w:pStyle w:val="aff2"/>
        <w:spacing w:before="156" w:after="156"/>
      </w:pPr>
      <w:r>
        <w:rPr>
          <w:rFonts w:hint="eastAsia"/>
        </w:rPr>
        <w:lastRenderedPageBreak/>
        <w:t>路基土体坍塌病害风险发生可能性等级划分</w:t>
      </w:r>
    </w:p>
    <w:tbl>
      <w:tblPr>
        <w:tblStyle w:val="TableNormal"/>
        <w:tblW w:w="4500" w:type="pct"/>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Look w:val="04A0" w:firstRow="1" w:lastRow="0" w:firstColumn="1" w:lastColumn="0" w:noHBand="0" w:noVBand="1"/>
      </w:tblPr>
      <w:tblGrid>
        <w:gridCol w:w="951"/>
        <w:gridCol w:w="2528"/>
        <w:gridCol w:w="4958"/>
      </w:tblGrid>
      <w:tr w:rsidR="00274D4E">
        <w:trPr>
          <w:trHeight w:val="680"/>
          <w:jc w:val="center"/>
        </w:trPr>
        <w:tc>
          <w:tcPr>
            <w:tcW w:w="879"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等级</w:t>
            </w:r>
          </w:p>
        </w:tc>
        <w:tc>
          <w:tcPr>
            <w:tcW w:w="2335"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风险发生可能性分值</w:t>
            </w:r>
          </w:p>
        </w:tc>
        <w:tc>
          <w:tcPr>
            <w:tcW w:w="4580"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文字描述</w:t>
            </w:r>
          </w:p>
        </w:tc>
      </w:tr>
      <w:tr w:rsidR="00274D4E">
        <w:trPr>
          <w:trHeight w:val="680"/>
          <w:jc w:val="center"/>
        </w:trPr>
        <w:tc>
          <w:tcPr>
            <w:tcW w:w="879" w:type="dxa"/>
            <w:tcBorders>
              <w:top w:val="single" w:sz="8" w:space="0" w:color="000000"/>
            </w:tcBorders>
            <w:vAlign w:val="center"/>
          </w:tcPr>
          <w:p w:rsidR="00274D4E" w:rsidRDefault="00B5732B" w:rsidP="00754DE2">
            <w:pPr>
              <w:pStyle w:val="afffffffff6"/>
              <w:ind w:firstLine="360"/>
            </w:pPr>
            <w:r>
              <w:rPr>
                <w:rFonts w:hint="eastAsia"/>
              </w:rPr>
              <w:t>A</w:t>
            </w:r>
          </w:p>
        </w:tc>
        <w:tc>
          <w:tcPr>
            <w:tcW w:w="2335" w:type="dxa"/>
            <w:tcBorders>
              <w:top w:val="single" w:sz="8" w:space="0" w:color="000000"/>
            </w:tcBorders>
            <w:shd w:val="clear" w:color="auto" w:fill="auto"/>
            <w:vAlign w:val="center"/>
          </w:tcPr>
          <w:p w:rsidR="00274D4E" w:rsidRDefault="00B5732B" w:rsidP="00754DE2">
            <w:pPr>
              <w:pStyle w:val="afffffffff6"/>
              <w:ind w:firstLine="360"/>
            </w:pPr>
            <w:r>
              <w:rPr>
                <w:rFonts w:hint="eastAsia"/>
              </w:rPr>
              <w:t>90≤P≤100</w:t>
            </w:r>
          </w:p>
        </w:tc>
        <w:tc>
          <w:tcPr>
            <w:tcW w:w="4580" w:type="dxa"/>
            <w:tcBorders>
              <w:top w:val="single" w:sz="8" w:space="0" w:color="000000"/>
            </w:tcBorders>
            <w:shd w:val="clear" w:color="auto" w:fill="auto"/>
            <w:vAlign w:val="center"/>
          </w:tcPr>
          <w:p w:rsidR="00274D4E" w:rsidRDefault="00B5732B" w:rsidP="00754DE2">
            <w:pPr>
              <w:pStyle w:val="afffffffff6"/>
              <w:ind w:firstLine="360"/>
            </w:pPr>
            <w:r>
              <w:rPr>
                <w:rFonts w:hint="eastAsia"/>
              </w:rPr>
              <w:t>近期发生可能性极大</w:t>
            </w:r>
          </w:p>
        </w:tc>
      </w:tr>
      <w:tr w:rsidR="00274D4E">
        <w:trPr>
          <w:trHeight w:val="680"/>
          <w:jc w:val="center"/>
        </w:trPr>
        <w:tc>
          <w:tcPr>
            <w:tcW w:w="879" w:type="dxa"/>
            <w:vAlign w:val="center"/>
          </w:tcPr>
          <w:p w:rsidR="00274D4E" w:rsidRDefault="00B5732B" w:rsidP="00754DE2">
            <w:pPr>
              <w:pStyle w:val="afffffffff6"/>
              <w:ind w:firstLine="360"/>
            </w:pPr>
            <w:r>
              <w:rPr>
                <w:rFonts w:hint="eastAsia"/>
              </w:rPr>
              <w:t>B</w:t>
            </w:r>
          </w:p>
        </w:tc>
        <w:tc>
          <w:tcPr>
            <w:tcW w:w="2335" w:type="dxa"/>
            <w:shd w:val="clear" w:color="auto" w:fill="auto"/>
            <w:vAlign w:val="center"/>
          </w:tcPr>
          <w:p w:rsidR="00274D4E" w:rsidRDefault="00B5732B" w:rsidP="00754DE2">
            <w:pPr>
              <w:pStyle w:val="afffffffff6"/>
              <w:ind w:firstLine="360"/>
            </w:pPr>
            <w:r>
              <w:rPr>
                <w:rFonts w:hint="eastAsia"/>
              </w:rPr>
              <w:t>70≤P＜90</w:t>
            </w:r>
          </w:p>
        </w:tc>
        <w:tc>
          <w:tcPr>
            <w:tcW w:w="4580" w:type="dxa"/>
            <w:shd w:val="clear" w:color="auto" w:fill="auto"/>
            <w:vAlign w:val="center"/>
          </w:tcPr>
          <w:p w:rsidR="00274D4E" w:rsidRDefault="00B5732B" w:rsidP="00754DE2">
            <w:pPr>
              <w:pStyle w:val="afffffffff6"/>
              <w:ind w:firstLine="360"/>
            </w:pPr>
            <w:r>
              <w:rPr>
                <w:rFonts w:hint="eastAsia"/>
              </w:rPr>
              <w:t>近期发生可能性较大</w:t>
            </w:r>
          </w:p>
        </w:tc>
      </w:tr>
      <w:tr w:rsidR="00274D4E">
        <w:trPr>
          <w:trHeight w:val="680"/>
          <w:jc w:val="center"/>
        </w:trPr>
        <w:tc>
          <w:tcPr>
            <w:tcW w:w="879" w:type="dxa"/>
            <w:vAlign w:val="center"/>
          </w:tcPr>
          <w:p w:rsidR="00274D4E" w:rsidRDefault="00B5732B" w:rsidP="00754DE2">
            <w:pPr>
              <w:pStyle w:val="afffffffff6"/>
              <w:ind w:firstLine="360"/>
            </w:pPr>
            <w:r>
              <w:rPr>
                <w:rFonts w:hint="eastAsia"/>
              </w:rPr>
              <w:t>C</w:t>
            </w:r>
          </w:p>
        </w:tc>
        <w:tc>
          <w:tcPr>
            <w:tcW w:w="2335" w:type="dxa"/>
            <w:vAlign w:val="center"/>
          </w:tcPr>
          <w:p w:rsidR="00274D4E" w:rsidRDefault="00B5732B" w:rsidP="00754DE2">
            <w:pPr>
              <w:pStyle w:val="afffffffff6"/>
              <w:ind w:firstLine="360"/>
            </w:pPr>
            <w:r>
              <w:rPr>
                <w:rFonts w:hint="eastAsia"/>
              </w:rPr>
              <w:t>50≤P＜70</w:t>
            </w:r>
          </w:p>
        </w:tc>
        <w:tc>
          <w:tcPr>
            <w:tcW w:w="4580" w:type="dxa"/>
            <w:vAlign w:val="center"/>
          </w:tcPr>
          <w:p w:rsidR="00274D4E" w:rsidRDefault="00B5732B" w:rsidP="00754DE2">
            <w:pPr>
              <w:pStyle w:val="afffffffff6"/>
              <w:ind w:firstLine="360"/>
            </w:pPr>
            <w:r>
              <w:rPr>
                <w:rFonts w:hint="eastAsia"/>
              </w:rPr>
              <w:t>近期发生可能性较小，未来发生可能性较大</w:t>
            </w:r>
          </w:p>
        </w:tc>
      </w:tr>
      <w:tr w:rsidR="00274D4E">
        <w:trPr>
          <w:trHeight w:val="680"/>
          <w:jc w:val="center"/>
        </w:trPr>
        <w:tc>
          <w:tcPr>
            <w:tcW w:w="879" w:type="dxa"/>
            <w:vAlign w:val="center"/>
          </w:tcPr>
          <w:p w:rsidR="00274D4E" w:rsidRDefault="00B5732B" w:rsidP="00754DE2">
            <w:pPr>
              <w:pStyle w:val="afffffffff6"/>
              <w:ind w:firstLine="360"/>
            </w:pPr>
            <w:r>
              <w:rPr>
                <w:rFonts w:hint="eastAsia"/>
              </w:rPr>
              <w:t>D</w:t>
            </w:r>
          </w:p>
        </w:tc>
        <w:tc>
          <w:tcPr>
            <w:tcW w:w="2335" w:type="dxa"/>
            <w:shd w:val="clear" w:color="auto" w:fill="auto"/>
            <w:vAlign w:val="center"/>
          </w:tcPr>
          <w:p w:rsidR="00274D4E" w:rsidRDefault="00B5732B" w:rsidP="00754DE2">
            <w:pPr>
              <w:pStyle w:val="afffffffff6"/>
              <w:ind w:firstLine="360"/>
            </w:pPr>
            <w:r>
              <w:rPr>
                <w:rFonts w:hint="eastAsia"/>
              </w:rPr>
              <w:t>30≤P＜50</w:t>
            </w:r>
          </w:p>
        </w:tc>
        <w:tc>
          <w:tcPr>
            <w:tcW w:w="4580" w:type="dxa"/>
            <w:shd w:val="clear" w:color="auto" w:fill="auto"/>
            <w:vAlign w:val="center"/>
          </w:tcPr>
          <w:p w:rsidR="00274D4E" w:rsidRDefault="00B5732B" w:rsidP="00754DE2">
            <w:pPr>
              <w:pStyle w:val="afffffffff6"/>
              <w:ind w:firstLine="360"/>
            </w:pPr>
            <w:r>
              <w:rPr>
                <w:rFonts w:hint="eastAsia"/>
              </w:rPr>
              <w:t>近期发生可能性很小，未来可能会发生</w:t>
            </w:r>
          </w:p>
        </w:tc>
      </w:tr>
      <w:tr w:rsidR="00274D4E">
        <w:trPr>
          <w:trHeight w:val="680"/>
          <w:jc w:val="center"/>
        </w:trPr>
        <w:tc>
          <w:tcPr>
            <w:tcW w:w="879" w:type="dxa"/>
            <w:vAlign w:val="center"/>
          </w:tcPr>
          <w:p w:rsidR="00274D4E" w:rsidRDefault="00B5732B" w:rsidP="00754DE2">
            <w:pPr>
              <w:pStyle w:val="afffffffff6"/>
              <w:ind w:firstLine="360"/>
            </w:pPr>
            <w:r>
              <w:rPr>
                <w:rFonts w:hint="eastAsia"/>
              </w:rPr>
              <w:t>E</w:t>
            </w:r>
          </w:p>
        </w:tc>
        <w:tc>
          <w:tcPr>
            <w:tcW w:w="2335" w:type="dxa"/>
            <w:shd w:val="clear" w:color="auto" w:fill="auto"/>
            <w:vAlign w:val="center"/>
          </w:tcPr>
          <w:p w:rsidR="00274D4E" w:rsidRDefault="00B5732B" w:rsidP="00754DE2">
            <w:pPr>
              <w:pStyle w:val="afffffffff6"/>
              <w:ind w:firstLine="360"/>
            </w:pPr>
            <w:r>
              <w:rPr>
                <w:rFonts w:hint="eastAsia"/>
              </w:rPr>
              <w:t>0≤P＜30</w:t>
            </w:r>
          </w:p>
        </w:tc>
        <w:tc>
          <w:tcPr>
            <w:tcW w:w="4580" w:type="dxa"/>
            <w:shd w:val="clear" w:color="auto" w:fill="auto"/>
            <w:vAlign w:val="center"/>
          </w:tcPr>
          <w:p w:rsidR="00274D4E" w:rsidRDefault="00B5732B" w:rsidP="00754DE2">
            <w:pPr>
              <w:pStyle w:val="afffffffff6"/>
              <w:ind w:firstLine="360"/>
            </w:pPr>
            <w:r>
              <w:rPr>
                <w:rFonts w:hint="eastAsia"/>
              </w:rPr>
              <w:t>近期不可能发生，未来发生可能性很小</w:t>
            </w:r>
          </w:p>
        </w:tc>
      </w:tr>
    </w:tbl>
    <w:p w:rsidR="00274D4E" w:rsidRDefault="00B5732B" w:rsidP="00754DE2">
      <w:pPr>
        <w:pStyle w:val="afff"/>
        <w:spacing w:before="156" w:after="156"/>
      </w:pPr>
      <w:bookmarkStart w:id="179" w:name="_Toc28282"/>
      <w:bookmarkStart w:id="180" w:name="_Toc30217"/>
      <w:r>
        <w:rPr>
          <w:rFonts w:hint="eastAsia"/>
        </w:rPr>
        <w:t>路基土体坍塌病害风险后果评价</w:t>
      </w:r>
      <w:bookmarkEnd w:id="179"/>
      <w:bookmarkEnd w:id="180"/>
    </w:p>
    <w:p w:rsidR="00274D4E" w:rsidRDefault="00B5732B">
      <w:pPr>
        <w:pStyle w:val="affffffffc"/>
      </w:pPr>
      <w:r>
        <w:rPr>
          <w:rFonts w:hint="eastAsia"/>
        </w:rPr>
        <w:t>路基土体坍塌病害风险后果评价指标和评价方法按照DB11/T 1399规定执行。</w:t>
      </w:r>
    </w:p>
    <w:p w:rsidR="00274D4E" w:rsidRDefault="00B5732B">
      <w:pPr>
        <w:pStyle w:val="affffffffc"/>
      </w:pPr>
      <w:r>
        <w:rPr>
          <w:rFonts w:hint="eastAsia"/>
        </w:rPr>
        <w:t>路基土体坍塌病害风险后果等级应根据风险后果评价指标的分值按照表6划分为5个等级。</w:t>
      </w:r>
    </w:p>
    <w:p w:rsidR="00274D4E" w:rsidRDefault="00B5732B" w:rsidP="00754DE2">
      <w:pPr>
        <w:pStyle w:val="aff2"/>
        <w:spacing w:before="156" w:after="156"/>
      </w:pPr>
      <w:r>
        <w:rPr>
          <w:rFonts w:hint="eastAsia"/>
        </w:rPr>
        <w:t>路基土体坍塌病害风险后果等级划分</w:t>
      </w:r>
    </w:p>
    <w:tbl>
      <w:tblPr>
        <w:tblStyle w:val="TableNormal"/>
        <w:tblW w:w="4500" w:type="pct"/>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515"/>
        <w:gridCol w:w="2788"/>
        <w:gridCol w:w="4134"/>
      </w:tblGrid>
      <w:tr w:rsidR="00274D4E">
        <w:trPr>
          <w:trHeight w:val="680"/>
          <w:jc w:val="center"/>
        </w:trPr>
        <w:tc>
          <w:tcPr>
            <w:tcW w:w="898" w:type="pct"/>
            <w:tcBorders>
              <w:bottom w:val="single" w:sz="8" w:space="0" w:color="000000"/>
            </w:tcBorders>
            <w:vAlign w:val="center"/>
          </w:tcPr>
          <w:p w:rsidR="00274D4E" w:rsidRDefault="00B5732B">
            <w:pPr>
              <w:pStyle w:val="afffffffff6"/>
              <w:ind w:firstLineChars="0" w:firstLine="0"/>
              <w:jc w:val="center"/>
              <w:rPr>
                <w:b/>
                <w:bCs/>
              </w:rPr>
            </w:pPr>
            <w:r>
              <w:rPr>
                <w:rFonts w:hint="eastAsia"/>
                <w:b/>
                <w:bCs/>
              </w:rPr>
              <w:t>等级</w:t>
            </w:r>
          </w:p>
        </w:tc>
        <w:tc>
          <w:tcPr>
            <w:tcW w:w="1652" w:type="pct"/>
            <w:tcBorders>
              <w:bottom w:val="single" w:sz="8" w:space="0" w:color="000000"/>
            </w:tcBorders>
            <w:vAlign w:val="center"/>
          </w:tcPr>
          <w:p w:rsidR="00274D4E" w:rsidRDefault="00B5732B">
            <w:pPr>
              <w:pStyle w:val="afffffffff6"/>
              <w:ind w:firstLineChars="0" w:firstLine="0"/>
              <w:jc w:val="center"/>
              <w:rPr>
                <w:b/>
                <w:bCs/>
              </w:rPr>
            </w:pPr>
            <w:r>
              <w:rPr>
                <w:rFonts w:hint="eastAsia"/>
                <w:b/>
                <w:bCs/>
              </w:rPr>
              <w:t>风险后果分值</w:t>
            </w:r>
          </w:p>
        </w:tc>
        <w:tc>
          <w:tcPr>
            <w:tcW w:w="2448" w:type="pct"/>
            <w:tcBorders>
              <w:bottom w:val="single" w:sz="8" w:space="0" w:color="000000"/>
            </w:tcBorders>
            <w:vAlign w:val="center"/>
          </w:tcPr>
          <w:p w:rsidR="00274D4E" w:rsidRDefault="00B5732B">
            <w:pPr>
              <w:pStyle w:val="afffffffff6"/>
              <w:ind w:firstLineChars="0" w:firstLine="0"/>
              <w:jc w:val="center"/>
              <w:rPr>
                <w:b/>
                <w:bCs/>
              </w:rPr>
            </w:pPr>
            <w:r>
              <w:rPr>
                <w:rFonts w:hint="eastAsia"/>
                <w:b/>
                <w:bCs/>
              </w:rPr>
              <w:t>文字描述</w:t>
            </w:r>
          </w:p>
        </w:tc>
      </w:tr>
      <w:tr w:rsidR="00274D4E">
        <w:trPr>
          <w:trHeight w:val="680"/>
          <w:jc w:val="center"/>
        </w:trPr>
        <w:tc>
          <w:tcPr>
            <w:tcW w:w="898" w:type="pct"/>
            <w:tcBorders>
              <w:top w:val="single" w:sz="8" w:space="0" w:color="000000"/>
            </w:tcBorders>
            <w:vAlign w:val="center"/>
          </w:tcPr>
          <w:p w:rsidR="00274D4E" w:rsidRDefault="00B5732B">
            <w:pPr>
              <w:pStyle w:val="afffffffff6"/>
              <w:ind w:firstLineChars="0" w:firstLine="0"/>
              <w:jc w:val="center"/>
            </w:pPr>
            <w:r>
              <w:rPr>
                <w:rFonts w:hint="eastAsia"/>
              </w:rPr>
              <w:t>R1</w:t>
            </w:r>
          </w:p>
        </w:tc>
        <w:tc>
          <w:tcPr>
            <w:tcW w:w="1652" w:type="pct"/>
            <w:tcBorders>
              <w:top w:val="single" w:sz="8" w:space="0" w:color="000000"/>
            </w:tcBorders>
            <w:shd w:val="clear" w:color="auto" w:fill="auto"/>
            <w:vAlign w:val="center"/>
          </w:tcPr>
          <w:p w:rsidR="00274D4E" w:rsidRDefault="00B5732B">
            <w:pPr>
              <w:pStyle w:val="afffffffff6"/>
              <w:ind w:firstLineChars="0" w:firstLine="0"/>
              <w:jc w:val="center"/>
            </w:pPr>
            <w:r>
              <w:rPr>
                <w:rFonts w:hint="eastAsia"/>
              </w:rPr>
              <w:t>80≤C≤100</w:t>
            </w:r>
          </w:p>
        </w:tc>
        <w:tc>
          <w:tcPr>
            <w:tcW w:w="2448" w:type="pct"/>
            <w:tcBorders>
              <w:top w:val="single" w:sz="8" w:space="0" w:color="000000"/>
            </w:tcBorders>
            <w:shd w:val="clear" w:color="auto" w:fill="auto"/>
            <w:vAlign w:val="center"/>
          </w:tcPr>
          <w:p w:rsidR="00274D4E" w:rsidRDefault="00B5732B">
            <w:pPr>
              <w:pStyle w:val="afffffffff6"/>
              <w:ind w:firstLineChars="0" w:firstLine="0"/>
              <w:jc w:val="center"/>
            </w:pPr>
            <w:r>
              <w:rPr>
                <w:rFonts w:hint="eastAsia"/>
              </w:rPr>
              <w:t>后果影响很严重</w:t>
            </w:r>
          </w:p>
        </w:tc>
      </w:tr>
      <w:tr w:rsidR="00274D4E">
        <w:trPr>
          <w:trHeight w:val="680"/>
          <w:jc w:val="center"/>
        </w:trPr>
        <w:tc>
          <w:tcPr>
            <w:tcW w:w="898" w:type="pct"/>
            <w:vAlign w:val="center"/>
          </w:tcPr>
          <w:p w:rsidR="00274D4E" w:rsidRDefault="00B5732B">
            <w:pPr>
              <w:pStyle w:val="afffffffff6"/>
              <w:ind w:firstLineChars="0" w:firstLine="0"/>
              <w:jc w:val="center"/>
            </w:pPr>
            <w:r>
              <w:rPr>
                <w:rFonts w:hint="eastAsia"/>
              </w:rPr>
              <w:t>R2</w:t>
            </w:r>
          </w:p>
        </w:tc>
        <w:tc>
          <w:tcPr>
            <w:tcW w:w="1652" w:type="pct"/>
            <w:shd w:val="clear" w:color="auto" w:fill="auto"/>
            <w:vAlign w:val="center"/>
          </w:tcPr>
          <w:p w:rsidR="00274D4E" w:rsidRDefault="00B5732B">
            <w:pPr>
              <w:pStyle w:val="afffffffff6"/>
              <w:ind w:firstLineChars="0" w:firstLine="0"/>
              <w:jc w:val="center"/>
            </w:pPr>
            <w:r>
              <w:rPr>
                <w:rFonts w:hint="eastAsia"/>
              </w:rPr>
              <w:t>60≤C＜80</w:t>
            </w:r>
          </w:p>
        </w:tc>
        <w:tc>
          <w:tcPr>
            <w:tcW w:w="2448" w:type="pct"/>
            <w:shd w:val="clear" w:color="auto" w:fill="auto"/>
            <w:vAlign w:val="center"/>
          </w:tcPr>
          <w:p w:rsidR="00274D4E" w:rsidRDefault="00B5732B">
            <w:pPr>
              <w:pStyle w:val="afffffffff6"/>
              <w:ind w:firstLineChars="0" w:firstLine="0"/>
              <w:jc w:val="center"/>
            </w:pPr>
            <w:r>
              <w:rPr>
                <w:rFonts w:hint="eastAsia"/>
              </w:rPr>
              <w:t>后果影响较严重</w:t>
            </w:r>
          </w:p>
        </w:tc>
      </w:tr>
      <w:tr w:rsidR="00274D4E">
        <w:trPr>
          <w:trHeight w:val="680"/>
          <w:jc w:val="center"/>
        </w:trPr>
        <w:tc>
          <w:tcPr>
            <w:tcW w:w="898" w:type="pct"/>
            <w:vAlign w:val="center"/>
          </w:tcPr>
          <w:p w:rsidR="00274D4E" w:rsidRDefault="00B5732B">
            <w:pPr>
              <w:pStyle w:val="afffffffff6"/>
              <w:ind w:firstLineChars="0" w:firstLine="0"/>
              <w:jc w:val="center"/>
            </w:pPr>
            <w:r>
              <w:rPr>
                <w:rFonts w:hint="eastAsia"/>
              </w:rPr>
              <w:t>R3</w:t>
            </w:r>
          </w:p>
        </w:tc>
        <w:tc>
          <w:tcPr>
            <w:tcW w:w="1652" w:type="pct"/>
            <w:vAlign w:val="center"/>
          </w:tcPr>
          <w:p w:rsidR="00274D4E" w:rsidRDefault="00B5732B">
            <w:pPr>
              <w:pStyle w:val="afffffffff6"/>
              <w:ind w:firstLineChars="0" w:firstLine="0"/>
              <w:jc w:val="center"/>
            </w:pPr>
            <w:r>
              <w:rPr>
                <w:rFonts w:hint="eastAsia"/>
              </w:rPr>
              <w:t>40≤C＜60</w:t>
            </w:r>
          </w:p>
        </w:tc>
        <w:tc>
          <w:tcPr>
            <w:tcW w:w="2448" w:type="pct"/>
            <w:vAlign w:val="center"/>
          </w:tcPr>
          <w:p w:rsidR="00274D4E" w:rsidRDefault="00B5732B">
            <w:pPr>
              <w:pStyle w:val="afffffffff6"/>
              <w:ind w:firstLineChars="0" w:firstLine="0"/>
              <w:jc w:val="center"/>
            </w:pPr>
            <w:r>
              <w:rPr>
                <w:rFonts w:hint="eastAsia"/>
              </w:rPr>
              <w:t>后果影响一般</w:t>
            </w:r>
          </w:p>
        </w:tc>
      </w:tr>
      <w:tr w:rsidR="00274D4E">
        <w:trPr>
          <w:trHeight w:val="680"/>
          <w:jc w:val="center"/>
        </w:trPr>
        <w:tc>
          <w:tcPr>
            <w:tcW w:w="898" w:type="pct"/>
            <w:vAlign w:val="center"/>
          </w:tcPr>
          <w:p w:rsidR="00274D4E" w:rsidRDefault="00B5732B">
            <w:pPr>
              <w:pStyle w:val="afffffffff6"/>
              <w:ind w:firstLineChars="0" w:firstLine="0"/>
              <w:jc w:val="center"/>
            </w:pPr>
            <w:r>
              <w:rPr>
                <w:rFonts w:hint="eastAsia"/>
              </w:rPr>
              <w:t>R4</w:t>
            </w:r>
          </w:p>
        </w:tc>
        <w:tc>
          <w:tcPr>
            <w:tcW w:w="1652" w:type="pct"/>
            <w:shd w:val="clear" w:color="auto" w:fill="auto"/>
            <w:vAlign w:val="center"/>
          </w:tcPr>
          <w:p w:rsidR="00274D4E" w:rsidRDefault="00B5732B">
            <w:pPr>
              <w:pStyle w:val="afffffffff6"/>
              <w:ind w:firstLineChars="0" w:firstLine="0"/>
              <w:jc w:val="center"/>
            </w:pPr>
            <w:r>
              <w:rPr>
                <w:rFonts w:hint="eastAsia"/>
              </w:rPr>
              <w:t>20≤C＜40</w:t>
            </w:r>
          </w:p>
        </w:tc>
        <w:tc>
          <w:tcPr>
            <w:tcW w:w="2448" w:type="pct"/>
            <w:shd w:val="clear" w:color="auto" w:fill="auto"/>
            <w:vAlign w:val="center"/>
          </w:tcPr>
          <w:p w:rsidR="00274D4E" w:rsidRDefault="00B5732B">
            <w:pPr>
              <w:pStyle w:val="afffffffff6"/>
              <w:ind w:firstLineChars="0" w:firstLine="0"/>
              <w:jc w:val="center"/>
            </w:pPr>
            <w:r>
              <w:rPr>
                <w:rFonts w:hint="eastAsia"/>
              </w:rPr>
              <w:t>后果影响较小</w:t>
            </w:r>
          </w:p>
        </w:tc>
      </w:tr>
      <w:tr w:rsidR="00274D4E">
        <w:trPr>
          <w:trHeight w:val="680"/>
          <w:jc w:val="center"/>
        </w:trPr>
        <w:tc>
          <w:tcPr>
            <w:tcW w:w="898" w:type="pct"/>
            <w:tcBorders>
              <w:bottom w:val="single" w:sz="8" w:space="0" w:color="000000"/>
            </w:tcBorders>
            <w:vAlign w:val="center"/>
          </w:tcPr>
          <w:p w:rsidR="00274D4E" w:rsidRDefault="00B5732B">
            <w:pPr>
              <w:pStyle w:val="afffffffff6"/>
              <w:ind w:firstLineChars="0" w:firstLine="0"/>
              <w:jc w:val="center"/>
            </w:pPr>
            <w:r>
              <w:rPr>
                <w:rFonts w:hint="eastAsia"/>
              </w:rPr>
              <w:t>R5</w:t>
            </w:r>
          </w:p>
        </w:tc>
        <w:tc>
          <w:tcPr>
            <w:tcW w:w="1652" w:type="pct"/>
            <w:tcBorders>
              <w:bottom w:val="single" w:sz="8" w:space="0" w:color="000000"/>
            </w:tcBorders>
            <w:shd w:val="clear" w:color="auto" w:fill="auto"/>
            <w:vAlign w:val="center"/>
          </w:tcPr>
          <w:p w:rsidR="00274D4E" w:rsidRDefault="00B5732B">
            <w:pPr>
              <w:pStyle w:val="afffffffff6"/>
              <w:ind w:firstLineChars="0" w:firstLine="0"/>
              <w:jc w:val="center"/>
            </w:pPr>
            <w:r>
              <w:rPr>
                <w:rFonts w:hint="eastAsia"/>
              </w:rPr>
              <w:t>0≤C＜20</w:t>
            </w:r>
          </w:p>
        </w:tc>
        <w:tc>
          <w:tcPr>
            <w:tcW w:w="2448" w:type="pct"/>
            <w:tcBorders>
              <w:bottom w:val="single" w:sz="8" w:space="0" w:color="000000"/>
            </w:tcBorders>
            <w:shd w:val="clear" w:color="auto" w:fill="auto"/>
            <w:vAlign w:val="center"/>
          </w:tcPr>
          <w:p w:rsidR="00274D4E" w:rsidRDefault="00B5732B">
            <w:pPr>
              <w:pStyle w:val="afffffffff6"/>
              <w:ind w:firstLineChars="0" w:firstLine="0"/>
              <w:jc w:val="center"/>
            </w:pPr>
            <w:r>
              <w:rPr>
                <w:rFonts w:hint="eastAsia"/>
              </w:rPr>
              <w:t>后果影响可忽略</w:t>
            </w:r>
          </w:p>
        </w:tc>
      </w:tr>
      <w:tr w:rsidR="00274D4E">
        <w:trPr>
          <w:trHeight w:val="907"/>
          <w:jc w:val="center"/>
        </w:trPr>
        <w:tc>
          <w:tcPr>
            <w:tcW w:w="5000" w:type="pct"/>
            <w:gridSpan w:val="3"/>
            <w:tcBorders>
              <w:top w:val="single" w:sz="8" w:space="0" w:color="000000"/>
            </w:tcBorders>
            <w:vAlign w:val="center"/>
          </w:tcPr>
          <w:p w:rsidR="00274D4E" w:rsidRDefault="00B5732B" w:rsidP="00754DE2">
            <w:pPr>
              <w:pStyle w:val="afffffffff6"/>
              <w:ind w:firstLine="360"/>
            </w:pPr>
            <w:r>
              <w:rPr>
                <w:rFonts w:hint="eastAsia"/>
              </w:rPr>
              <w:t>注：重大社会活动期间及涉及其发生区域情况下，风险后果直接判定为</w:t>
            </w:r>
            <w:r>
              <w:t>5</w:t>
            </w:r>
            <w:r>
              <w:rPr>
                <w:rFonts w:hint="eastAsia"/>
              </w:rPr>
              <w:t>级。</w:t>
            </w:r>
          </w:p>
        </w:tc>
      </w:tr>
    </w:tbl>
    <w:p w:rsidR="00274D4E" w:rsidRDefault="00B5732B" w:rsidP="00754DE2">
      <w:pPr>
        <w:pStyle w:val="afff"/>
        <w:spacing w:before="156" w:after="156"/>
      </w:pPr>
      <w:bookmarkStart w:id="181" w:name="_Toc12380"/>
      <w:bookmarkStart w:id="182" w:name="_Toc20950"/>
      <w:r>
        <w:rPr>
          <w:rFonts w:hint="eastAsia"/>
        </w:rPr>
        <w:t>路基土体坍塌病害风险综合评估</w:t>
      </w:r>
      <w:bookmarkEnd w:id="181"/>
      <w:bookmarkEnd w:id="182"/>
    </w:p>
    <w:p w:rsidR="00274D4E" w:rsidRDefault="00B5732B">
      <w:pPr>
        <w:pStyle w:val="affffffffc"/>
      </w:pPr>
      <w:r>
        <w:rPr>
          <w:rFonts w:hint="eastAsia"/>
        </w:rPr>
        <w:t>根据路基土体坍塌病害的风险可能性与风险后果按照表7的风险矩阵方法进行综合风险等级评价，分为风险极高（I）、风险较高（II）、风险一般（III）、风险较低（IV）和风险极低（V）五个等级。</w:t>
      </w:r>
    </w:p>
    <w:p w:rsidR="00274D4E" w:rsidRDefault="00B5732B" w:rsidP="00754DE2">
      <w:pPr>
        <w:pStyle w:val="aff2"/>
        <w:spacing w:before="156" w:after="156"/>
      </w:pPr>
      <w:r>
        <w:rPr>
          <w:rFonts w:hint="eastAsia"/>
        </w:rPr>
        <w:lastRenderedPageBreak/>
        <w:t>路基土体坍塌病害风险等级划分</w:t>
      </w:r>
    </w:p>
    <w:tbl>
      <w:tblPr>
        <w:tblStyle w:val="affff4"/>
        <w:tblW w:w="45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395"/>
        <w:gridCol w:w="1408"/>
        <w:gridCol w:w="1408"/>
        <w:gridCol w:w="1408"/>
        <w:gridCol w:w="1409"/>
        <w:gridCol w:w="1409"/>
      </w:tblGrid>
      <w:tr w:rsidR="00274D4E">
        <w:trPr>
          <w:trHeight w:val="567"/>
          <w:tblHeader/>
          <w:jc w:val="center"/>
        </w:trPr>
        <w:tc>
          <w:tcPr>
            <w:tcW w:w="1562" w:type="dxa"/>
            <w:vMerge w:val="restart"/>
            <w:vAlign w:val="center"/>
          </w:tcPr>
          <w:p w:rsidR="00274D4E" w:rsidRDefault="00B5732B">
            <w:pPr>
              <w:pStyle w:val="afffffffff5"/>
              <w:rPr>
                <w:rFonts w:hAnsi="宋体" w:cs="宋体"/>
              </w:rPr>
            </w:pPr>
            <w:r>
              <w:rPr>
                <w:rFonts w:hAnsi="宋体" w:cs="宋体" w:hint="eastAsia"/>
                <w:b/>
                <w:bCs/>
                <w:iCs/>
                <w:szCs w:val="18"/>
              </w:rPr>
              <w:t>风险发生可能性等级</w:t>
            </w:r>
          </w:p>
        </w:tc>
        <w:tc>
          <w:tcPr>
            <w:tcW w:w="7812" w:type="dxa"/>
            <w:gridSpan w:val="5"/>
            <w:tcBorders>
              <w:bottom w:val="single" w:sz="8" w:space="0" w:color="auto"/>
            </w:tcBorders>
            <w:vAlign w:val="center"/>
          </w:tcPr>
          <w:p w:rsidR="00274D4E" w:rsidRDefault="00B5732B">
            <w:pPr>
              <w:pStyle w:val="afffffffff5"/>
              <w:rPr>
                <w:rFonts w:hAnsi="宋体" w:cs="宋体"/>
              </w:rPr>
            </w:pPr>
            <w:r>
              <w:rPr>
                <w:rFonts w:hAnsi="宋体" w:cs="宋体" w:hint="eastAsia"/>
                <w:b/>
                <w:bCs/>
                <w:iCs/>
                <w:szCs w:val="18"/>
              </w:rPr>
              <w:t>风险后果等级</w:t>
            </w:r>
          </w:p>
        </w:tc>
      </w:tr>
      <w:tr w:rsidR="00274D4E">
        <w:trPr>
          <w:trHeight w:val="567"/>
          <w:jc w:val="center"/>
        </w:trPr>
        <w:tc>
          <w:tcPr>
            <w:tcW w:w="1562" w:type="dxa"/>
            <w:vMerge/>
            <w:vAlign w:val="center"/>
          </w:tcPr>
          <w:p w:rsidR="00274D4E" w:rsidRDefault="00274D4E">
            <w:pPr>
              <w:pStyle w:val="afffffffff5"/>
              <w:rPr>
                <w:rFonts w:hAnsi="宋体" w:cs="宋体"/>
              </w:rPr>
            </w:pPr>
          </w:p>
        </w:tc>
        <w:tc>
          <w:tcPr>
            <w:tcW w:w="1562" w:type="dxa"/>
            <w:tcBorders>
              <w:top w:val="single" w:sz="8" w:space="0" w:color="auto"/>
            </w:tcBorders>
            <w:vAlign w:val="center"/>
          </w:tcPr>
          <w:p w:rsidR="00274D4E" w:rsidRDefault="00B5732B">
            <w:pPr>
              <w:pStyle w:val="afffb"/>
              <w:adjustRightInd/>
              <w:spacing w:line="240" w:lineRule="auto"/>
              <w:jc w:val="center"/>
              <w:rPr>
                <w:rFonts w:ascii="宋体" w:eastAsia="宋体" w:hAnsi="宋体" w:cs="宋体"/>
              </w:rPr>
            </w:pPr>
            <w:r>
              <w:rPr>
                <w:rFonts w:ascii="宋体" w:eastAsia="宋体" w:hAnsi="宋体" w:cs="宋体" w:hint="eastAsia"/>
                <w:b/>
                <w:bCs/>
                <w:iCs/>
                <w:sz w:val="18"/>
                <w:szCs w:val="18"/>
              </w:rPr>
              <w:t>R1</w:t>
            </w:r>
          </w:p>
        </w:tc>
        <w:tc>
          <w:tcPr>
            <w:tcW w:w="1562" w:type="dxa"/>
            <w:tcBorders>
              <w:top w:val="single" w:sz="8" w:space="0" w:color="auto"/>
            </w:tcBorders>
            <w:vAlign w:val="center"/>
          </w:tcPr>
          <w:p w:rsidR="00274D4E" w:rsidRDefault="00B5732B">
            <w:pPr>
              <w:pStyle w:val="afffb"/>
              <w:adjustRightInd/>
              <w:spacing w:line="240" w:lineRule="auto"/>
              <w:jc w:val="center"/>
              <w:rPr>
                <w:rFonts w:ascii="宋体" w:eastAsia="宋体" w:hAnsi="宋体" w:cs="宋体"/>
              </w:rPr>
            </w:pPr>
            <w:r>
              <w:rPr>
                <w:rFonts w:ascii="宋体" w:eastAsia="宋体" w:hAnsi="宋体" w:cs="宋体" w:hint="eastAsia"/>
                <w:b/>
                <w:bCs/>
                <w:iCs/>
                <w:sz w:val="18"/>
                <w:szCs w:val="18"/>
              </w:rPr>
              <w:t>R2</w:t>
            </w:r>
          </w:p>
        </w:tc>
        <w:tc>
          <w:tcPr>
            <w:tcW w:w="1562" w:type="dxa"/>
            <w:tcBorders>
              <w:top w:val="single" w:sz="8" w:space="0" w:color="auto"/>
            </w:tcBorders>
            <w:vAlign w:val="center"/>
          </w:tcPr>
          <w:p w:rsidR="00274D4E" w:rsidRDefault="00B5732B">
            <w:pPr>
              <w:pStyle w:val="afffb"/>
              <w:adjustRightInd/>
              <w:spacing w:line="240" w:lineRule="auto"/>
              <w:jc w:val="center"/>
              <w:rPr>
                <w:rFonts w:ascii="宋体" w:eastAsia="宋体" w:hAnsi="宋体" w:cs="宋体"/>
              </w:rPr>
            </w:pPr>
            <w:r>
              <w:rPr>
                <w:rFonts w:ascii="宋体" w:eastAsia="宋体" w:hAnsi="宋体" w:cs="宋体" w:hint="eastAsia"/>
                <w:b/>
                <w:bCs/>
                <w:iCs/>
                <w:sz w:val="18"/>
                <w:szCs w:val="18"/>
              </w:rPr>
              <w:t>R3</w:t>
            </w:r>
          </w:p>
        </w:tc>
        <w:tc>
          <w:tcPr>
            <w:tcW w:w="1563" w:type="dxa"/>
            <w:tcBorders>
              <w:top w:val="single" w:sz="8" w:space="0" w:color="auto"/>
            </w:tcBorders>
            <w:vAlign w:val="center"/>
          </w:tcPr>
          <w:p w:rsidR="00274D4E" w:rsidRDefault="00B5732B">
            <w:pPr>
              <w:pStyle w:val="afffb"/>
              <w:adjustRightInd/>
              <w:spacing w:line="240" w:lineRule="auto"/>
              <w:jc w:val="center"/>
              <w:rPr>
                <w:rFonts w:ascii="宋体" w:eastAsia="宋体" w:hAnsi="宋体" w:cs="宋体"/>
              </w:rPr>
            </w:pPr>
            <w:r>
              <w:rPr>
                <w:rFonts w:ascii="宋体" w:eastAsia="宋体" w:hAnsi="宋体" w:cs="宋体" w:hint="eastAsia"/>
                <w:b/>
                <w:bCs/>
                <w:iCs/>
                <w:sz w:val="18"/>
                <w:szCs w:val="18"/>
              </w:rPr>
              <w:t>R4</w:t>
            </w:r>
          </w:p>
        </w:tc>
        <w:tc>
          <w:tcPr>
            <w:tcW w:w="1563" w:type="dxa"/>
            <w:tcBorders>
              <w:top w:val="single" w:sz="8" w:space="0" w:color="auto"/>
            </w:tcBorders>
            <w:vAlign w:val="center"/>
          </w:tcPr>
          <w:p w:rsidR="00274D4E" w:rsidRDefault="00B5732B">
            <w:pPr>
              <w:pStyle w:val="afffb"/>
              <w:adjustRightInd/>
              <w:spacing w:line="240" w:lineRule="auto"/>
              <w:jc w:val="center"/>
              <w:rPr>
                <w:rFonts w:ascii="宋体" w:eastAsia="宋体" w:hAnsi="宋体" w:cs="宋体"/>
              </w:rPr>
            </w:pPr>
            <w:r>
              <w:rPr>
                <w:rFonts w:ascii="宋体" w:eastAsia="宋体" w:hAnsi="宋体" w:cs="宋体" w:hint="eastAsia"/>
                <w:b/>
                <w:bCs/>
                <w:iCs/>
                <w:sz w:val="18"/>
                <w:szCs w:val="18"/>
              </w:rPr>
              <w:t>R5</w:t>
            </w:r>
          </w:p>
        </w:tc>
      </w:tr>
      <w:tr w:rsidR="00274D4E">
        <w:trPr>
          <w:trHeight w:val="567"/>
          <w:jc w:val="center"/>
        </w:trPr>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b/>
                <w:bCs/>
              </w:rPr>
            </w:pPr>
            <w:r>
              <w:rPr>
                <w:rFonts w:ascii="宋体" w:hAnsi="宋体"/>
                <w:b/>
                <w:bCs/>
                <w:sz w:val="18"/>
                <w:szCs w:val="18"/>
              </w:rPr>
              <w:t>A</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III</w:t>
            </w:r>
          </w:p>
        </w:tc>
      </w:tr>
      <w:tr w:rsidR="00274D4E">
        <w:trPr>
          <w:trHeight w:val="567"/>
          <w:jc w:val="center"/>
        </w:trPr>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b/>
                <w:bCs/>
              </w:rPr>
            </w:pPr>
            <w:r>
              <w:rPr>
                <w:rFonts w:ascii="宋体" w:hAnsi="宋体"/>
                <w:b/>
                <w:bCs/>
                <w:sz w:val="18"/>
                <w:szCs w:val="18"/>
              </w:rPr>
              <w:t>B</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III</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IV</w:t>
            </w:r>
          </w:p>
        </w:tc>
      </w:tr>
      <w:tr w:rsidR="00274D4E">
        <w:trPr>
          <w:trHeight w:val="567"/>
          <w:jc w:val="center"/>
        </w:trPr>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b/>
                <w:bCs/>
              </w:rPr>
            </w:pPr>
            <w:r>
              <w:rPr>
                <w:rFonts w:ascii="宋体" w:hAnsi="宋体"/>
                <w:b/>
                <w:bCs/>
                <w:sz w:val="18"/>
                <w:szCs w:val="18"/>
              </w:rPr>
              <w:t>C</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III</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IV</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V</w:t>
            </w:r>
          </w:p>
        </w:tc>
      </w:tr>
      <w:tr w:rsidR="00274D4E">
        <w:trPr>
          <w:trHeight w:val="567"/>
          <w:jc w:val="center"/>
        </w:trPr>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b/>
                <w:bCs/>
              </w:rPr>
            </w:pPr>
            <w:r>
              <w:rPr>
                <w:rFonts w:ascii="宋体" w:hAnsi="宋体"/>
                <w:b/>
                <w:bCs/>
                <w:sz w:val="18"/>
                <w:szCs w:val="18"/>
              </w:rPr>
              <w:t>D</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III</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IV</w:t>
            </w:r>
          </w:p>
        </w:tc>
        <w:tc>
          <w:tcPr>
            <w:tcW w:w="1562"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IV</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V</w:t>
            </w:r>
          </w:p>
        </w:tc>
        <w:tc>
          <w:tcPr>
            <w:tcW w:w="1563" w:type="dxa"/>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V</w:t>
            </w:r>
          </w:p>
        </w:tc>
      </w:tr>
      <w:tr w:rsidR="00274D4E">
        <w:trPr>
          <w:trHeight w:val="567"/>
          <w:jc w:val="center"/>
        </w:trPr>
        <w:tc>
          <w:tcPr>
            <w:tcW w:w="1562" w:type="dxa"/>
            <w:tcBorders>
              <w:bottom w:val="single" w:sz="8" w:space="0" w:color="auto"/>
            </w:tcBorders>
            <w:vAlign w:val="center"/>
          </w:tcPr>
          <w:p w:rsidR="00274D4E" w:rsidRDefault="00B5732B">
            <w:pPr>
              <w:pStyle w:val="afffffffffffb"/>
              <w:adjustRightInd/>
              <w:spacing w:beforeLines="0" w:before="0" w:afterLines="0" w:after="0" w:line="240" w:lineRule="auto"/>
              <w:jc w:val="center"/>
              <w:rPr>
                <w:rFonts w:ascii="宋体" w:hAnsi="宋体" w:hint="default"/>
                <w:b/>
                <w:bCs/>
              </w:rPr>
            </w:pPr>
            <w:r>
              <w:rPr>
                <w:rFonts w:ascii="宋体" w:hAnsi="宋体"/>
                <w:b/>
                <w:bCs/>
                <w:sz w:val="18"/>
                <w:szCs w:val="18"/>
              </w:rPr>
              <w:t>E</w:t>
            </w:r>
          </w:p>
        </w:tc>
        <w:tc>
          <w:tcPr>
            <w:tcW w:w="1562" w:type="dxa"/>
            <w:tcBorders>
              <w:bottom w:val="single" w:sz="8" w:space="0" w:color="auto"/>
            </w:tcBorders>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IV</w:t>
            </w:r>
          </w:p>
        </w:tc>
        <w:tc>
          <w:tcPr>
            <w:tcW w:w="1562" w:type="dxa"/>
            <w:tcBorders>
              <w:bottom w:val="single" w:sz="8" w:space="0" w:color="auto"/>
            </w:tcBorders>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IV</w:t>
            </w:r>
          </w:p>
        </w:tc>
        <w:tc>
          <w:tcPr>
            <w:tcW w:w="1562" w:type="dxa"/>
            <w:tcBorders>
              <w:bottom w:val="single" w:sz="8" w:space="0" w:color="auto"/>
            </w:tcBorders>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V</w:t>
            </w:r>
          </w:p>
        </w:tc>
        <w:tc>
          <w:tcPr>
            <w:tcW w:w="1563" w:type="dxa"/>
            <w:tcBorders>
              <w:bottom w:val="single" w:sz="8" w:space="0" w:color="auto"/>
            </w:tcBorders>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V</w:t>
            </w:r>
          </w:p>
        </w:tc>
        <w:tc>
          <w:tcPr>
            <w:tcW w:w="1563" w:type="dxa"/>
            <w:tcBorders>
              <w:bottom w:val="single" w:sz="8" w:space="0" w:color="auto"/>
            </w:tcBorders>
            <w:vAlign w:val="center"/>
          </w:tcPr>
          <w:p w:rsidR="00274D4E" w:rsidRDefault="00B5732B">
            <w:pPr>
              <w:pStyle w:val="afffffffffffb"/>
              <w:adjustRightInd/>
              <w:spacing w:beforeLines="0" w:before="0" w:afterLines="0" w:after="0" w:line="240" w:lineRule="auto"/>
              <w:jc w:val="center"/>
              <w:rPr>
                <w:rFonts w:ascii="宋体" w:hAnsi="宋体" w:hint="default"/>
              </w:rPr>
            </w:pPr>
            <w:r>
              <w:rPr>
                <w:rFonts w:ascii="宋体" w:hAnsi="宋体"/>
                <w:sz w:val="18"/>
                <w:szCs w:val="18"/>
              </w:rPr>
              <w:t>V</w:t>
            </w:r>
          </w:p>
        </w:tc>
      </w:tr>
    </w:tbl>
    <w:p w:rsidR="00274D4E" w:rsidRDefault="00274D4E" w:rsidP="00754DE2">
      <w:pPr>
        <w:pStyle w:val="afffff1"/>
        <w:ind w:firstLine="420"/>
      </w:pPr>
    </w:p>
    <w:p w:rsidR="00274D4E" w:rsidRDefault="00B5732B">
      <w:pPr>
        <w:pStyle w:val="affffffffc"/>
      </w:pPr>
      <w:r>
        <w:rPr>
          <w:rFonts w:hint="eastAsia"/>
        </w:rPr>
        <w:t>路基土体坍塌病害的风险等级是动态变化的，当开展工程处置之后或者经历过一定时间之后会因为致塌环境因素的变化而改变。</w:t>
      </w:r>
    </w:p>
    <w:p w:rsidR="00274D4E" w:rsidRDefault="00B5732B" w:rsidP="00754DE2">
      <w:pPr>
        <w:pStyle w:val="affe"/>
        <w:spacing w:before="156" w:after="156"/>
      </w:pPr>
      <w:bookmarkStart w:id="183" w:name="_Toc25099"/>
      <w:bookmarkStart w:id="184" w:name="_Toc26982"/>
      <w:bookmarkStart w:id="185" w:name="_Toc25183"/>
      <w:r>
        <w:rPr>
          <w:rFonts w:hint="eastAsia"/>
        </w:rPr>
        <w:t>道路塌陷风险评估</w:t>
      </w:r>
      <w:bookmarkEnd w:id="183"/>
      <w:bookmarkEnd w:id="184"/>
      <w:bookmarkEnd w:id="185"/>
    </w:p>
    <w:p w:rsidR="00274D4E" w:rsidRDefault="00B5732B">
      <w:pPr>
        <w:pStyle w:val="affffffffd"/>
      </w:pPr>
      <w:r>
        <w:rPr>
          <w:rFonts w:hint="eastAsia"/>
        </w:rPr>
        <w:t>道路塌陷风险评估宜分段进行，每个评估路段单元的道路长度不宜超过500m，并以道路路口为起止点，当道路分段的长度小于100m时，并入前一路段单元。</w:t>
      </w:r>
    </w:p>
    <w:p w:rsidR="00274D4E" w:rsidRDefault="00B5732B">
      <w:pPr>
        <w:pStyle w:val="affffffffd"/>
      </w:pPr>
      <w:r>
        <w:rPr>
          <w:rFonts w:hint="eastAsia"/>
        </w:rPr>
        <w:t>道路塌陷风险评估可依据病害体致塌风险、路面破损状态、地质条件和地下工程施工情况等因素，按式（5）</w:t>
      </w:r>
      <w:r>
        <w:rPr>
          <w:rFonts w:ascii="Times New Roman"/>
        </w:rPr>
        <w:t>~</w:t>
      </w:r>
      <w:r>
        <w:rPr>
          <w:rFonts w:hint="eastAsia"/>
        </w:rPr>
        <w:t>（6）进行综合评估。</w:t>
      </w:r>
    </w:p>
    <w:p w:rsidR="00274D4E" w:rsidRDefault="00B5732B">
      <w:pPr>
        <w:pStyle w:val="affffffd"/>
      </w:pPr>
      <w:r>
        <w:rPr>
          <w:rFonts w:hint="eastAsia"/>
        </w:rPr>
        <w:tab/>
      </w:r>
      <m:oMath>
        <m:r>
          <m:rPr>
            <m:sty m:val="p"/>
          </m:rPr>
          <w:rPr>
            <w:noProof/>
          </w:rPr>
          <w:drawing>
            <wp:inline distT="0" distB="0" distL="114300" distR="114300">
              <wp:extent cx="2238375" cy="22860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32"/>
                      <a:stretch>
                        <a:fillRect/>
                      </a:stretch>
                    </pic:blipFill>
                    <pic:spPr>
                      <a:xfrm>
                        <a:off x="0" y="0"/>
                        <a:ext cx="2238375" cy="228600"/>
                      </a:xfrm>
                      <a:prstGeom prst="rect">
                        <a:avLst/>
                      </a:prstGeom>
                      <a:noFill/>
                      <a:ln>
                        <a:noFill/>
                      </a:ln>
                    </pic:spPr>
                  </pic:pic>
                </a:graphicData>
              </a:graphic>
            </wp:inline>
          </w:drawing>
        </m:r>
      </m:oMath>
      <w:r>
        <w:rPr>
          <w:rFonts w:ascii="微软雅黑" w:eastAsia="微软雅黑" w:hAnsi="微软雅黑" w:cs="微软雅黑" w:hint="eastAsia"/>
        </w:rPr>
        <w:tab/>
      </w:r>
      <w:r>
        <w:rPr>
          <w:rFonts w:hint="eastAsia"/>
        </w:rPr>
        <w:t>(5)</w:t>
      </w:r>
    </w:p>
    <w:p w:rsidR="00274D4E" w:rsidRDefault="00B5732B">
      <w:pPr>
        <w:pStyle w:val="affffffd"/>
      </w:pPr>
      <w:r>
        <w:rPr>
          <w:rFonts w:hint="eastAsia"/>
        </w:rPr>
        <w:tab/>
      </w:r>
      <m:oMath>
        <m:r>
          <m:rPr>
            <m:sty m:val="p"/>
          </m:rPr>
          <w:rPr>
            <w:noProof/>
          </w:rPr>
          <w:drawing>
            <wp:inline distT="0" distB="0" distL="114300" distR="114300">
              <wp:extent cx="1276350" cy="228600"/>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3"/>
                      <a:stretch>
                        <a:fillRect/>
                      </a:stretch>
                    </pic:blipFill>
                    <pic:spPr>
                      <a:xfrm>
                        <a:off x="0" y="0"/>
                        <a:ext cx="1276350" cy="228600"/>
                      </a:xfrm>
                      <a:prstGeom prst="rect">
                        <a:avLst/>
                      </a:prstGeom>
                      <a:noFill/>
                      <a:ln>
                        <a:noFill/>
                      </a:ln>
                    </pic:spPr>
                  </pic:pic>
                </a:graphicData>
              </a:graphic>
            </wp:inline>
          </w:drawing>
        </m:r>
      </m:oMath>
      <w:r>
        <w:rPr>
          <w:rFonts w:ascii="微软雅黑" w:eastAsia="微软雅黑" w:hAnsi="微软雅黑" w:cs="微软雅黑" w:hint="eastAsia"/>
        </w:rPr>
        <w:tab/>
      </w:r>
      <w:r>
        <w:rPr>
          <w:rFonts w:hint="eastAsia"/>
        </w:rPr>
        <w:t>(6)</w:t>
      </w:r>
    </w:p>
    <w:p w:rsidR="00274D4E" w:rsidRDefault="00B5732B">
      <w:pPr>
        <w:pStyle w:val="afffffffffff8"/>
        <w:spacing w:line="240" w:lineRule="auto"/>
        <w:ind w:left="0" w:firstLineChars="200" w:firstLine="416"/>
        <w:rPr>
          <w:rFonts w:ascii="宋体" w:hAnsi="宋体" w:cs="宋体"/>
          <w:szCs w:val="21"/>
        </w:rPr>
      </w:pPr>
      <w:r>
        <w:rPr>
          <w:rFonts w:ascii="宋体" w:hAnsi="宋体" w:cs="宋体" w:hint="eastAsia"/>
          <w:szCs w:val="21"/>
        </w:rPr>
        <w:t>式中：</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szCs w:val="21"/>
        </w:rPr>
        <w:t>Q——评估单元整体塌陷风险发生可能性分值；</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M</w:t>
      </w:r>
      <w:r>
        <w:rPr>
          <w:rFonts w:ascii="宋体" w:hAnsi="宋体" w:cs="宋体" w:hint="eastAsia"/>
          <w:i/>
          <w:iCs w:val="0"/>
          <w:szCs w:val="21"/>
          <w:vertAlign w:val="subscript"/>
        </w:rPr>
        <w:t>A</w:t>
      </w:r>
      <w:r>
        <w:rPr>
          <w:rFonts w:ascii="宋体" w:hAnsi="宋体" w:cs="宋体" w:hint="eastAsia"/>
          <w:szCs w:val="21"/>
        </w:rPr>
        <w:t>——评估单元内路基土体坍塌病害致塌风险指数；</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M</w:t>
      </w:r>
      <w:r>
        <w:rPr>
          <w:rFonts w:ascii="宋体" w:hAnsi="宋体" w:cs="宋体" w:hint="eastAsia"/>
          <w:i/>
          <w:iCs w:val="0"/>
          <w:szCs w:val="21"/>
          <w:vertAlign w:val="subscript"/>
        </w:rPr>
        <w:t>B</w:t>
      </w:r>
      <w:r>
        <w:rPr>
          <w:rFonts w:ascii="宋体" w:hAnsi="宋体" w:cs="宋体" w:hint="eastAsia"/>
          <w:szCs w:val="21"/>
        </w:rPr>
        <w:t>——评估单元内道路路面破损指数；</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M</w:t>
      </w:r>
      <w:r>
        <w:rPr>
          <w:rFonts w:ascii="宋体" w:hAnsi="宋体" w:cs="宋体" w:hint="eastAsia"/>
          <w:i/>
          <w:iCs w:val="0"/>
          <w:szCs w:val="21"/>
          <w:vertAlign w:val="subscript"/>
        </w:rPr>
        <w:t>C</w:t>
      </w:r>
      <w:r>
        <w:rPr>
          <w:rFonts w:ascii="宋体" w:hAnsi="宋体" w:cs="宋体" w:hint="eastAsia"/>
          <w:szCs w:val="21"/>
        </w:rPr>
        <w:t>——评估单元内道路地质条件指数；</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M</w:t>
      </w:r>
      <w:r>
        <w:rPr>
          <w:rFonts w:ascii="宋体" w:hAnsi="宋体" w:cs="宋体" w:hint="eastAsia"/>
          <w:i/>
          <w:iCs w:val="0"/>
          <w:szCs w:val="21"/>
          <w:vertAlign w:val="subscript"/>
        </w:rPr>
        <w:t>D</w:t>
      </w:r>
      <w:r>
        <w:rPr>
          <w:rFonts w:ascii="宋体" w:hAnsi="宋体" w:cs="宋体" w:hint="eastAsia"/>
          <w:szCs w:val="21"/>
        </w:rPr>
        <w:t>——评估单元近5年内地下工程施工影响指数；</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n</w:t>
      </w:r>
      <w:r>
        <w:rPr>
          <w:rFonts w:ascii="宋体" w:hAnsi="宋体" w:cs="宋体" w:hint="eastAsia"/>
          <w:i/>
          <w:iCs w:val="0"/>
          <w:szCs w:val="21"/>
          <w:vertAlign w:val="subscript"/>
        </w:rPr>
        <w:t>A</w:t>
      </w:r>
      <w:r>
        <w:rPr>
          <w:rFonts w:ascii="宋体" w:hAnsi="宋体" w:cs="宋体" w:hint="eastAsia"/>
          <w:szCs w:val="21"/>
        </w:rPr>
        <w:t>——路基土体坍塌病害致塌风险权重，取 0.50；</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n</w:t>
      </w:r>
      <w:r>
        <w:rPr>
          <w:rFonts w:ascii="宋体" w:hAnsi="宋体" w:cs="宋体" w:hint="eastAsia"/>
          <w:i/>
          <w:iCs w:val="0"/>
          <w:szCs w:val="21"/>
          <w:vertAlign w:val="subscript"/>
        </w:rPr>
        <w:t>B</w:t>
      </w:r>
      <w:r w:rsidR="00320CFF">
        <w:rPr>
          <w:rFonts w:ascii="宋体" w:hAnsi="宋体" w:cs="宋体" w:hint="eastAsia"/>
          <w:szCs w:val="21"/>
        </w:rPr>
        <w:t>——道路</w:t>
      </w:r>
      <w:r>
        <w:rPr>
          <w:rFonts w:ascii="宋体" w:hAnsi="宋体" w:cs="宋体" w:hint="eastAsia"/>
          <w:szCs w:val="21"/>
        </w:rPr>
        <w:t>路面破损权重，取 0.10；</w:t>
      </w:r>
    </w:p>
    <w:p w:rsidR="00274D4E" w:rsidRDefault="00B5732B">
      <w:pPr>
        <w:pStyle w:val="afffffffffff8"/>
        <w:spacing w:line="240" w:lineRule="auto"/>
        <w:ind w:left="0" w:firstLineChars="201" w:firstLine="418"/>
        <w:rPr>
          <w:rFonts w:ascii="宋体" w:hAnsi="宋体" w:cs="宋体"/>
          <w:szCs w:val="21"/>
        </w:rPr>
      </w:pPr>
      <w:r>
        <w:rPr>
          <w:rFonts w:ascii="宋体" w:hAnsi="宋体" w:cs="宋体" w:hint="eastAsia"/>
          <w:i/>
          <w:iCs w:val="0"/>
          <w:szCs w:val="21"/>
        </w:rPr>
        <w:t>n</w:t>
      </w:r>
      <w:r>
        <w:rPr>
          <w:rFonts w:ascii="宋体" w:hAnsi="宋体" w:cs="宋体" w:hint="eastAsia"/>
          <w:i/>
          <w:iCs w:val="0"/>
          <w:szCs w:val="21"/>
          <w:vertAlign w:val="subscript"/>
        </w:rPr>
        <w:t>C</w:t>
      </w:r>
      <w:r>
        <w:rPr>
          <w:rFonts w:ascii="宋体" w:hAnsi="宋体" w:cs="宋体" w:hint="eastAsia"/>
          <w:szCs w:val="21"/>
        </w:rPr>
        <w:t>——地质条件权重，取 0.15；</w:t>
      </w:r>
    </w:p>
    <w:p w:rsidR="00274D4E" w:rsidRDefault="00B5732B">
      <w:pPr>
        <w:spacing w:line="240" w:lineRule="auto"/>
        <w:ind w:firstLineChars="201" w:firstLine="422"/>
        <w:jc w:val="left"/>
        <w:rPr>
          <w:rFonts w:ascii="宋体" w:hAnsi="宋体" w:cs="宋体"/>
        </w:rPr>
      </w:pPr>
      <w:r>
        <w:rPr>
          <w:rFonts w:ascii="宋体" w:hAnsi="宋体" w:cs="宋体" w:hint="eastAsia"/>
          <w:i/>
        </w:rPr>
        <w:t>n</w:t>
      </w:r>
      <w:r>
        <w:rPr>
          <w:rFonts w:ascii="宋体" w:hAnsi="宋体" w:cs="宋体" w:hint="eastAsia"/>
          <w:i/>
          <w:vertAlign w:val="subscript"/>
        </w:rPr>
        <w:t>D</w:t>
      </w:r>
      <w:r>
        <w:rPr>
          <w:rFonts w:ascii="宋体" w:hAnsi="宋体" w:cs="宋体" w:hint="eastAsia"/>
        </w:rPr>
        <w:t>——地下工程施工影响权重，取 0.25。</w:t>
      </w:r>
    </w:p>
    <w:p w:rsidR="00274D4E" w:rsidRDefault="00B5732B">
      <w:pPr>
        <w:pStyle w:val="affffffffd"/>
      </w:pPr>
      <w:r>
        <w:rPr>
          <w:rFonts w:hint="eastAsia"/>
        </w:rPr>
        <w:t>道路评估单元路基土体坍塌病害致塌风险指数M</w:t>
      </w:r>
      <w:r>
        <w:rPr>
          <w:rFonts w:hint="eastAsia"/>
          <w:vertAlign w:val="subscript"/>
        </w:rPr>
        <w:t>A</w:t>
      </w:r>
      <w:r>
        <w:rPr>
          <w:rFonts w:hint="eastAsia"/>
        </w:rPr>
        <w:t>根据其风险等级j和各级发育数量i，按（7）式计算。</w:t>
      </w:r>
    </w:p>
    <w:p w:rsidR="00274D4E" w:rsidRDefault="00B5732B">
      <w:pPr>
        <w:pStyle w:val="affffffd"/>
      </w:pPr>
      <w:r>
        <w:rPr>
          <w:rFonts w:hint="eastAsia"/>
        </w:rPr>
        <w:tab/>
      </w:r>
      <m:oMath>
        <m:r>
          <m:rPr>
            <m:sty m:val="p"/>
          </m:rPr>
          <w:rPr>
            <w:noProof/>
          </w:rPr>
          <w:drawing>
            <wp:inline distT="0" distB="0" distL="114300" distR="114300">
              <wp:extent cx="2162175" cy="285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2162175" cy="285750"/>
                      </a:xfrm>
                      <a:prstGeom prst="rect">
                        <a:avLst/>
                      </a:prstGeom>
                      <a:noFill/>
                      <a:ln>
                        <a:noFill/>
                      </a:ln>
                    </pic:spPr>
                  </pic:pic>
                </a:graphicData>
              </a:graphic>
            </wp:inline>
          </w:drawing>
        </m:r>
      </m:oMath>
      <w:r>
        <w:rPr>
          <w:rFonts w:ascii="微软雅黑" w:eastAsia="微软雅黑" w:hAnsi="微软雅黑" w:cs="微软雅黑" w:hint="eastAsia"/>
        </w:rPr>
        <w:tab/>
      </w:r>
      <w:r>
        <w:rPr>
          <w:rFonts w:hint="eastAsia"/>
        </w:rPr>
        <w:t>(</w:t>
      </w:r>
      <w:r>
        <w:rPr>
          <w:rFonts w:hint="eastAsia"/>
        </w:rPr>
        <w:fldChar w:fldCharType="begin"/>
      </w:r>
      <w:r>
        <w:rPr>
          <w:rFonts w:hint="eastAsia"/>
        </w:rPr>
        <w:instrText xml:space="preserve"> AUTONUM </w:instrText>
      </w:r>
      <w:r>
        <w:rPr>
          <w:rFonts w:hint="eastAsia"/>
        </w:rPr>
        <w:fldChar w:fldCharType="end"/>
      </w:r>
      <w:r>
        <w:rPr>
          <w:rFonts w:hint="eastAsia"/>
        </w:rPr>
        <w:t>)</w:t>
      </w:r>
    </w:p>
    <w:p w:rsidR="00274D4E" w:rsidRDefault="00B5732B" w:rsidP="00754DE2">
      <w:pPr>
        <w:pStyle w:val="afffff0"/>
        <w:spacing w:line="240" w:lineRule="auto"/>
        <w:ind w:firstLine="420"/>
      </w:pPr>
      <w:r>
        <w:rPr>
          <w:rFonts w:hint="eastAsia"/>
        </w:rPr>
        <w:t>式中：</w:t>
      </w:r>
    </w:p>
    <w:p w:rsidR="00274D4E" w:rsidRDefault="00B5732B">
      <w:pPr>
        <w:pStyle w:val="afffffffffff8"/>
        <w:adjustRightInd/>
        <w:spacing w:line="240" w:lineRule="auto"/>
        <w:ind w:left="0" w:firstLineChars="200" w:firstLine="416"/>
        <w:rPr>
          <w:rFonts w:ascii="宋体" w:hAnsi="宋体" w:cs="宋体"/>
          <w:szCs w:val="21"/>
        </w:rPr>
      </w:pPr>
      <w:r>
        <w:rPr>
          <w:rFonts w:ascii="宋体" w:hAnsi="宋体" w:cs="宋体" w:hint="eastAsia"/>
          <w:i/>
          <w:iCs w:val="0"/>
          <w:szCs w:val="21"/>
        </w:rPr>
        <w:t>M</w:t>
      </w:r>
      <w:r>
        <w:rPr>
          <w:rFonts w:ascii="宋体" w:hAnsi="宋体" w:cs="宋体" w:hint="eastAsia"/>
          <w:i/>
          <w:iCs w:val="0"/>
          <w:szCs w:val="21"/>
          <w:vertAlign w:val="subscript"/>
        </w:rPr>
        <w:t>A</w:t>
      </w:r>
      <w:r>
        <w:rPr>
          <w:rFonts w:ascii="宋体" w:hAnsi="宋体" w:cs="宋体" w:hint="eastAsia"/>
          <w:szCs w:val="21"/>
        </w:rPr>
        <w:t>——道路单元塌陷评估指数；</w:t>
      </w:r>
    </w:p>
    <w:p w:rsidR="00274D4E" w:rsidRDefault="00B5732B">
      <w:pPr>
        <w:pStyle w:val="afffffffffff8"/>
        <w:adjustRightInd/>
        <w:spacing w:line="240" w:lineRule="auto"/>
        <w:ind w:left="0" w:firstLineChars="200" w:firstLine="416"/>
        <w:rPr>
          <w:rFonts w:ascii="宋体" w:hAnsi="宋体" w:cs="宋体"/>
          <w:szCs w:val="21"/>
        </w:rPr>
      </w:pPr>
      <w:r>
        <w:rPr>
          <w:rFonts w:ascii="宋体" w:hAnsi="宋体" w:cs="宋体" w:hint="eastAsia"/>
          <w:i/>
          <w:iCs w:val="0"/>
          <w:szCs w:val="21"/>
        </w:rPr>
        <w:lastRenderedPageBreak/>
        <w:t>M</w:t>
      </w:r>
      <w:r>
        <w:rPr>
          <w:rFonts w:ascii="宋体" w:hAnsi="宋体" w:cs="宋体" w:hint="eastAsia"/>
          <w:i/>
          <w:iCs w:val="0"/>
          <w:szCs w:val="21"/>
          <w:vertAlign w:val="subscript"/>
        </w:rPr>
        <w:t>Aj</w:t>
      </w:r>
      <w:r>
        <w:rPr>
          <w:rFonts w:ascii="宋体" w:hAnsi="宋体" w:cs="宋体" w:hint="eastAsia"/>
          <w:szCs w:val="21"/>
        </w:rPr>
        <w:t>——该条道路上检测的各级别路基土体坍塌病害风险等级或历史塌陷事件所对应的风险因子，其取值宜按表8确定。</w:t>
      </w:r>
    </w:p>
    <w:p w:rsidR="00274D4E" w:rsidRDefault="00B5732B" w:rsidP="00754DE2">
      <w:pPr>
        <w:pStyle w:val="aff2"/>
        <w:spacing w:before="156" w:after="156"/>
      </w:pPr>
      <w:r>
        <w:rPr>
          <w:rFonts w:hint="eastAsia"/>
        </w:rPr>
        <w:t>评估单元内路基土体坍塌病害因子M</w:t>
      </w:r>
      <w:r>
        <w:rPr>
          <w:rFonts w:hint="eastAsia"/>
          <w:vertAlign w:val="subscript"/>
        </w:rPr>
        <w:t>Ai</w:t>
      </w:r>
      <w:r>
        <w:rPr>
          <w:rFonts w:hint="eastAsia"/>
        </w:rPr>
        <w:t>取值</w:t>
      </w:r>
    </w:p>
    <w:p w:rsidR="00274D4E" w:rsidRDefault="00274D4E" w:rsidP="00754DE2">
      <w:pPr>
        <w:pStyle w:val="afffff1"/>
        <w:ind w:firstLine="420"/>
      </w:pPr>
    </w:p>
    <w:tbl>
      <w:tblPr>
        <w:tblStyle w:val="affff4"/>
        <w:tblW w:w="45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5"/>
        <w:gridCol w:w="1180"/>
        <w:gridCol w:w="1189"/>
        <w:gridCol w:w="1116"/>
        <w:gridCol w:w="1116"/>
        <w:gridCol w:w="1127"/>
      </w:tblGrid>
      <w:tr w:rsidR="00274D4E">
        <w:trPr>
          <w:trHeight w:val="454"/>
          <w:jc w:val="center"/>
        </w:trPr>
        <w:tc>
          <w:tcPr>
            <w:tcW w:w="1675" w:type="pct"/>
            <w:vMerge w:val="restart"/>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病害体数量i</w:t>
            </w:r>
          </w:p>
        </w:tc>
        <w:tc>
          <w:tcPr>
            <w:tcW w:w="3324" w:type="pct"/>
            <w:gridSpan w:val="5"/>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路基土体坍塌病害风险等级j</w:t>
            </w:r>
          </w:p>
        </w:tc>
      </w:tr>
      <w:tr w:rsidR="00274D4E">
        <w:trPr>
          <w:trHeight w:val="454"/>
          <w:jc w:val="center"/>
        </w:trPr>
        <w:tc>
          <w:tcPr>
            <w:tcW w:w="1675" w:type="pct"/>
            <w:vMerge/>
            <w:vAlign w:val="center"/>
          </w:tcPr>
          <w:p w:rsidR="00274D4E" w:rsidRDefault="00274D4E">
            <w:pPr>
              <w:pStyle w:val="afffb"/>
              <w:jc w:val="center"/>
              <w:rPr>
                <w:rFonts w:ascii="宋体" w:eastAsia="宋体" w:hAnsi="宋体" w:cs="仿宋"/>
                <w:b/>
                <w:bCs/>
                <w:sz w:val="18"/>
                <w:szCs w:val="18"/>
              </w:rPr>
            </w:pPr>
          </w:p>
        </w:tc>
        <w:tc>
          <w:tcPr>
            <w:tcW w:w="685" w:type="pct"/>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I</w:t>
            </w:r>
          </w:p>
        </w:tc>
        <w:tc>
          <w:tcPr>
            <w:tcW w:w="690" w:type="pct"/>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II</w:t>
            </w:r>
          </w:p>
        </w:tc>
        <w:tc>
          <w:tcPr>
            <w:tcW w:w="648" w:type="pct"/>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III</w:t>
            </w:r>
          </w:p>
        </w:tc>
        <w:tc>
          <w:tcPr>
            <w:tcW w:w="648" w:type="pct"/>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IV</w:t>
            </w:r>
          </w:p>
        </w:tc>
        <w:tc>
          <w:tcPr>
            <w:tcW w:w="651" w:type="pct"/>
            <w:vAlign w:val="center"/>
          </w:tcPr>
          <w:p w:rsidR="00274D4E" w:rsidRDefault="00B5732B">
            <w:pPr>
              <w:pStyle w:val="afffb"/>
              <w:jc w:val="center"/>
              <w:rPr>
                <w:rFonts w:ascii="宋体" w:eastAsia="宋体" w:hAnsi="宋体" w:cs="仿宋"/>
                <w:b/>
                <w:bCs/>
                <w:sz w:val="18"/>
                <w:szCs w:val="18"/>
              </w:rPr>
            </w:pPr>
            <w:r>
              <w:rPr>
                <w:rFonts w:ascii="宋体" w:eastAsia="宋体" w:hAnsi="宋体" w:cs="仿宋" w:hint="eastAsia"/>
                <w:b/>
                <w:bCs/>
                <w:sz w:val="18"/>
                <w:szCs w:val="18"/>
              </w:rPr>
              <w:t>V</w:t>
            </w:r>
          </w:p>
        </w:tc>
      </w:tr>
      <w:tr w:rsidR="00274D4E">
        <w:trPr>
          <w:trHeight w:val="454"/>
          <w:jc w:val="center"/>
        </w:trPr>
        <w:tc>
          <w:tcPr>
            <w:tcW w:w="1675" w:type="pct"/>
            <w:vAlign w:val="center"/>
          </w:tcPr>
          <w:p w:rsidR="00274D4E" w:rsidRDefault="00B5732B">
            <w:pPr>
              <w:jc w:val="center"/>
              <w:rPr>
                <w:rFonts w:ascii="宋体" w:hAnsi="宋体" w:cs="仿宋"/>
                <w:sz w:val="18"/>
                <w:szCs w:val="18"/>
              </w:rPr>
            </w:pPr>
            <w:r>
              <w:rPr>
                <w:rFonts w:ascii="宋体" w:hAnsi="宋体" w:cs="仿宋" w:hint="eastAsia"/>
                <w:sz w:val="18"/>
                <w:szCs w:val="18"/>
              </w:rPr>
              <w:t>0&lt;i≤3</w:t>
            </w:r>
          </w:p>
        </w:tc>
        <w:tc>
          <w:tcPr>
            <w:tcW w:w="685"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70</w:t>
            </w:r>
            <w:r>
              <w:rPr>
                <w:rFonts w:ascii="Times New Roman" w:hAnsi="Times New Roman"/>
                <w:snapToGrid w:val="0"/>
                <w:kern w:val="0"/>
                <w:sz w:val="18"/>
                <w:szCs w:val="18"/>
                <w:lang w:bidi="ar"/>
              </w:rPr>
              <w:t>~</w:t>
            </w:r>
            <w:r>
              <w:rPr>
                <w:rFonts w:ascii="宋体" w:hAnsi="宋体"/>
                <w:snapToGrid w:val="0"/>
                <w:kern w:val="0"/>
                <w:sz w:val="18"/>
                <w:szCs w:val="18"/>
                <w:lang w:bidi="ar"/>
              </w:rPr>
              <w:t>80</w:t>
            </w:r>
          </w:p>
        </w:tc>
        <w:tc>
          <w:tcPr>
            <w:tcW w:w="690"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60</w:t>
            </w:r>
            <w:r>
              <w:rPr>
                <w:rFonts w:ascii="Times New Roman" w:hAnsi="Times New Roman"/>
                <w:snapToGrid w:val="0"/>
                <w:kern w:val="0"/>
                <w:sz w:val="18"/>
                <w:szCs w:val="18"/>
                <w:lang w:bidi="ar"/>
              </w:rPr>
              <w:t>~</w:t>
            </w:r>
            <w:r>
              <w:rPr>
                <w:rFonts w:ascii="宋体" w:hAnsi="宋体"/>
                <w:snapToGrid w:val="0"/>
                <w:kern w:val="0"/>
                <w:sz w:val="18"/>
                <w:szCs w:val="18"/>
                <w:lang w:bidi="ar"/>
              </w:rPr>
              <w:t>70</w:t>
            </w:r>
          </w:p>
        </w:tc>
        <w:tc>
          <w:tcPr>
            <w:tcW w:w="648"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50</w:t>
            </w:r>
            <w:r>
              <w:rPr>
                <w:rFonts w:ascii="Times New Roman" w:hAnsi="Times New Roman"/>
                <w:snapToGrid w:val="0"/>
                <w:kern w:val="0"/>
                <w:sz w:val="18"/>
                <w:szCs w:val="18"/>
                <w:lang w:bidi="ar"/>
              </w:rPr>
              <w:t>~</w:t>
            </w:r>
            <w:r>
              <w:rPr>
                <w:rFonts w:ascii="宋体" w:hAnsi="宋体"/>
                <w:snapToGrid w:val="0"/>
                <w:kern w:val="0"/>
                <w:sz w:val="18"/>
                <w:szCs w:val="18"/>
                <w:lang w:bidi="ar"/>
              </w:rPr>
              <w:t>60</w:t>
            </w:r>
          </w:p>
        </w:tc>
        <w:tc>
          <w:tcPr>
            <w:tcW w:w="648"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30</w:t>
            </w:r>
            <w:r>
              <w:rPr>
                <w:rFonts w:ascii="Times New Roman" w:hAnsi="Times New Roman"/>
                <w:snapToGrid w:val="0"/>
                <w:kern w:val="0"/>
                <w:sz w:val="18"/>
                <w:szCs w:val="18"/>
                <w:lang w:bidi="ar"/>
              </w:rPr>
              <w:t>~</w:t>
            </w:r>
            <w:r>
              <w:rPr>
                <w:rFonts w:ascii="宋体" w:hAnsi="宋体"/>
                <w:snapToGrid w:val="0"/>
                <w:kern w:val="0"/>
                <w:sz w:val="18"/>
                <w:szCs w:val="18"/>
                <w:lang w:bidi="ar"/>
              </w:rPr>
              <w:t>40</w:t>
            </w:r>
          </w:p>
        </w:tc>
        <w:tc>
          <w:tcPr>
            <w:tcW w:w="651"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20</w:t>
            </w:r>
            <w:r>
              <w:rPr>
                <w:rFonts w:ascii="Times New Roman" w:hAnsi="Times New Roman"/>
                <w:snapToGrid w:val="0"/>
                <w:kern w:val="0"/>
                <w:sz w:val="18"/>
                <w:szCs w:val="18"/>
                <w:lang w:bidi="ar"/>
              </w:rPr>
              <w:t>~</w:t>
            </w:r>
            <w:r>
              <w:rPr>
                <w:rFonts w:ascii="宋体" w:hAnsi="宋体"/>
                <w:snapToGrid w:val="0"/>
                <w:kern w:val="0"/>
                <w:sz w:val="18"/>
                <w:szCs w:val="18"/>
                <w:lang w:bidi="ar"/>
              </w:rPr>
              <w:t>30</w:t>
            </w:r>
          </w:p>
        </w:tc>
      </w:tr>
      <w:tr w:rsidR="00274D4E">
        <w:trPr>
          <w:trHeight w:val="454"/>
          <w:jc w:val="center"/>
        </w:trPr>
        <w:tc>
          <w:tcPr>
            <w:tcW w:w="1675" w:type="pct"/>
            <w:vAlign w:val="center"/>
          </w:tcPr>
          <w:p w:rsidR="00274D4E" w:rsidRDefault="00B5732B">
            <w:pPr>
              <w:jc w:val="center"/>
              <w:rPr>
                <w:rFonts w:ascii="宋体" w:hAnsi="宋体" w:cs="仿宋"/>
                <w:sz w:val="18"/>
                <w:szCs w:val="18"/>
              </w:rPr>
            </w:pPr>
            <w:r>
              <w:rPr>
                <w:rFonts w:ascii="宋体" w:hAnsi="宋体" w:cs="仿宋" w:hint="eastAsia"/>
                <w:sz w:val="18"/>
                <w:szCs w:val="18"/>
              </w:rPr>
              <w:t>3&lt;i≤5</w:t>
            </w:r>
          </w:p>
        </w:tc>
        <w:tc>
          <w:tcPr>
            <w:tcW w:w="685"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80</w:t>
            </w:r>
            <w:r>
              <w:rPr>
                <w:rFonts w:ascii="Times New Roman" w:hAnsi="Times New Roman"/>
                <w:snapToGrid w:val="0"/>
                <w:kern w:val="0"/>
                <w:sz w:val="18"/>
                <w:szCs w:val="18"/>
                <w:lang w:bidi="ar"/>
              </w:rPr>
              <w:t>~</w:t>
            </w:r>
            <w:r>
              <w:rPr>
                <w:rFonts w:ascii="宋体" w:hAnsi="宋体"/>
                <w:snapToGrid w:val="0"/>
                <w:kern w:val="0"/>
                <w:sz w:val="18"/>
                <w:szCs w:val="18"/>
                <w:lang w:bidi="ar"/>
              </w:rPr>
              <w:t>90</w:t>
            </w:r>
          </w:p>
        </w:tc>
        <w:tc>
          <w:tcPr>
            <w:tcW w:w="690"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70</w:t>
            </w:r>
            <w:r>
              <w:rPr>
                <w:rFonts w:ascii="Times New Roman" w:hAnsi="Times New Roman"/>
                <w:snapToGrid w:val="0"/>
                <w:kern w:val="0"/>
                <w:sz w:val="18"/>
                <w:szCs w:val="18"/>
                <w:lang w:bidi="ar"/>
              </w:rPr>
              <w:t>~</w:t>
            </w:r>
            <w:r>
              <w:rPr>
                <w:rFonts w:ascii="宋体" w:hAnsi="宋体"/>
                <w:snapToGrid w:val="0"/>
                <w:kern w:val="0"/>
                <w:sz w:val="18"/>
                <w:szCs w:val="18"/>
                <w:lang w:bidi="ar"/>
              </w:rPr>
              <w:t>80</w:t>
            </w:r>
          </w:p>
        </w:tc>
        <w:tc>
          <w:tcPr>
            <w:tcW w:w="648"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60</w:t>
            </w:r>
            <w:r>
              <w:rPr>
                <w:rFonts w:ascii="Times New Roman" w:hAnsi="Times New Roman"/>
                <w:snapToGrid w:val="0"/>
                <w:kern w:val="0"/>
                <w:sz w:val="18"/>
                <w:szCs w:val="18"/>
                <w:lang w:bidi="ar"/>
              </w:rPr>
              <w:t>~</w:t>
            </w:r>
            <w:r>
              <w:rPr>
                <w:rFonts w:ascii="宋体" w:hAnsi="宋体"/>
                <w:snapToGrid w:val="0"/>
                <w:kern w:val="0"/>
                <w:sz w:val="18"/>
                <w:szCs w:val="18"/>
                <w:lang w:bidi="ar"/>
              </w:rPr>
              <w:t>70</w:t>
            </w:r>
          </w:p>
        </w:tc>
        <w:tc>
          <w:tcPr>
            <w:tcW w:w="648"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40</w:t>
            </w:r>
            <w:r>
              <w:rPr>
                <w:rFonts w:ascii="Times New Roman" w:hAnsi="Times New Roman"/>
                <w:snapToGrid w:val="0"/>
                <w:kern w:val="0"/>
                <w:sz w:val="18"/>
                <w:szCs w:val="18"/>
                <w:lang w:bidi="ar"/>
              </w:rPr>
              <w:t>~</w:t>
            </w:r>
            <w:r>
              <w:rPr>
                <w:rFonts w:ascii="宋体" w:hAnsi="宋体"/>
                <w:snapToGrid w:val="0"/>
                <w:kern w:val="0"/>
                <w:sz w:val="18"/>
                <w:szCs w:val="18"/>
                <w:lang w:bidi="ar"/>
              </w:rPr>
              <w:t>50</w:t>
            </w:r>
          </w:p>
        </w:tc>
        <w:tc>
          <w:tcPr>
            <w:tcW w:w="651"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30</w:t>
            </w:r>
            <w:r>
              <w:rPr>
                <w:rFonts w:ascii="Times New Roman" w:hAnsi="Times New Roman"/>
                <w:snapToGrid w:val="0"/>
                <w:kern w:val="0"/>
                <w:sz w:val="18"/>
                <w:szCs w:val="18"/>
                <w:lang w:bidi="ar"/>
              </w:rPr>
              <w:t>~</w:t>
            </w:r>
            <w:r>
              <w:rPr>
                <w:rFonts w:ascii="宋体" w:hAnsi="宋体"/>
                <w:snapToGrid w:val="0"/>
                <w:kern w:val="0"/>
                <w:sz w:val="18"/>
                <w:szCs w:val="18"/>
                <w:lang w:bidi="ar"/>
              </w:rPr>
              <w:t>40</w:t>
            </w:r>
          </w:p>
        </w:tc>
      </w:tr>
      <w:tr w:rsidR="00274D4E">
        <w:trPr>
          <w:trHeight w:val="454"/>
          <w:jc w:val="center"/>
        </w:trPr>
        <w:tc>
          <w:tcPr>
            <w:tcW w:w="1675" w:type="pct"/>
            <w:vAlign w:val="center"/>
          </w:tcPr>
          <w:p w:rsidR="00274D4E" w:rsidRDefault="00B5732B">
            <w:pPr>
              <w:jc w:val="center"/>
              <w:rPr>
                <w:rFonts w:ascii="宋体" w:hAnsi="宋体" w:cs="仿宋"/>
                <w:sz w:val="18"/>
                <w:szCs w:val="18"/>
              </w:rPr>
            </w:pPr>
            <w:r>
              <w:rPr>
                <w:rFonts w:ascii="宋体" w:hAnsi="宋体" w:cs="仿宋" w:hint="eastAsia"/>
                <w:sz w:val="18"/>
                <w:szCs w:val="18"/>
              </w:rPr>
              <w:t>5&lt;i≤7</w:t>
            </w:r>
          </w:p>
        </w:tc>
        <w:tc>
          <w:tcPr>
            <w:tcW w:w="685"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90</w:t>
            </w:r>
            <w:r>
              <w:rPr>
                <w:rFonts w:ascii="Times New Roman" w:hAnsi="Times New Roman"/>
                <w:snapToGrid w:val="0"/>
                <w:kern w:val="0"/>
                <w:sz w:val="18"/>
                <w:szCs w:val="18"/>
                <w:lang w:bidi="ar"/>
              </w:rPr>
              <w:t>~</w:t>
            </w:r>
            <w:r>
              <w:rPr>
                <w:rFonts w:ascii="宋体" w:hAnsi="宋体"/>
                <w:snapToGrid w:val="0"/>
                <w:kern w:val="0"/>
                <w:sz w:val="18"/>
                <w:szCs w:val="18"/>
                <w:lang w:bidi="ar"/>
              </w:rPr>
              <w:t>100</w:t>
            </w:r>
          </w:p>
        </w:tc>
        <w:tc>
          <w:tcPr>
            <w:tcW w:w="690"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80</w:t>
            </w:r>
            <w:r>
              <w:rPr>
                <w:rFonts w:ascii="Times New Roman" w:hAnsi="Times New Roman"/>
                <w:snapToGrid w:val="0"/>
                <w:kern w:val="0"/>
                <w:sz w:val="18"/>
                <w:szCs w:val="18"/>
                <w:lang w:bidi="ar"/>
              </w:rPr>
              <w:t>~</w:t>
            </w:r>
            <w:r>
              <w:rPr>
                <w:rFonts w:ascii="宋体" w:hAnsi="宋体"/>
                <w:snapToGrid w:val="0"/>
                <w:kern w:val="0"/>
                <w:sz w:val="18"/>
                <w:szCs w:val="18"/>
                <w:lang w:bidi="ar"/>
              </w:rPr>
              <w:t>90</w:t>
            </w:r>
          </w:p>
        </w:tc>
        <w:tc>
          <w:tcPr>
            <w:tcW w:w="648"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70</w:t>
            </w:r>
            <w:r>
              <w:rPr>
                <w:rFonts w:ascii="Times New Roman" w:hAnsi="Times New Roman"/>
                <w:snapToGrid w:val="0"/>
                <w:kern w:val="0"/>
                <w:sz w:val="18"/>
                <w:szCs w:val="18"/>
                <w:lang w:bidi="ar"/>
              </w:rPr>
              <w:t>~</w:t>
            </w:r>
            <w:r>
              <w:rPr>
                <w:rFonts w:ascii="宋体" w:hAnsi="宋体"/>
                <w:snapToGrid w:val="0"/>
                <w:kern w:val="0"/>
                <w:sz w:val="18"/>
                <w:szCs w:val="18"/>
                <w:lang w:bidi="ar"/>
              </w:rPr>
              <w:t>80</w:t>
            </w:r>
          </w:p>
        </w:tc>
        <w:tc>
          <w:tcPr>
            <w:tcW w:w="648"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50</w:t>
            </w:r>
            <w:r>
              <w:rPr>
                <w:rFonts w:ascii="Times New Roman" w:hAnsi="Times New Roman"/>
                <w:snapToGrid w:val="0"/>
                <w:kern w:val="0"/>
                <w:sz w:val="18"/>
                <w:szCs w:val="18"/>
                <w:lang w:bidi="ar"/>
              </w:rPr>
              <w:t>~</w:t>
            </w:r>
            <w:r>
              <w:rPr>
                <w:rFonts w:ascii="宋体" w:hAnsi="宋体"/>
                <w:snapToGrid w:val="0"/>
                <w:kern w:val="0"/>
                <w:sz w:val="18"/>
                <w:szCs w:val="18"/>
                <w:lang w:bidi="ar"/>
              </w:rPr>
              <w:t>60</w:t>
            </w:r>
          </w:p>
        </w:tc>
        <w:tc>
          <w:tcPr>
            <w:tcW w:w="651" w:type="pct"/>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40</w:t>
            </w:r>
            <w:r>
              <w:rPr>
                <w:rFonts w:ascii="Times New Roman" w:hAnsi="Times New Roman"/>
                <w:snapToGrid w:val="0"/>
                <w:kern w:val="0"/>
                <w:sz w:val="18"/>
                <w:szCs w:val="18"/>
                <w:lang w:bidi="ar"/>
              </w:rPr>
              <w:t>~</w:t>
            </w:r>
            <w:r>
              <w:rPr>
                <w:rFonts w:ascii="宋体" w:hAnsi="宋体"/>
                <w:snapToGrid w:val="0"/>
                <w:kern w:val="0"/>
                <w:sz w:val="18"/>
                <w:szCs w:val="18"/>
                <w:lang w:bidi="ar"/>
              </w:rPr>
              <w:t>50</w:t>
            </w:r>
          </w:p>
        </w:tc>
      </w:tr>
      <w:tr w:rsidR="00274D4E">
        <w:trPr>
          <w:trHeight w:val="454"/>
          <w:jc w:val="center"/>
        </w:trPr>
        <w:tc>
          <w:tcPr>
            <w:tcW w:w="1675" w:type="pct"/>
            <w:tcBorders>
              <w:bottom w:val="single" w:sz="8" w:space="0" w:color="auto"/>
            </w:tcBorders>
            <w:vAlign w:val="center"/>
          </w:tcPr>
          <w:p w:rsidR="00274D4E" w:rsidRDefault="00B5732B">
            <w:pPr>
              <w:jc w:val="center"/>
              <w:rPr>
                <w:rFonts w:ascii="宋体" w:hAnsi="宋体" w:cs="仿宋"/>
                <w:sz w:val="18"/>
                <w:szCs w:val="18"/>
              </w:rPr>
            </w:pPr>
            <w:r>
              <w:rPr>
                <w:rFonts w:ascii="宋体" w:hAnsi="宋体" w:cs="仿宋" w:hint="eastAsia"/>
                <w:sz w:val="18"/>
                <w:szCs w:val="18"/>
              </w:rPr>
              <w:t>i＞7</w:t>
            </w:r>
          </w:p>
        </w:tc>
        <w:tc>
          <w:tcPr>
            <w:tcW w:w="685" w:type="pct"/>
            <w:tcBorders>
              <w:bottom w:val="single" w:sz="8" w:space="0" w:color="auto"/>
            </w:tcBorders>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100</w:t>
            </w:r>
          </w:p>
        </w:tc>
        <w:tc>
          <w:tcPr>
            <w:tcW w:w="690" w:type="pct"/>
            <w:tcBorders>
              <w:bottom w:val="single" w:sz="8" w:space="0" w:color="auto"/>
            </w:tcBorders>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90</w:t>
            </w:r>
            <w:r>
              <w:rPr>
                <w:rFonts w:ascii="Times New Roman" w:hAnsi="Times New Roman"/>
                <w:snapToGrid w:val="0"/>
                <w:kern w:val="0"/>
                <w:sz w:val="18"/>
                <w:szCs w:val="18"/>
                <w:lang w:bidi="ar"/>
              </w:rPr>
              <w:t>~</w:t>
            </w:r>
            <w:r>
              <w:rPr>
                <w:rFonts w:ascii="宋体" w:hAnsi="宋体"/>
                <w:snapToGrid w:val="0"/>
                <w:kern w:val="0"/>
                <w:sz w:val="18"/>
                <w:szCs w:val="18"/>
                <w:lang w:bidi="ar"/>
              </w:rPr>
              <w:t>100</w:t>
            </w:r>
          </w:p>
        </w:tc>
        <w:tc>
          <w:tcPr>
            <w:tcW w:w="648" w:type="pct"/>
            <w:tcBorders>
              <w:bottom w:val="single" w:sz="8" w:space="0" w:color="auto"/>
            </w:tcBorders>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80</w:t>
            </w:r>
            <w:r>
              <w:rPr>
                <w:rFonts w:ascii="Times New Roman" w:hAnsi="Times New Roman"/>
                <w:snapToGrid w:val="0"/>
                <w:kern w:val="0"/>
                <w:sz w:val="18"/>
                <w:szCs w:val="18"/>
                <w:lang w:bidi="ar"/>
              </w:rPr>
              <w:t>~</w:t>
            </w:r>
            <w:r>
              <w:rPr>
                <w:rFonts w:ascii="宋体" w:hAnsi="宋体"/>
                <w:snapToGrid w:val="0"/>
                <w:kern w:val="0"/>
                <w:sz w:val="18"/>
                <w:szCs w:val="18"/>
                <w:lang w:bidi="ar"/>
              </w:rPr>
              <w:t>90</w:t>
            </w:r>
          </w:p>
        </w:tc>
        <w:tc>
          <w:tcPr>
            <w:tcW w:w="648" w:type="pct"/>
            <w:tcBorders>
              <w:bottom w:val="single" w:sz="8" w:space="0" w:color="auto"/>
            </w:tcBorders>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60</w:t>
            </w:r>
            <w:r>
              <w:rPr>
                <w:rFonts w:ascii="Times New Roman" w:hAnsi="Times New Roman"/>
                <w:snapToGrid w:val="0"/>
                <w:kern w:val="0"/>
                <w:sz w:val="18"/>
                <w:szCs w:val="18"/>
                <w:lang w:bidi="ar"/>
              </w:rPr>
              <w:t>~</w:t>
            </w:r>
            <w:r>
              <w:rPr>
                <w:rFonts w:ascii="宋体" w:hAnsi="宋体"/>
                <w:snapToGrid w:val="0"/>
                <w:kern w:val="0"/>
                <w:sz w:val="18"/>
                <w:szCs w:val="18"/>
                <w:lang w:bidi="ar"/>
              </w:rPr>
              <w:t>70</w:t>
            </w:r>
          </w:p>
        </w:tc>
        <w:tc>
          <w:tcPr>
            <w:tcW w:w="651" w:type="pct"/>
            <w:tcBorders>
              <w:bottom w:val="single" w:sz="8" w:space="0" w:color="auto"/>
            </w:tcBorders>
            <w:vAlign w:val="center"/>
          </w:tcPr>
          <w:p w:rsidR="00274D4E" w:rsidRDefault="00B5732B">
            <w:pPr>
              <w:widowControl/>
              <w:jc w:val="center"/>
              <w:textAlignment w:val="center"/>
              <w:rPr>
                <w:rFonts w:ascii="宋体" w:hAnsi="宋体"/>
                <w:sz w:val="18"/>
                <w:szCs w:val="18"/>
              </w:rPr>
            </w:pPr>
            <w:r>
              <w:rPr>
                <w:rFonts w:ascii="宋体" w:hAnsi="宋体"/>
                <w:snapToGrid w:val="0"/>
                <w:kern w:val="0"/>
                <w:sz w:val="18"/>
                <w:szCs w:val="18"/>
                <w:lang w:bidi="ar"/>
              </w:rPr>
              <w:t>50</w:t>
            </w:r>
            <w:r>
              <w:rPr>
                <w:rFonts w:ascii="Times New Roman" w:hAnsi="Times New Roman"/>
                <w:snapToGrid w:val="0"/>
                <w:kern w:val="0"/>
                <w:sz w:val="18"/>
                <w:szCs w:val="18"/>
                <w:lang w:bidi="ar"/>
              </w:rPr>
              <w:t>~</w:t>
            </w:r>
            <w:r>
              <w:rPr>
                <w:rFonts w:ascii="宋体" w:hAnsi="宋体"/>
                <w:snapToGrid w:val="0"/>
                <w:kern w:val="0"/>
                <w:sz w:val="18"/>
                <w:szCs w:val="18"/>
                <w:lang w:bidi="ar"/>
              </w:rPr>
              <w:t>60</w:t>
            </w:r>
          </w:p>
        </w:tc>
      </w:tr>
      <w:tr w:rsidR="00274D4E">
        <w:trPr>
          <w:trHeight w:val="454"/>
          <w:jc w:val="center"/>
        </w:trPr>
        <w:tc>
          <w:tcPr>
            <w:tcW w:w="5000" w:type="pct"/>
            <w:gridSpan w:val="6"/>
            <w:tcBorders>
              <w:top w:val="single" w:sz="8" w:space="0" w:color="auto"/>
            </w:tcBorders>
            <w:vAlign w:val="center"/>
          </w:tcPr>
          <w:p w:rsidR="00274D4E" w:rsidRDefault="00B5732B" w:rsidP="00754DE2">
            <w:pPr>
              <w:pStyle w:val="afffffffff6"/>
              <w:ind w:firstLine="360"/>
            </w:pPr>
            <w:r>
              <w:rPr>
                <w:rFonts w:hint="eastAsia"/>
              </w:rPr>
              <w:t>注：1 所评估单元近3~5年内存在历史塌陷时，直接取值为100；</w:t>
            </w:r>
          </w:p>
          <w:p w:rsidR="00274D4E" w:rsidRDefault="00B5732B" w:rsidP="00754DE2">
            <w:pPr>
              <w:pStyle w:val="afffffffff6"/>
              <w:ind w:firstLine="360"/>
            </w:pPr>
            <w:r>
              <w:rPr>
                <w:rFonts w:hint="eastAsia"/>
              </w:rPr>
              <w:t xml:space="preserve">    2 路基土体坍塌病害风险等级为1级和2级的得分相等，则取大值后再加10分，最高得分为100分。</w:t>
            </w:r>
          </w:p>
        </w:tc>
      </w:tr>
    </w:tbl>
    <w:p w:rsidR="00274D4E" w:rsidRDefault="00B5732B">
      <w:pPr>
        <w:pStyle w:val="affffffffd"/>
      </w:pPr>
      <w:r>
        <w:rPr>
          <w:rFonts w:hint="eastAsia"/>
        </w:rPr>
        <w:t>道路路面破损指数主要根据道路整体变形破损程度，按表9确定相应分值，破损程度越严重，分值越高。</w:t>
      </w:r>
    </w:p>
    <w:p w:rsidR="00274D4E" w:rsidRDefault="00B5732B" w:rsidP="00754DE2">
      <w:pPr>
        <w:pStyle w:val="aff2"/>
        <w:spacing w:before="156" w:after="156"/>
      </w:pPr>
      <w:r>
        <w:rPr>
          <w:rFonts w:hint="eastAsia"/>
        </w:rPr>
        <w:t>道路破损指数取值</w:t>
      </w:r>
    </w:p>
    <w:tbl>
      <w:tblPr>
        <w:tblStyle w:val="TableNormal"/>
        <w:tblW w:w="4500" w:type="pct"/>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114"/>
        <w:gridCol w:w="4627"/>
        <w:gridCol w:w="2696"/>
      </w:tblGrid>
      <w:tr w:rsidR="00274D4E">
        <w:trPr>
          <w:trHeight w:val="567"/>
          <w:jc w:val="center"/>
        </w:trPr>
        <w:tc>
          <w:tcPr>
            <w:tcW w:w="660" w:type="pct"/>
            <w:tcBorders>
              <w:bottom w:val="single" w:sz="8" w:space="0" w:color="000000"/>
            </w:tcBorders>
            <w:vAlign w:val="center"/>
          </w:tcPr>
          <w:p w:rsidR="00274D4E" w:rsidRDefault="00B5732B">
            <w:pPr>
              <w:pStyle w:val="afffffffff6"/>
              <w:ind w:firstLineChars="0" w:firstLine="0"/>
              <w:jc w:val="center"/>
              <w:rPr>
                <w:b/>
                <w:bCs/>
              </w:rPr>
            </w:pPr>
            <w:r>
              <w:rPr>
                <w:rFonts w:hint="eastAsia"/>
                <w:b/>
                <w:bCs/>
              </w:rPr>
              <w:t>序号</w:t>
            </w:r>
          </w:p>
        </w:tc>
        <w:tc>
          <w:tcPr>
            <w:tcW w:w="2741" w:type="pct"/>
            <w:tcBorders>
              <w:bottom w:val="single" w:sz="8" w:space="0" w:color="000000"/>
            </w:tcBorders>
            <w:vAlign w:val="center"/>
          </w:tcPr>
          <w:p w:rsidR="00274D4E" w:rsidRDefault="00B5732B">
            <w:pPr>
              <w:pStyle w:val="afffffffff6"/>
              <w:ind w:firstLineChars="0" w:firstLine="0"/>
              <w:jc w:val="center"/>
              <w:rPr>
                <w:b/>
                <w:bCs/>
              </w:rPr>
            </w:pPr>
            <w:r>
              <w:rPr>
                <w:rFonts w:hint="eastAsia"/>
                <w:b/>
                <w:bCs/>
              </w:rPr>
              <w:t>道路破损指标</w:t>
            </w:r>
          </w:p>
        </w:tc>
        <w:tc>
          <w:tcPr>
            <w:tcW w:w="1597" w:type="pct"/>
            <w:tcBorders>
              <w:bottom w:val="single" w:sz="8" w:space="0" w:color="000000"/>
            </w:tcBorders>
            <w:vAlign w:val="center"/>
          </w:tcPr>
          <w:p w:rsidR="00274D4E" w:rsidRDefault="00B5732B">
            <w:pPr>
              <w:pStyle w:val="afffffffff6"/>
              <w:ind w:firstLineChars="0" w:firstLine="0"/>
              <w:jc w:val="center"/>
              <w:rPr>
                <w:b/>
                <w:bCs/>
              </w:rPr>
            </w:pPr>
            <w:r>
              <w:rPr>
                <w:rFonts w:hint="eastAsia"/>
                <w:b/>
                <w:bCs/>
              </w:rPr>
              <w:t>M</w:t>
            </w:r>
            <w:r>
              <w:rPr>
                <w:rFonts w:hint="eastAsia"/>
                <w:b/>
                <w:bCs/>
                <w:vertAlign w:val="subscript"/>
              </w:rPr>
              <w:t>B</w:t>
            </w:r>
            <w:r>
              <w:rPr>
                <w:rFonts w:hint="eastAsia"/>
                <w:b/>
                <w:bCs/>
              </w:rPr>
              <w:t>取值</w:t>
            </w:r>
          </w:p>
        </w:tc>
      </w:tr>
      <w:tr w:rsidR="00274D4E">
        <w:trPr>
          <w:trHeight w:val="567"/>
          <w:jc w:val="center"/>
        </w:trPr>
        <w:tc>
          <w:tcPr>
            <w:tcW w:w="660" w:type="pct"/>
            <w:tcBorders>
              <w:top w:val="single" w:sz="8" w:space="0" w:color="000000"/>
            </w:tcBorders>
            <w:vAlign w:val="center"/>
          </w:tcPr>
          <w:p w:rsidR="00274D4E" w:rsidRDefault="00B5732B">
            <w:pPr>
              <w:pStyle w:val="afffffffff6"/>
              <w:ind w:firstLineChars="0" w:firstLine="0"/>
              <w:jc w:val="center"/>
            </w:pPr>
            <w:r>
              <w:rPr>
                <w:rFonts w:hint="eastAsia"/>
              </w:rPr>
              <w:t>1</w:t>
            </w:r>
          </w:p>
        </w:tc>
        <w:tc>
          <w:tcPr>
            <w:tcW w:w="2741" w:type="pct"/>
            <w:tcBorders>
              <w:top w:val="single" w:sz="8" w:space="0" w:color="000000"/>
            </w:tcBorders>
            <w:vAlign w:val="center"/>
          </w:tcPr>
          <w:p w:rsidR="00274D4E" w:rsidRDefault="00B5732B">
            <w:pPr>
              <w:pStyle w:val="afffffffff6"/>
              <w:ind w:firstLineChars="0" w:firstLine="0"/>
              <w:jc w:val="center"/>
            </w:pPr>
            <w:r>
              <w:rPr>
                <w:rFonts w:hint="eastAsia"/>
              </w:rPr>
              <w:t>道路路面重度损坏程度的裂缝、沉陷等病害发育</w:t>
            </w:r>
          </w:p>
        </w:tc>
        <w:tc>
          <w:tcPr>
            <w:tcW w:w="1597" w:type="pct"/>
            <w:tcBorders>
              <w:top w:val="single" w:sz="8" w:space="0" w:color="000000"/>
            </w:tcBorders>
            <w:vAlign w:val="center"/>
          </w:tcPr>
          <w:p w:rsidR="00274D4E" w:rsidRDefault="00B5732B">
            <w:pPr>
              <w:pStyle w:val="afffffffff6"/>
              <w:ind w:firstLineChars="0" w:firstLine="0"/>
              <w:jc w:val="center"/>
            </w:pPr>
            <w:r>
              <w:rPr>
                <w:rFonts w:hint="eastAsia"/>
              </w:rPr>
              <w:t>90＜M</w:t>
            </w:r>
            <w:r>
              <w:rPr>
                <w:rFonts w:hint="eastAsia"/>
                <w:vertAlign w:val="subscript"/>
              </w:rPr>
              <w:t>B</w:t>
            </w:r>
            <w:r>
              <w:rPr>
                <w:rFonts w:hint="eastAsia"/>
              </w:rPr>
              <w:t>≤100</w:t>
            </w:r>
          </w:p>
        </w:tc>
      </w:tr>
      <w:tr w:rsidR="00274D4E">
        <w:trPr>
          <w:trHeight w:val="567"/>
          <w:jc w:val="center"/>
        </w:trPr>
        <w:tc>
          <w:tcPr>
            <w:tcW w:w="660" w:type="pct"/>
            <w:vAlign w:val="center"/>
          </w:tcPr>
          <w:p w:rsidR="00274D4E" w:rsidRDefault="00B5732B">
            <w:pPr>
              <w:pStyle w:val="afffffffff6"/>
              <w:ind w:firstLineChars="0" w:firstLine="0"/>
              <w:jc w:val="center"/>
            </w:pPr>
            <w:r>
              <w:rPr>
                <w:rFonts w:hint="eastAsia"/>
              </w:rPr>
              <w:t>2</w:t>
            </w:r>
          </w:p>
        </w:tc>
        <w:tc>
          <w:tcPr>
            <w:tcW w:w="2741" w:type="pct"/>
            <w:vAlign w:val="center"/>
          </w:tcPr>
          <w:p w:rsidR="00274D4E" w:rsidRDefault="00B5732B">
            <w:pPr>
              <w:pStyle w:val="afffffffff6"/>
              <w:ind w:firstLineChars="0" w:firstLine="0"/>
              <w:jc w:val="center"/>
            </w:pPr>
            <w:r>
              <w:rPr>
                <w:rFonts w:hint="eastAsia"/>
              </w:rPr>
              <w:t>道路路面中等损坏程度的裂缝、沉陷等病害发育</w:t>
            </w:r>
          </w:p>
        </w:tc>
        <w:tc>
          <w:tcPr>
            <w:tcW w:w="1597" w:type="pct"/>
            <w:vAlign w:val="center"/>
          </w:tcPr>
          <w:p w:rsidR="00274D4E" w:rsidRDefault="00B5732B">
            <w:pPr>
              <w:pStyle w:val="afffffffff6"/>
              <w:ind w:firstLineChars="0" w:firstLine="0"/>
              <w:jc w:val="center"/>
            </w:pPr>
            <w:r>
              <w:rPr>
                <w:rFonts w:hint="eastAsia"/>
              </w:rPr>
              <w:t>75＜M</w:t>
            </w:r>
            <w:r>
              <w:rPr>
                <w:rFonts w:hint="eastAsia"/>
                <w:vertAlign w:val="subscript"/>
              </w:rPr>
              <w:t>B</w:t>
            </w:r>
            <w:r>
              <w:rPr>
                <w:rFonts w:hint="eastAsia"/>
              </w:rPr>
              <w:t>≤90</w:t>
            </w:r>
          </w:p>
        </w:tc>
      </w:tr>
      <w:tr w:rsidR="00274D4E">
        <w:trPr>
          <w:trHeight w:val="567"/>
          <w:jc w:val="center"/>
        </w:trPr>
        <w:tc>
          <w:tcPr>
            <w:tcW w:w="660" w:type="pct"/>
            <w:vAlign w:val="center"/>
          </w:tcPr>
          <w:p w:rsidR="00274D4E" w:rsidRDefault="00B5732B">
            <w:pPr>
              <w:pStyle w:val="afffffffff6"/>
              <w:ind w:firstLineChars="0" w:firstLine="0"/>
              <w:jc w:val="center"/>
            </w:pPr>
            <w:r>
              <w:rPr>
                <w:rFonts w:hint="eastAsia"/>
              </w:rPr>
              <w:t>3</w:t>
            </w:r>
          </w:p>
        </w:tc>
        <w:tc>
          <w:tcPr>
            <w:tcW w:w="2741" w:type="pct"/>
            <w:vAlign w:val="center"/>
          </w:tcPr>
          <w:p w:rsidR="00274D4E" w:rsidRDefault="00B5732B">
            <w:pPr>
              <w:pStyle w:val="afffffffff6"/>
              <w:ind w:firstLineChars="0" w:firstLine="0"/>
              <w:jc w:val="center"/>
            </w:pPr>
            <w:r>
              <w:rPr>
                <w:rFonts w:hint="eastAsia"/>
              </w:rPr>
              <w:t>道路路面整体龟裂、轻微损坏程度的裂缝、轻微沉陷变形病害发育</w:t>
            </w:r>
          </w:p>
        </w:tc>
        <w:tc>
          <w:tcPr>
            <w:tcW w:w="1597" w:type="pct"/>
            <w:vAlign w:val="center"/>
          </w:tcPr>
          <w:p w:rsidR="00274D4E" w:rsidRDefault="00B5732B">
            <w:pPr>
              <w:pStyle w:val="afffffffff6"/>
              <w:ind w:firstLineChars="0" w:firstLine="0"/>
              <w:jc w:val="center"/>
            </w:pPr>
            <w:r>
              <w:rPr>
                <w:rFonts w:hint="eastAsia"/>
              </w:rPr>
              <w:t>50＜M</w:t>
            </w:r>
            <w:r>
              <w:rPr>
                <w:rFonts w:hint="eastAsia"/>
                <w:vertAlign w:val="subscript"/>
              </w:rPr>
              <w:t>B</w:t>
            </w:r>
            <w:r>
              <w:rPr>
                <w:rFonts w:hint="eastAsia"/>
              </w:rPr>
              <w:t>≤75</w:t>
            </w:r>
          </w:p>
        </w:tc>
      </w:tr>
      <w:tr w:rsidR="00274D4E">
        <w:trPr>
          <w:trHeight w:val="567"/>
          <w:jc w:val="center"/>
        </w:trPr>
        <w:tc>
          <w:tcPr>
            <w:tcW w:w="660" w:type="pct"/>
            <w:vAlign w:val="center"/>
          </w:tcPr>
          <w:p w:rsidR="00274D4E" w:rsidRDefault="00B5732B">
            <w:pPr>
              <w:pStyle w:val="afffffffff6"/>
              <w:ind w:firstLineChars="0" w:firstLine="0"/>
              <w:jc w:val="center"/>
            </w:pPr>
            <w:r>
              <w:rPr>
                <w:rFonts w:hint="eastAsia"/>
              </w:rPr>
              <w:t>4</w:t>
            </w:r>
          </w:p>
        </w:tc>
        <w:tc>
          <w:tcPr>
            <w:tcW w:w="2741" w:type="pct"/>
            <w:vAlign w:val="center"/>
          </w:tcPr>
          <w:p w:rsidR="00274D4E" w:rsidRDefault="00B5732B">
            <w:pPr>
              <w:pStyle w:val="afffffffff6"/>
              <w:ind w:firstLineChars="0" w:firstLine="0"/>
              <w:jc w:val="center"/>
            </w:pPr>
            <w:r>
              <w:rPr>
                <w:rFonts w:hint="eastAsia"/>
              </w:rPr>
              <w:t>道路路面整体完好</w:t>
            </w:r>
          </w:p>
        </w:tc>
        <w:tc>
          <w:tcPr>
            <w:tcW w:w="1597" w:type="pct"/>
            <w:vAlign w:val="center"/>
          </w:tcPr>
          <w:p w:rsidR="00274D4E" w:rsidRDefault="00B5732B">
            <w:pPr>
              <w:pStyle w:val="afffffffff6"/>
              <w:ind w:firstLineChars="0" w:firstLine="0"/>
              <w:jc w:val="center"/>
            </w:pPr>
            <w:r>
              <w:rPr>
                <w:rFonts w:hint="eastAsia"/>
              </w:rPr>
              <w:t>0</w:t>
            </w:r>
          </w:p>
        </w:tc>
      </w:tr>
    </w:tbl>
    <w:p w:rsidR="00274D4E" w:rsidRDefault="00B5732B">
      <w:pPr>
        <w:pStyle w:val="affffffffd"/>
      </w:pPr>
      <w:r>
        <w:rPr>
          <w:rFonts w:hint="eastAsia"/>
        </w:rPr>
        <w:t>地质条件指数则以道路评估单元内致塌地质条件的发育情况确定，参照表10确定。</w:t>
      </w:r>
    </w:p>
    <w:p w:rsidR="00274D4E" w:rsidRDefault="00B5732B" w:rsidP="00754DE2">
      <w:pPr>
        <w:pStyle w:val="aff2"/>
        <w:spacing w:before="156" w:after="156"/>
      </w:pPr>
      <w:r>
        <w:rPr>
          <w:rFonts w:hint="eastAsia"/>
        </w:rPr>
        <w:t>道路致塌地质条件指数</w:t>
      </w:r>
      <w:r>
        <w:rPr>
          <w:rFonts w:hint="eastAsia"/>
          <w:b/>
          <w:bCs/>
          <w:sz w:val="18"/>
        </w:rPr>
        <w:t>M</w:t>
      </w:r>
      <w:r>
        <w:rPr>
          <w:rFonts w:hint="eastAsia"/>
          <w:b/>
          <w:bCs/>
          <w:sz w:val="18"/>
          <w:vertAlign w:val="subscript"/>
        </w:rPr>
        <w:t>C</w:t>
      </w:r>
      <w:r>
        <w:rPr>
          <w:rFonts w:hint="eastAsia"/>
        </w:rPr>
        <w:t>取值</w:t>
      </w:r>
    </w:p>
    <w:tbl>
      <w:tblPr>
        <w:tblStyle w:val="TableNormal"/>
        <w:tblW w:w="45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13"/>
        <w:gridCol w:w="4620"/>
        <w:gridCol w:w="2691"/>
      </w:tblGrid>
      <w:tr w:rsidR="00274D4E">
        <w:trPr>
          <w:trHeight w:val="567"/>
          <w:jc w:val="center"/>
        </w:trPr>
        <w:tc>
          <w:tcPr>
            <w:tcW w:w="661" w:type="pct"/>
            <w:vAlign w:val="center"/>
          </w:tcPr>
          <w:p w:rsidR="00274D4E" w:rsidRDefault="00B5732B">
            <w:pPr>
              <w:pStyle w:val="afffffffff6"/>
              <w:ind w:firstLineChars="0" w:firstLine="0"/>
              <w:jc w:val="center"/>
              <w:rPr>
                <w:b/>
                <w:bCs/>
              </w:rPr>
            </w:pPr>
            <w:r>
              <w:rPr>
                <w:rFonts w:hint="eastAsia"/>
                <w:b/>
                <w:bCs/>
              </w:rPr>
              <w:t>序号</w:t>
            </w:r>
          </w:p>
        </w:tc>
        <w:tc>
          <w:tcPr>
            <w:tcW w:w="2741" w:type="pct"/>
            <w:vAlign w:val="center"/>
          </w:tcPr>
          <w:p w:rsidR="00274D4E" w:rsidRDefault="00B5732B">
            <w:pPr>
              <w:pStyle w:val="afffffffff6"/>
              <w:ind w:firstLineChars="0" w:firstLine="0"/>
              <w:jc w:val="center"/>
              <w:rPr>
                <w:b/>
                <w:bCs/>
              </w:rPr>
            </w:pPr>
            <w:r>
              <w:rPr>
                <w:rFonts w:hint="eastAsia"/>
                <w:b/>
                <w:bCs/>
              </w:rPr>
              <w:t>地质条件指标</w:t>
            </w:r>
          </w:p>
        </w:tc>
        <w:tc>
          <w:tcPr>
            <w:tcW w:w="1597" w:type="pct"/>
            <w:vAlign w:val="center"/>
          </w:tcPr>
          <w:p w:rsidR="00274D4E" w:rsidRDefault="00B5732B">
            <w:pPr>
              <w:pStyle w:val="afffffffff6"/>
              <w:ind w:firstLineChars="0" w:firstLine="0"/>
              <w:jc w:val="center"/>
              <w:rPr>
                <w:b/>
                <w:bCs/>
              </w:rPr>
            </w:pPr>
            <w:r>
              <w:rPr>
                <w:rFonts w:hint="eastAsia"/>
                <w:b/>
                <w:bCs/>
              </w:rPr>
              <w:t>M</w:t>
            </w:r>
            <w:r>
              <w:rPr>
                <w:rFonts w:hint="eastAsia"/>
                <w:b/>
                <w:bCs/>
                <w:vertAlign w:val="subscript"/>
              </w:rPr>
              <w:t>C</w:t>
            </w:r>
            <w:r>
              <w:rPr>
                <w:rFonts w:hint="eastAsia"/>
                <w:b/>
                <w:bCs/>
              </w:rPr>
              <w:t>取值</w:t>
            </w:r>
          </w:p>
        </w:tc>
      </w:tr>
      <w:tr w:rsidR="00274D4E">
        <w:trPr>
          <w:trHeight w:val="567"/>
          <w:jc w:val="center"/>
        </w:trPr>
        <w:tc>
          <w:tcPr>
            <w:tcW w:w="661" w:type="pct"/>
            <w:vAlign w:val="center"/>
          </w:tcPr>
          <w:p w:rsidR="00274D4E" w:rsidRDefault="00B5732B">
            <w:pPr>
              <w:pStyle w:val="afffffffff6"/>
              <w:ind w:firstLineChars="0" w:firstLine="0"/>
              <w:jc w:val="center"/>
            </w:pPr>
            <w:r>
              <w:rPr>
                <w:rFonts w:hint="eastAsia"/>
              </w:rPr>
              <w:t>1</w:t>
            </w:r>
          </w:p>
        </w:tc>
        <w:tc>
          <w:tcPr>
            <w:tcW w:w="2741" w:type="pct"/>
            <w:vAlign w:val="center"/>
          </w:tcPr>
          <w:p w:rsidR="00274D4E" w:rsidRDefault="00B5732B">
            <w:pPr>
              <w:pStyle w:val="afffffffff6"/>
              <w:ind w:firstLineChars="0" w:firstLine="0"/>
              <w:jc w:val="center"/>
            </w:pPr>
            <w:r>
              <w:rPr>
                <w:rFonts w:hint="eastAsia"/>
              </w:rPr>
              <w:t>松散填土、稍密粉土和松散~稍密砂土</w:t>
            </w:r>
          </w:p>
        </w:tc>
        <w:tc>
          <w:tcPr>
            <w:tcW w:w="1597" w:type="pct"/>
            <w:vAlign w:val="center"/>
          </w:tcPr>
          <w:p w:rsidR="00274D4E" w:rsidRDefault="00B5732B">
            <w:pPr>
              <w:pStyle w:val="afffffffff6"/>
              <w:ind w:firstLineChars="0" w:firstLine="0"/>
              <w:jc w:val="center"/>
            </w:pPr>
            <w:r>
              <w:rPr>
                <w:rFonts w:hint="eastAsia"/>
              </w:rPr>
              <w:t>80≤M</w:t>
            </w:r>
            <w:r>
              <w:rPr>
                <w:rFonts w:hint="eastAsia"/>
                <w:vertAlign w:val="subscript"/>
              </w:rPr>
              <w:t>C</w:t>
            </w:r>
            <w:r>
              <w:rPr>
                <w:rFonts w:hint="eastAsia"/>
              </w:rPr>
              <w:t>≤ 100</w:t>
            </w:r>
          </w:p>
        </w:tc>
      </w:tr>
      <w:tr w:rsidR="00274D4E">
        <w:trPr>
          <w:trHeight w:val="567"/>
          <w:jc w:val="center"/>
        </w:trPr>
        <w:tc>
          <w:tcPr>
            <w:tcW w:w="661" w:type="pct"/>
            <w:vAlign w:val="center"/>
          </w:tcPr>
          <w:p w:rsidR="00274D4E" w:rsidRDefault="00B5732B">
            <w:pPr>
              <w:pStyle w:val="afffffffff6"/>
              <w:ind w:firstLineChars="0" w:firstLine="0"/>
              <w:jc w:val="center"/>
            </w:pPr>
            <w:r>
              <w:rPr>
                <w:rFonts w:hint="eastAsia"/>
              </w:rPr>
              <w:t>2</w:t>
            </w:r>
          </w:p>
        </w:tc>
        <w:tc>
          <w:tcPr>
            <w:tcW w:w="2741" w:type="pct"/>
            <w:vAlign w:val="center"/>
          </w:tcPr>
          <w:p w:rsidR="00274D4E" w:rsidRDefault="00B5732B">
            <w:pPr>
              <w:pStyle w:val="afffffffff6"/>
              <w:ind w:firstLineChars="0" w:firstLine="0"/>
              <w:jc w:val="center"/>
            </w:pPr>
            <w:r>
              <w:rPr>
                <w:rFonts w:hint="eastAsia"/>
              </w:rPr>
              <w:t>中密填土、粉土和砂土，黏性土</w:t>
            </w:r>
          </w:p>
        </w:tc>
        <w:tc>
          <w:tcPr>
            <w:tcW w:w="1597" w:type="pct"/>
            <w:vAlign w:val="center"/>
          </w:tcPr>
          <w:p w:rsidR="00274D4E" w:rsidRDefault="00B5732B">
            <w:pPr>
              <w:pStyle w:val="afffffffff6"/>
              <w:ind w:firstLineChars="0" w:firstLine="0"/>
              <w:jc w:val="center"/>
            </w:pPr>
            <w:r>
              <w:rPr>
                <w:rFonts w:hint="eastAsia"/>
              </w:rPr>
              <w:t>60≤M</w:t>
            </w:r>
            <w:r>
              <w:rPr>
                <w:rFonts w:hint="eastAsia"/>
                <w:vertAlign w:val="subscript"/>
              </w:rPr>
              <w:t>C</w:t>
            </w:r>
            <w:r>
              <w:rPr>
                <w:rFonts w:hint="eastAsia"/>
              </w:rPr>
              <w:t>＜80</w:t>
            </w:r>
          </w:p>
        </w:tc>
      </w:tr>
      <w:tr w:rsidR="00274D4E">
        <w:trPr>
          <w:trHeight w:val="567"/>
          <w:jc w:val="center"/>
        </w:trPr>
        <w:tc>
          <w:tcPr>
            <w:tcW w:w="661" w:type="pct"/>
            <w:vAlign w:val="center"/>
          </w:tcPr>
          <w:p w:rsidR="00274D4E" w:rsidRDefault="00B5732B">
            <w:pPr>
              <w:pStyle w:val="afffffffff6"/>
              <w:ind w:firstLineChars="0" w:firstLine="0"/>
              <w:jc w:val="center"/>
            </w:pPr>
            <w:r>
              <w:rPr>
                <w:rFonts w:hint="eastAsia"/>
              </w:rPr>
              <w:t>3</w:t>
            </w:r>
          </w:p>
        </w:tc>
        <w:tc>
          <w:tcPr>
            <w:tcW w:w="2741" w:type="pct"/>
            <w:vAlign w:val="center"/>
          </w:tcPr>
          <w:p w:rsidR="00274D4E" w:rsidRDefault="00B5732B">
            <w:pPr>
              <w:pStyle w:val="afffffffff6"/>
              <w:ind w:firstLineChars="0" w:firstLine="0"/>
              <w:jc w:val="center"/>
            </w:pPr>
            <w:r>
              <w:rPr>
                <w:rFonts w:hint="eastAsia"/>
              </w:rPr>
              <w:t>密实填土、粉土和砂土</w:t>
            </w:r>
          </w:p>
        </w:tc>
        <w:tc>
          <w:tcPr>
            <w:tcW w:w="1597" w:type="pct"/>
            <w:vAlign w:val="center"/>
          </w:tcPr>
          <w:p w:rsidR="00274D4E" w:rsidRDefault="00B5732B">
            <w:pPr>
              <w:pStyle w:val="afffffffff6"/>
              <w:ind w:firstLineChars="0" w:firstLine="0"/>
              <w:jc w:val="center"/>
            </w:pPr>
            <w:r>
              <w:rPr>
                <w:rFonts w:hint="eastAsia"/>
              </w:rPr>
              <w:t>30≤M</w:t>
            </w:r>
            <w:r>
              <w:rPr>
                <w:rFonts w:hint="eastAsia"/>
                <w:vertAlign w:val="subscript"/>
              </w:rPr>
              <w:t>C</w:t>
            </w:r>
            <w:r>
              <w:rPr>
                <w:rFonts w:hint="eastAsia"/>
              </w:rPr>
              <w:t>＜60</w:t>
            </w:r>
          </w:p>
        </w:tc>
      </w:tr>
      <w:tr w:rsidR="00274D4E">
        <w:trPr>
          <w:trHeight w:val="567"/>
          <w:jc w:val="center"/>
        </w:trPr>
        <w:tc>
          <w:tcPr>
            <w:tcW w:w="661" w:type="pct"/>
            <w:vAlign w:val="center"/>
          </w:tcPr>
          <w:p w:rsidR="00274D4E" w:rsidRDefault="00B5732B">
            <w:pPr>
              <w:pStyle w:val="afffffffff6"/>
              <w:ind w:firstLineChars="0" w:firstLine="0"/>
              <w:jc w:val="center"/>
            </w:pPr>
            <w:r>
              <w:rPr>
                <w:rFonts w:hint="eastAsia"/>
              </w:rPr>
              <w:t>4</w:t>
            </w:r>
          </w:p>
        </w:tc>
        <w:tc>
          <w:tcPr>
            <w:tcW w:w="2741" w:type="pct"/>
            <w:vAlign w:val="center"/>
          </w:tcPr>
          <w:p w:rsidR="00274D4E" w:rsidRDefault="00B5732B">
            <w:pPr>
              <w:pStyle w:val="afffffffff6"/>
              <w:ind w:firstLineChars="0" w:firstLine="0"/>
              <w:jc w:val="center"/>
            </w:pPr>
            <w:r>
              <w:rPr>
                <w:rFonts w:hint="eastAsia"/>
              </w:rPr>
              <w:t>中密~密实碎石土</w:t>
            </w:r>
          </w:p>
        </w:tc>
        <w:tc>
          <w:tcPr>
            <w:tcW w:w="1597" w:type="pct"/>
            <w:vAlign w:val="center"/>
          </w:tcPr>
          <w:p w:rsidR="00274D4E" w:rsidRDefault="00B5732B">
            <w:pPr>
              <w:pStyle w:val="afffffffff6"/>
              <w:ind w:firstLineChars="0" w:firstLine="0"/>
              <w:jc w:val="center"/>
            </w:pPr>
            <w:r>
              <w:rPr>
                <w:rFonts w:hint="eastAsia"/>
              </w:rPr>
              <w:t>0≤M</w:t>
            </w:r>
            <w:r>
              <w:rPr>
                <w:rFonts w:hint="eastAsia"/>
                <w:vertAlign w:val="subscript"/>
              </w:rPr>
              <w:t>C</w:t>
            </w:r>
            <w:r>
              <w:rPr>
                <w:rFonts w:hint="eastAsia"/>
              </w:rPr>
              <w:t>＜30</w:t>
            </w:r>
          </w:p>
        </w:tc>
      </w:tr>
    </w:tbl>
    <w:p w:rsidR="00274D4E" w:rsidRDefault="00B5732B">
      <w:pPr>
        <w:pStyle w:val="affffffffd"/>
      </w:pPr>
      <w:r>
        <w:rPr>
          <w:rFonts w:hint="eastAsia"/>
        </w:rPr>
        <w:t>地下工程施工影响指数应根据评估单元内近5年内地下工程施工情况，按照表11确定。</w:t>
      </w:r>
    </w:p>
    <w:p w:rsidR="00274D4E" w:rsidRDefault="00B5732B" w:rsidP="00754DE2">
      <w:pPr>
        <w:pStyle w:val="aff2"/>
        <w:spacing w:before="156" w:after="156"/>
      </w:pPr>
      <w:r>
        <w:rPr>
          <w:rFonts w:hint="eastAsia"/>
        </w:rPr>
        <w:lastRenderedPageBreak/>
        <w:t>近5年内地下工程施工影响指数取值</w:t>
      </w:r>
    </w:p>
    <w:tbl>
      <w:tblPr>
        <w:tblStyle w:val="TableNormal"/>
        <w:tblW w:w="4500" w:type="pct"/>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719"/>
        <w:gridCol w:w="6223"/>
        <w:gridCol w:w="1495"/>
      </w:tblGrid>
      <w:tr w:rsidR="00274D4E">
        <w:trPr>
          <w:trHeight w:val="567"/>
          <w:jc w:val="center"/>
        </w:trPr>
        <w:tc>
          <w:tcPr>
            <w:tcW w:w="426" w:type="pct"/>
            <w:tcBorders>
              <w:bottom w:val="single" w:sz="8"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b/>
                <w:bCs/>
                <w:sz w:val="18"/>
                <w:szCs w:val="18"/>
              </w:rPr>
            </w:pPr>
            <w:r>
              <w:rPr>
                <w:rFonts w:ascii="宋体" w:hAnsi="宋体"/>
                <w:b/>
                <w:bCs/>
                <w:sz w:val="18"/>
                <w:szCs w:val="18"/>
              </w:rPr>
              <w:t>序号</w:t>
            </w:r>
          </w:p>
        </w:tc>
        <w:tc>
          <w:tcPr>
            <w:tcW w:w="3687" w:type="pct"/>
            <w:tcBorders>
              <w:bottom w:val="single" w:sz="8"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b/>
                <w:bCs/>
                <w:sz w:val="18"/>
                <w:szCs w:val="18"/>
              </w:rPr>
            </w:pPr>
            <w:r>
              <w:rPr>
                <w:rFonts w:ascii="宋体" w:hAnsi="宋体"/>
                <w:b/>
                <w:bCs/>
                <w:sz w:val="18"/>
                <w:szCs w:val="18"/>
              </w:rPr>
              <w:t>地下工程施工情况</w:t>
            </w:r>
          </w:p>
        </w:tc>
        <w:tc>
          <w:tcPr>
            <w:tcW w:w="886" w:type="pct"/>
            <w:tcBorders>
              <w:bottom w:val="single" w:sz="8"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b/>
                <w:bCs/>
                <w:sz w:val="18"/>
                <w:szCs w:val="18"/>
              </w:rPr>
            </w:pPr>
            <w:r>
              <w:rPr>
                <w:rFonts w:ascii="宋体" w:hAnsi="宋体"/>
                <w:b/>
                <w:bCs/>
                <w:i/>
                <w:sz w:val="18"/>
                <w:szCs w:val="18"/>
              </w:rPr>
              <w:t>M</w:t>
            </w:r>
            <w:r>
              <w:rPr>
                <w:rFonts w:ascii="宋体" w:hAnsi="宋体"/>
                <w:b/>
                <w:bCs/>
                <w:i/>
                <w:sz w:val="18"/>
                <w:szCs w:val="18"/>
                <w:vertAlign w:val="subscript"/>
              </w:rPr>
              <w:t>D</w:t>
            </w:r>
            <w:r>
              <w:rPr>
                <w:rFonts w:ascii="宋体" w:hAnsi="宋体"/>
                <w:b/>
                <w:bCs/>
                <w:sz w:val="18"/>
                <w:szCs w:val="18"/>
              </w:rPr>
              <w:t>取值</w:t>
            </w:r>
          </w:p>
        </w:tc>
      </w:tr>
      <w:tr w:rsidR="00274D4E">
        <w:trPr>
          <w:trHeight w:val="567"/>
          <w:jc w:val="center"/>
        </w:trPr>
        <w:tc>
          <w:tcPr>
            <w:tcW w:w="426" w:type="pct"/>
            <w:tcBorders>
              <w:top w:val="single" w:sz="8"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1</w:t>
            </w:r>
          </w:p>
        </w:tc>
        <w:tc>
          <w:tcPr>
            <w:tcW w:w="3687" w:type="pct"/>
            <w:tcBorders>
              <w:top w:val="single" w:sz="8"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道路下方地铁、隧道、顶管与非开挖管线等工程施工期间至竣工后运行1年内</w:t>
            </w:r>
          </w:p>
        </w:tc>
        <w:tc>
          <w:tcPr>
            <w:tcW w:w="886" w:type="pct"/>
            <w:tcBorders>
              <w:top w:val="single" w:sz="8"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i/>
                <w:sz w:val="18"/>
                <w:szCs w:val="18"/>
              </w:rPr>
            </w:pPr>
            <w:r>
              <w:rPr>
                <w:rFonts w:ascii="宋体" w:hAnsi="宋体"/>
                <w:sz w:val="18"/>
                <w:szCs w:val="18"/>
              </w:rPr>
              <w:t>90≤</w:t>
            </w:r>
            <w:r>
              <w:rPr>
                <w:rFonts w:ascii="宋体" w:hAnsi="宋体"/>
                <w:i/>
                <w:sz w:val="18"/>
                <w:szCs w:val="18"/>
              </w:rPr>
              <w:t>M</w:t>
            </w:r>
            <w:r>
              <w:rPr>
                <w:rFonts w:ascii="宋体" w:hAnsi="宋体"/>
                <w:i/>
                <w:sz w:val="18"/>
                <w:szCs w:val="18"/>
                <w:vertAlign w:val="subscript"/>
              </w:rPr>
              <w:t>D</w:t>
            </w:r>
            <w:r>
              <w:rPr>
                <w:rFonts w:ascii="宋体" w:hAnsi="宋体"/>
                <w:sz w:val="18"/>
                <w:szCs w:val="18"/>
              </w:rPr>
              <w:t>≤ 100</w:t>
            </w:r>
          </w:p>
        </w:tc>
      </w:tr>
      <w:tr w:rsidR="00274D4E">
        <w:trPr>
          <w:trHeight w:val="567"/>
          <w:jc w:val="center"/>
        </w:trPr>
        <w:tc>
          <w:tcPr>
            <w:tcW w:w="426" w:type="pct"/>
            <w:shd w:val="clear" w:color="auto" w:fill="auto"/>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2</w:t>
            </w:r>
          </w:p>
        </w:tc>
        <w:tc>
          <w:tcPr>
            <w:tcW w:w="3687"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道路下方地铁、隧道、顶管与非开挖管线等工程竣工后运行1年到3年</w:t>
            </w:r>
          </w:p>
        </w:tc>
        <w:tc>
          <w:tcPr>
            <w:tcW w:w="886"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70＜</w:t>
            </w:r>
            <w:r>
              <w:rPr>
                <w:rFonts w:ascii="宋体" w:hAnsi="宋体"/>
                <w:i/>
                <w:sz w:val="18"/>
                <w:szCs w:val="18"/>
              </w:rPr>
              <w:t>M</w:t>
            </w:r>
            <w:r>
              <w:rPr>
                <w:rFonts w:ascii="宋体" w:hAnsi="宋体"/>
                <w:i/>
                <w:sz w:val="18"/>
                <w:szCs w:val="18"/>
                <w:vertAlign w:val="subscript"/>
              </w:rPr>
              <w:t>D</w:t>
            </w:r>
            <w:r>
              <w:rPr>
                <w:rFonts w:ascii="宋体" w:hAnsi="宋体"/>
                <w:sz w:val="18"/>
                <w:szCs w:val="18"/>
              </w:rPr>
              <w:t>≤ 90</w:t>
            </w:r>
          </w:p>
        </w:tc>
      </w:tr>
      <w:tr w:rsidR="00274D4E">
        <w:trPr>
          <w:trHeight w:val="567"/>
          <w:jc w:val="center"/>
        </w:trPr>
        <w:tc>
          <w:tcPr>
            <w:tcW w:w="426" w:type="pct"/>
            <w:shd w:val="clear" w:color="auto" w:fill="auto"/>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3</w:t>
            </w:r>
          </w:p>
        </w:tc>
        <w:tc>
          <w:tcPr>
            <w:tcW w:w="3687"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道路下方地铁、隧道、顶管与非开挖管线等工程竣工后运行3年到5年</w:t>
            </w:r>
          </w:p>
        </w:tc>
        <w:tc>
          <w:tcPr>
            <w:tcW w:w="886"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50＜</w:t>
            </w:r>
            <w:r>
              <w:rPr>
                <w:rFonts w:ascii="宋体" w:hAnsi="宋体"/>
                <w:i/>
                <w:sz w:val="18"/>
                <w:szCs w:val="18"/>
              </w:rPr>
              <w:t>M</w:t>
            </w:r>
            <w:r>
              <w:rPr>
                <w:rFonts w:ascii="宋体" w:hAnsi="宋体"/>
                <w:i/>
                <w:sz w:val="18"/>
                <w:szCs w:val="18"/>
                <w:vertAlign w:val="subscript"/>
              </w:rPr>
              <w:t>D</w:t>
            </w:r>
            <w:r>
              <w:rPr>
                <w:rFonts w:ascii="宋体" w:hAnsi="宋体"/>
                <w:sz w:val="18"/>
                <w:szCs w:val="18"/>
              </w:rPr>
              <w:t>≤70</w:t>
            </w:r>
          </w:p>
        </w:tc>
      </w:tr>
      <w:tr w:rsidR="00274D4E">
        <w:trPr>
          <w:trHeight w:val="567"/>
          <w:jc w:val="center"/>
        </w:trPr>
        <w:tc>
          <w:tcPr>
            <w:tcW w:w="426"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4</w:t>
            </w:r>
          </w:p>
        </w:tc>
        <w:tc>
          <w:tcPr>
            <w:tcW w:w="3687"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道路下方地铁、隧道、顶管与非开挖管线等工程竣工后运行5年以上并发生过相关成因道路塌陷事件</w:t>
            </w:r>
          </w:p>
        </w:tc>
        <w:tc>
          <w:tcPr>
            <w:tcW w:w="886"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30＜</w:t>
            </w:r>
            <w:r>
              <w:rPr>
                <w:rFonts w:ascii="宋体" w:hAnsi="宋体"/>
                <w:i/>
                <w:sz w:val="18"/>
                <w:szCs w:val="18"/>
              </w:rPr>
              <w:t>M</w:t>
            </w:r>
            <w:r>
              <w:rPr>
                <w:rFonts w:ascii="宋体" w:hAnsi="宋体"/>
                <w:i/>
                <w:sz w:val="18"/>
                <w:szCs w:val="18"/>
                <w:vertAlign w:val="subscript"/>
              </w:rPr>
              <w:t>D</w:t>
            </w:r>
            <w:r>
              <w:rPr>
                <w:rFonts w:ascii="宋体" w:hAnsi="宋体"/>
                <w:sz w:val="18"/>
                <w:szCs w:val="18"/>
              </w:rPr>
              <w:t>≤50</w:t>
            </w:r>
          </w:p>
        </w:tc>
      </w:tr>
      <w:tr w:rsidR="00274D4E">
        <w:trPr>
          <w:trHeight w:val="567"/>
          <w:jc w:val="center"/>
        </w:trPr>
        <w:tc>
          <w:tcPr>
            <w:tcW w:w="426" w:type="pct"/>
            <w:shd w:val="clear" w:color="auto" w:fill="auto"/>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5</w:t>
            </w:r>
          </w:p>
        </w:tc>
        <w:tc>
          <w:tcPr>
            <w:tcW w:w="3687" w:type="pct"/>
            <w:shd w:val="clear" w:color="auto" w:fill="auto"/>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道路下方地铁、隧道、顶管与非开挖管线等工程竣工后运行5年以上并未发生过相关成因的道路塌陷事件</w:t>
            </w:r>
          </w:p>
        </w:tc>
        <w:tc>
          <w:tcPr>
            <w:tcW w:w="886" w:type="pct"/>
            <w:shd w:val="clear" w:color="auto" w:fill="auto"/>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napToGrid w:val="0"/>
                <w:sz w:val="18"/>
                <w:szCs w:val="18"/>
              </w:rPr>
            </w:pPr>
            <w:r>
              <w:rPr>
                <w:rFonts w:ascii="宋体" w:hAnsi="宋体"/>
                <w:sz w:val="18"/>
                <w:szCs w:val="18"/>
              </w:rPr>
              <w:t>0＜</w:t>
            </w:r>
            <w:r>
              <w:rPr>
                <w:rFonts w:ascii="宋体" w:hAnsi="宋体"/>
                <w:i/>
                <w:sz w:val="18"/>
                <w:szCs w:val="18"/>
              </w:rPr>
              <w:t>M</w:t>
            </w:r>
            <w:r>
              <w:rPr>
                <w:rFonts w:ascii="宋体" w:hAnsi="宋体"/>
                <w:i/>
                <w:sz w:val="18"/>
                <w:szCs w:val="18"/>
                <w:vertAlign w:val="subscript"/>
              </w:rPr>
              <w:t>D</w:t>
            </w:r>
            <w:r>
              <w:rPr>
                <w:rFonts w:ascii="宋体" w:hAnsi="宋体"/>
                <w:sz w:val="18"/>
                <w:szCs w:val="18"/>
              </w:rPr>
              <w:t>≤30</w:t>
            </w:r>
          </w:p>
        </w:tc>
      </w:tr>
    </w:tbl>
    <w:p w:rsidR="00274D4E" w:rsidRDefault="00B5732B">
      <w:pPr>
        <w:pStyle w:val="affffffffd"/>
      </w:pPr>
      <w:r>
        <w:rPr>
          <w:rFonts w:hint="eastAsia"/>
        </w:rPr>
        <w:t>道路评估单元的塌陷风险分级可根据塌陷风险指数P按表12进行风险评价，划分为5个等级；在此基础上按表13进行道路整体致塌风险评价。</w:t>
      </w:r>
    </w:p>
    <w:p w:rsidR="00274D4E" w:rsidRDefault="00B5732B" w:rsidP="00754DE2">
      <w:pPr>
        <w:pStyle w:val="aff2"/>
        <w:spacing w:before="156" w:after="156"/>
      </w:pPr>
      <w:r>
        <w:rPr>
          <w:rFonts w:hint="eastAsia"/>
        </w:rPr>
        <w:t>道路评估单元塌陷风险分级标准</w:t>
      </w:r>
    </w:p>
    <w:tbl>
      <w:tblPr>
        <w:tblW w:w="4500" w:type="pct"/>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840"/>
        <w:gridCol w:w="2646"/>
        <w:gridCol w:w="4951"/>
      </w:tblGrid>
      <w:tr w:rsidR="00274D4E">
        <w:trPr>
          <w:trHeight w:val="567"/>
          <w:jc w:val="center"/>
        </w:trPr>
        <w:tc>
          <w:tcPr>
            <w:tcW w:w="498"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等级</w:t>
            </w:r>
          </w:p>
        </w:tc>
        <w:tc>
          <w:tcPr>
            <w:tcW w:w="1568"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道路塌陷风险分级标准</w:t>
            </w:r>
          </w:p>
        </w:tc>
        <w:tc>
          <w:tcPr>
            <w:tcW w:w="2933"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文字描述</w:t>
            </w:r>
          </w:p>
        </w:tc>
      </w:tr>
      <w:tr w:rsidR="00274D4E">
        <w:trPr>
          <w:trHeight w:val="567"/>
          <w:jc w:val="center"/>
        </w:trPr>
        <w:tc>
          <w:tcPr>
            <w:tcW w:w="498" w:type="pct"/>
            <w:tcBorders>
              <w:top w:val="single" w:sz="8"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w:t>
            </w:r>
          </w:p>
        </w:tc>
        <w:tc>
          <w:tcPr>
            <w:tcW w:w="1568" w:type="pct"/>
            <w:tcBorders>
              <w:top w:val="single" w:sz="8"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90≤P≤100</w:t>
            </w:r>
          </w:p>
        </w:tc>
        <w:tc>
          <w:tcPr>
            <w:tcW w:w="2933" w:type="pct"/>
            <w:tcBorders>
              <w:top w:val="single" w:sz="8"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路段塌陷影响因素复杂，塌陷风险大</w:t>
            </w:r>
          </w:p>
        </w:tc>
      </w:tr>
      <w:tr w:rsidR="00274D4E">
        <w:trPr>
          <w:trHeight w:val="567"/>
          <w:jc w:val="center"/>
        </w:trPr>
        <w:tc>
          <w:tcPr>
            <w:tcW w:w="498" w:type="pct"/>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II</w:t>
            </w:r>
          </w:p>
        </w:tc>
        <w:tc>
          <w:tcPr>
            <w:tcW w:w="1568" w:type="pct"/>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70≤P＜90</w:t>
            </w:r>
          </w:p>
        </w:tc>
        <w:tc>
          <w:tcPr>
            <w:tcW w:w="2933" w:type="pct"/>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路段塌陷影响因素较复杂，塌陷风险较大</w:t>
            </w:r>
          </w:p>
        </w:tc>
      </w:tr>
      <w:tr w:rsidR="00274D4E">
        <w:trPr>
          <w:trHeight w:val="567"/>
          <w:jc w:val="center"/>
        </w:trPr>
        <w:tc>
          <w:tcPr>
            <w:tcW w:w="498"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napToGrid w:val="0"/>
                <w:sz w:val="18"/>
                <w:szCs w:val="18"/>
              </w:rPr>
            </w:pPr>
            <w:r>
              <w:rPr>
                <w:rFonts w:ascii="宋体" w:hAnsi="宋体"/>
                <w:sz w:val="18"/>
                <w:szCs w:val="18"/>
              </w:rPr>
              <w:t>III</w:t>
            </w:r>
          </w:p>
        </w:tc>
        <w:tc>
          <w:tcPr>
            <w:tcW w:w="1568"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napToGrid w:val="0"/>
                <w:sz w:val="18"/>
                <w:szCs w:val="18"/>
              </w:rPr>
            </w:pPr>
            <w:r>
              <w:rPr>
                <w:rFonts w:ascii="宋体" w:hAnsi="宋体"/>
                <w:sz w:val="18"/>
                <w:szCs w:val="18"/>
              </w:rPr>
              <w:t>50≤P＜70</w:t>
            </w:r>
          </w:p>
        </w:tc>
        <w:tc>
          <w:tcPr>
            <w:tcW w:w="2933"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napToGrid w:val="0"/>
                <w:sz w:val="18"/>
                <w:szCs w:val="18"/>
              </w:rPr>
            </w:pPr>
            <w:r>
              <w:rPr>
                <w:rFonts w:ascii="宋体" w:hAnsi="宋体"/>
                <w:sz w:val="18"/>
                <w:szCs w:val="18"/>
              </w:rPr>
              <w:t>路段塌陷影响因素较复杂，塌陷风险一般</w:t>
            </w:r>
          </w:p>
        </w:tc>
      </w:tr>
      <w:tr w:rsidR="00274D4E">
        <w:trPr>
          <w:trHeight w:val="567"/>
          <w:jc w:val="center"/>
        </w:trPr>
        <w:tc>
          <w:tcPr>
            <w:tcW w:w="498"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napToGrid w:val="0"/>
                <w:sz w:val="18"/>
                <w:szCs w:val="18"/>
              </w:rPr>
            </w:pPr>
            <w:r>
              <w:rPr>
                <w:rFonts w:ascii="宋体" w:hAnsi="宋体"/>
                <w:sz w:val="18"/>
                <w:szCs w:val="18"/>
              </w:rPr>
              <w:t>IV</w:t>
            </w:r>
          </w:p>
        </w:tc>
        <w:tc>
          <w:tcPr>
            <w:tcW w:w="1568"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napToGrid w:val="0"/>
                <w:sz w:val="18"/>
                <w:szCs w:val="18"/>
              </w:rPr>
            </w:pPr>
            <w:r>
              <w:rPr>
                <w:rFonts w:ascii="宋体" w:hAnsi="宋体"/>
                <w:sz w:val="18"/>
                <w:szCs w:val="18"/>
              </w:rPr>
              <w:t>30≤P＜50</w:t>
            </w:r>
          </w:p>
        </w:tc>
        <w:tc>
          <w:tcPr>
            <w:tcW w:w="2933"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napToGrid w:val="0"/>
                <w:sz w:val="18"/>
                <w:szCs w:val="18"/>
              </w:rPr>
            </w:pPr>
            <w:r>
              <w:rPr>
                <w:rFonts w:ascii="宋体" w:hAnsi="宋体"/>
                <w:sz w:val="18"/>
                <w:szCs w:val="18"/>
              </w:rPr>
              <w:t>路段整体较好，塌陷风险较小</w:t>
            </w:r>
          </w:p>
        </w:tc>
      </w:tr>
      <w:tr w:rsidR="00274D4E">
        <w:trPr>
          <w:trHeight w:val="567"/>
          <w:jc w:val="center"/>
        </w:trPr>
        <w:tc>
          <w:tcPr>
            <w:tcW w:w="498"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V</w:t>
            </w:r>
          </w:p>
        </w:tc>
        <w:tc>
          <w:tcPr>
            <w:tcW w:w="1568"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0≤P＜30</w:t>
            </w:r>
          </w:p>
        </w:tc>
        <w:tc>
          <w:tcPr>
            <w:tcW w:w="2933"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路段整体好，塌陷风险小</w:t>
            </w:r>
          </w:p>
        </w:tc>
      </w:tr>
    </w:tbl>
    <w:p w:rsidR="00274D4E" w:rsidRDefault="00B5732B" w:rsidP="00754DE2">
      <w:pPr>
        <w:pStyle w:val="aff2"/>
        <w:spacing w:before="156" w:after="156"/>
      </w:pPr>
      <w:r>
        <w:rPr>
          <w:rFonts w:hint="eastAsia"/>
        </w:rPr>
        <w:t>道路整体塌陷风险分级标准</w:t>
      </w:r>
    </w:p>
    <w:tbl>
      <w:tblPr>
        <w:tblW w:w="4500" w:type="pct"/>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662"/>
        <w:gridCol w:w="2696"/>
        <w:gridCol w:w="2163"/>
        <w:gridCol w:w="2916"/>
      </w:tblGrid>
      <w:tr w:rsidR="00274D4E">
        <w:trPr>
          <w:trHeight w:val="605"/>
          <w:jc w:val="center"/>
        </w:trPr>
        <w:tc>
          <w:tcPr>
            <w:tcW w:w="392"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等级</w:t>
            </w:r>
          </w:p>
        </w:tc>
        <w:tc>
          <w:tcPr>
            <w:tcW w:w="1597"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道路中各路段塌陷风险等级比例</w:t>
            </w:r>
          </w:p>
        </w:tc>
        <w:tc>
          <w:tcPr>
            <w:tcW w:w="1281"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文字描述</w:t>
            </w:r>
          </w:p>
        </w:tc>
        <w:tc>
          <w:tcPr>
            <w:tcW w:w="1727"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备注</w:t>
            </w:r>
          </w:p>
        </w:tc>
      </w:tr>
      <w:tr w:rsidR="00274D4E">
        <w:trPr>
          <w:trHeight w:val="1134"/>
          <w:jc w:val="center"/>
        </w:trPr>
        <w:tc>
          <w:tcPr>
            <w:tcW w:w="392" w:type="pct"/>
            <w:tcBorders>
              <w:top w:val="single" w:sz="8" w:space="0" w:color="000000"/>
              <w:bottom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w:t>
            </w:r>
          </w:p>
        </w:tc>
        <w:tc>
          <w:tcPr>
            <w:tcW w:w="1597" w:type="pct"/>
            <w:tcBorders>
              <w:top w:val="single" w:sz="8" w:space="0" w:color="000000"/>
              <w:bottom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I级≥30%；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II级≥50%；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I级+II级≥60%</w:t>
            </w:r>
          </w:p>
        </w:tc>
        <w:tc>
          <w:tcPr>
            <w:tcW w:w="1281" w:type="pct"/>
            <w:tcBorders>
              <w:top w:val="single" w:sz="8" w:space="0" w:color="000000"/>
              <w:bottom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道路整体塌陷影响因素复杂，塌陷风险大</w:t>
            </w:r>
          </w:p>
        </w:tc>
        <w:tc>
          <w:tcPr>
            <w:tcW w:w="1727" w:type="pct"/>
            <w:tcBorders>
              <w:top w:val="single" w:sz="8" w:space="0" w:color="000000"/>
              <w:bottom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以I级和II级风险为主，其他级别为辅，风险高</w:t>
            </w:r>
          </w:p>
        </w:tc>
      </w:tr>
    </w:tbl>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br w:type="page"/>
      </w:r>
    </w:p>
    <w:p w:rsidR="00274D4E" w:rsidRDefault="00B5732B" w:rsidP="00754DE2">
      <w:pPr>
        <w:pStyle w:val="afffff1"/>
        <w:pageBreakBefore/>
        <w:spacing w:beforeLines="50" w:before="156" w:afterLines="50" w:after="156"/>
        <w:ind w:firstLineChars="0" w:firstLine="0"/>
        <w:jc w:val="center"/>
        <w:rPr>
          <w:rFonts w:hAnsi="宋体" w:cs="宋体"/>
        </w:rPr>
      </w:pPr>
      <w:r>
        <w:rPr>
          <w:rFonts w:ascii="黑体" w:eastAsia="黑体" w:hAnsi="黑体" w:cs="黑体" w:hint="eastAsia"/>
        </w:rPr>
        <w:lastRenderedPageBreak/>
        <w:t xml:space="preserve">表13  </w:t>
      </w:r>
      <w:r>
        <w:rPr>
          <w:rFonts w:ascii="黑体" w:eastAsia="黑体" w:hint="eastAsia"/>
        </w:rPr>
        <w:t>道路整体塌陷风险分级标准（续）</w:t>
      </w:r>
    </w:p>
    <w:tbl>
      <w:tblPr>
        <w:tblW w:w="4500" w:type="pct"/>
        <w:jc w:val="center"/>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656"/>
        <w:gridCol w:w="2691"/>
        <w:gridCol w:w="2162"/>
        <w:gridCol w:w="2928"/>
      </w:tblGrid>
      <w:tr w:rsidR="00274D4E">
        <w:trPr>
          <w:trHeight w:val="605"/>
          <w:jc w:val="center"/>
        </w:trPr>
        <w:tc>
          <w:tcPr>
            <w:tcW w:w="389"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等级</w:t>
            </w:r>
          </w:p>
        </w:tc>
        <w:tc>
          <w:tcPr>
            <w:tcW w:w="1594"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道路中各路段塌陷风险等级比例</w:t>
            </w:r>
          </w:p>
        </w:tc>
        <w:tc>
          <w:tcPr>
            <w:tcW w:w="1280"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文字描述</w:t>
            </w:r>
          </w:p>
        </w:tc>
        <w:tc>
          <w:tcPr>
            <w:tcW w:w="1734"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备注</w:t>
            </w:r>
          </w:p>
        </w:tc>
      </w:tr>
      <w:tr w:rsidR="00274D4E">
        <w:trPr>
          <w:trHeight w:val="1134"/>
          <w:jc w:val="center"/>
        </w:trPr>
        <w:tc>
          <w:tcPr>
            <w:tcW w:w="389" w:type="pct"/>
            <w:tcBorders>
              <w:top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II</w:t>
            </w:r>
          </w:p>
        </w:tc>
        <w:tc>
          <w:tcPr>
            <w:tcW w:w="1594" w:type="pct"/>
            <w:tcBorders>
              <w:top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I级＜30%；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30%≤II级＜50%；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III级≥50%；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I级+II级+III级≥60%</w:t>
            </w:r>
          </w:p>
        </w:tc>
        <w:tc>
          <w:tcPr>
            <w:tcW w:w="1280" w:type="pct"/>
            <w:tcBorders>
              <w:top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道路整体塌陷影响因素较复杂，塌陷风险较大</w:t>
            </w:r>
          </w:p>
        </w:tc>
        <w:tc>
          <w:tcPr>
            <w:tcW w:w="1734" w:type="pct"/>
            <w:tcBorders>
              <w:top w:val="single" w:sz="4" w:space="0" w:color="000000"/>
            </w:tcBorders>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以II级和III级风险为主，I级风险为辅，其他级别为辅，风险较高</w:t>
            </w:r>
          </w:p>
        </w:tc>
      </w:tr>
      <w:tr w:rsidR="00274D4E">
        <w:trPr>
          <w:trHeight w:val="1134"/>
          <w:jc w:val="center"/>
        </w:trPr>
        <w:tc>
          <w:tcPr>
            <w:tcW w:w="389"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III</w:t>
            </w:r>
          </w:p>
        </w:tc>
        <w:tc>
          <w:tcPr>
            <w:tcW w:w="1594"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无I级风险，且II级＜30%；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或30%≤III级＜50%；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或IV级＞50%；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或II级+III级+IV级≥60%</w:t>
            </w:r>
          </w:p>
        </w:tc>
        <w:tc>
          <w:tcPr>
            <w:tcW w:w="1280"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道路整体塌陷影响因素较复杂，塌陷风险一般</w:t>
            </w:r>
          </w:p>
        </w:tc>
        <w:tc>
          <w:tcPr>
            <w:tcW w:w="1734"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以III级和IV级风险为主，II级和V级风险为辅，无I级风险，风险一般</w:t>
            </w:r>
          </w:p>
        </w:tc>
      </w:tr>
      <w:tr w:rsidR="00274D4E">
        <w:trPr>
          <w:trHeight w:val="1134"/>
          <w:jc w:val="center"/>
        </w:trPr>
        <w:tc>
          <w:tcPr>
            <w:tcW w:w="389"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IV</w:t>
            </w:r>
          </w:p>
        </w:tc>
        <w:tc>
          <w:tcPr>
            <w:tcW w:w="1594"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无II级及以上风险，且III级＜30%；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或30%≤IV级＜50%；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或V级＜40%；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或III级+IV级+V级≥60%</w:t>
            </w:r>
          </w:p>
        </w:tc>
        <w:tc>
          <w:tcPr>
            <w:tcW w:w="1280" w:type="pct"/>
            <w:shd w:val="clear" w:color="auto" w:fill="auto"/>
            <w:vAlign w:val="center"/>
          </w:tcPr>
          <w:p w:rsidR="00274D4E" w:rsidRDefault="00320CFF">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道路整体</w:t>
            </w:r>
            <w:r w:rsidR="00B5732B">
              <w:rPr>
                <w:rFonts w:ascii="宋体" w:hAnsi="宋体"/>
                <w:sz w:val="18"/>
                <w:szCs w:val="18"/>
              </w:rPr>
              <w:t>较好，塌陷风险较小</w:t>
            </w:r>
          </w:p>
        </w:tc>
        <w:tc>
          <w:tcPr>
            <w:tcW w:w="1734"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以IV级和V级风险为主，III级风险为辅，无I级II级风险，风险较小</w:t>
            </w:r>
          </w:p>
        </w:tc>
      </w:tr>
      <w:tr w:rsidR="00274D4E">
        <w:trPr>
          <w:trHeight w:val="1134"/>
          <w:jc w:val="center"/>
        </w:trPr>
        <w:tc>
          <w:tcPr>
            <w:tcW w:w="389"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V</w:t>
            </w:r>
          </w:p>
        </w:tc>
        <w:tc>
          <w:tcPr>
            <w:tcW w:w="1594"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无III级及以上风险，且IV级＜30%；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或V级≥40%；</w:t>
            </w:r>
          </w:p>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或IV级+V级≥60%</w:t>
            </w:r>
          </w:p>
        </w:tc>
        <w:tc>
          <w:tcPr>
            <w:tcW w:w="1280" w:type="pct"/>
            <w:shd w:val="clear" w:color="auto" w:fill="auto"/>
            <w:vAlign w:val="center"/>
          </w:tcPr>
          <w:p w:rsidR="00274D4E" w:rsidRDefault="00320CFF">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道路整体</w:t>
            </w:r>
            <w:r w:rsidR="00B5732B">
              <w:rPr>
                <w:rFonts w:ascii="宋体" w:hAnsi="宋体"/>
                <w:sz w:val="18"/>
                <w:szCs w:val="18"/>
              </w:rPr>
              <w:t>好，塌陷风险小</w:t>
            </w:r>
          </w:p>
        </w:tc>
        <w:tc>
          <w:tcPr>
            <w:tcW w:w="1734" w:type="pct"/>
            <w:shd w:val="clear" w:color="auto" w:fill="auto"/>
            <w:vAlign w:val="center"/>
          </w:tcPr>
          <w:p w:rsidR="00274D4E" w:rsidRDefault="00B5732B">
            <w:pPr>
              <w:pStyle w:val="afffffffffffb"/>
              <w:adjustRightInd/>
              <w:spacing w:beforeLines="0" w:before="0" w:afterLines="0" w:after="0" w:line="240" w:lineRule="auto"/>
              <w:jc w:val="center"/>
              <w:rPr>
                <w:rFonts w:ascii="宋体" w:hAnsi="宋体" w:hint="default"/>
                <w:sz w:val="18"/>
                <w:szCs w:val="18"/>
              </w:rPr>
            </w:pPr>
            <w:r>
              <w:rPr>
                <w:rFonts w:ascii="宋体" w:hAnsi="宋体"/>
                <w:sz w:val="18"/>
                <w:szCs w:val="18"/>
              </w:rPr>
              <w:t>以V级风险为主，IV级风险为辅，无III级及以上风险，风险小</w:t>
            </w:r>
          </w:p>
        </w:tc>
      </w:tr>
    </w:tbl>
    <w:p w:rsidR="00274D4E" w:rsidRDefault="00B5732B" w:rsidP="00754DE2">
      <w:pPr>
        <w:pStyle w:val="affe"/>
        <w:spacing w:before="156" w:after="156"/>
      </w:pPr>
      <w:bookmarkStart w:id="186" w:name="_Toc7270"/>
      <w:bookmarkStart w:id="187" w:name="_Toc25610"/>
      <w:bookmarkStart w:id="188" w:name="_Toc12586"/>
      <w:r>
        <w:t>风险防控</w:t>
      </w:r>
      <w:bookmarkEnd w:id="186"/>
      <w:bookmarkEnd w:id="187"/>
      <w:bookmarkEnd w:id="188"/>
    </w:p>
    <w:p w:rsidR="00274D4E" w:rsidRDefault="00B5732B" w:rsidP="00754DE2">
      <w:pPr>
        <w:pStyle w:val="afff"/>
        <w:spacing w:before="156" w:after="156"/>
      </w:pPr>
      <w:bookmarkStart w:id="189" w:name="_Toc25882"/>
      <w:bookmarkStart w:id="190" w:name="_Toc29797"/>
      <w:r>
        <w:rPr>
          <w:rFonts w:cs="宋体" w:hint="eastAsia"/>
        </w:rPr>
        <w:t>路基土体坍塌病害</w:t>
      </w:r>
      <w:r>
        <w:rPr>
          <w:rFonts w:hint="eastAsia"/>
        </w:rPr>
        <w:t>防控对策</w:t>
      </w:r>
      <w:bookmarkEnd w:id="189"/>
      <w:bookmarkEnd w:id="190"/>
    </w:p>
    <w:p w:rsidR="00274D4E" w:rsidRDefault="00B5732B">
      <w:pPr>
        <w:pStyle w:val="affffffffc"/>
      </w:pPr>
      <w:r>
        <w:t>风险控制对策应根据</w:t>
      </w:r>
      <w:r>
        <w:rPr>
          <w:rFonts w:hint="eastAsia"/>
        </w:rPr>
        <w:t>路基土体坍塌病害</w:t>
      </w:r>
      <w:r>
        <w:t>风险等级及可实施条件等因素制定。</w:t>
      </w:r>
    </w:p>
    <w:p w:rsidR="00274D4E" w:rsidRDefault="00B5732B">
      <w:pPr>
        <w:pStyle w:val="affffffffc"/>
      </w:pPr>
      <w:r>
        <w:rPr>
          <w:rFonts w:cs="宋体" w:hint="eastAsia"/>
        </w:rPr>
        <w:t>路基土体坍塌病害</w:t>
      </w:r>
      <w:r>
        <w:t>风险控制对策宜根据风险等级按表</w:t>
      </w:r>
      <w:r>
        <w:rPr>
          <w:rFonts w:hint="eastAsia"/>
        </w:rPr>
        <w:t>14</w:t>
      </w:r>
      <w:r>
        <w:t>执行，并应对处理后的</w:t>
      </w:r>
      <w:r>
        <w:rPr>
          <w:rFonts w:hint="eastAsia"/>
        </w:rPr>
        <w:t>病害</w:t>
      </w:r>
      <w:r>
        <w:t>进行处理效果检测</w:t>
      </w:r>
      <w:r>
        <w:rPr>
          <w:rFonts w:hint="eastAsia"/>
        </w:rPr>
        <w:t>；</w:t>
      </w:r>
      <w:r>
        <w:t>若</w:t>
      </w:r>
      <w:r>
        <w:rPr>
          <w:rFonts w:hint="eastAsia"/>
        </w:rPr>
        <w:t>病害</w:t>
      </w:r>
      <w:r>
        <w:t>类型为空洞均需处置。</w:t>
      </w:r>
    </w:p>
    <w:p w:rsidR="00274D4E" w:rsidRDefault="00B5732B" w:rsidP="00754DE2">
      <w:pPr>
        <w:pStyle w:val="aff2"/>
        <w:spacing w:before="156" w:after="156"/>
      </w:pPr>
      <w:r>
        <w:rPr>
          <w:rFonts w:hint="eastAsia"/>
        </w:rPr>
        <w:t>地下病害风险控制对策</w:t>
      </w:r>
    </w:p>
    <w:tbl>
      <w:tblPr>
        <w:tblStyle w:val="TableNormal"/>
        <w:tblW w:w="4500" w:type="pct"/>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160"/>
        <w:gridCol w:w="1410"/>
        <w:gridCol w:w="5867"/>
      </w:tblGrid>
      <w:tr w:rsidR="00274D4E">
        <w:trPr>
          <w:trHeight w:val="794"/>
          <w:jc w:val="center"/>
        </w:trPr>
        <w:tc>
          <w:tcPr>
            <w:tcW w:w="687"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风险等级</w:t>
            </w:r>
          </w:p>
        </w:tc>
        <w:tc>
          <w:tcPr>
            <w:tcW w:w="835"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说明</w:t>
            </w:r>
          </w:p>
        </w:tc>
        <w:tc>
          <w:tcPr>
            <w:tcW w:w="3476" w:type="pct"/>
            <w:tcBorders>
              <w:bottom w:val="single" w:sz="8" w:space="0" w:color="000000"/>
            </w:tcBorders>
            <w:vAlign w:val="center"/>
          </w:tcPr>
          <w:p w:rsidR="00274D4E" w:rsidRDefault="00B5732B">
            <w:pPr>
              <w:pStyle w:val="afffb"/>
              <w:adjustRightInd/>
              <w:spacing w:line="240" w:lineRule="auto"/>
              <w:jc w:val="center"/>
              <w:rPr>
                <w:rFonts w:ascii="宋体" w:eastAsia="宋体" w:hAnsi="宋体" w:cs="宋体"/>
                <w:b/>
                <w:bCs/>
                <w:sz w:val="18"/>
                <w:szCs w:val="18"/>
              </w:rPr>
            </w:pPr>
            <w:r>
              <w:rPr>
                <w:rFonts w:ascii="宋体" w:eastAsia="宋体" w:hAnsi="宋体" w:cs="宋体" w:hint="eastAsia"/>
                <w:b/>
                <w:bCs/>
                <w:sz w:val="18"/>
                <w:szCs w:val="18"/>
              </w:rPr>
              <w:t>控制对策</w:t>
            </w:r>
          </w:p>
        </w:tc>
      </w:tr>
      <w:tr w:rsidR="00274D4E">
        <w:trPr>
          <w:trHeight w:val="1134"/>
          <w:jc w:val="center"/>
        </w:trPr>
        <w:tc>
          <w:tcPr>
            <w:tcW w:w="687" w:type="pct"/>
            <w:tcBorders>
              <w:top w:val="single" w:sz="8" w:space="0" w:color="000000"/>
              <w:bottom w:val="single" w:sz="4"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I</w:t>
            </w:r>
          </w:p>
        </w:tc>
        <w:tc>
          <w:tcPr>
            <w:tcW w:w="835" w:type="pct"/>
            <w:tcBorders>
              <w:top w:val="single" w:sz="8" w:space="0" w:color="000000"/>
              <w:bottom w:val="single" w:sz="4"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风险极高</w:t>
            </w:r>
          </w:p>
        </w:tc>
        <w:tc>
          <w:tcPr>
            <w:tcW w:w="3476" w:type="pct"/>
            <w:tcBorders>
              <w:top w:val="single" w:sz="8" w:space="0" w:color="000000"/>
              <w:bottom w:val="single" w:sz="4" w:space="0" w:color="000000"/>
            </w:tcBorders>
            <w:vAlign w:val="center"/>
          </w:tcPr>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1 立即封闭围挡；</w:t>
            </w:r>
          </w:p>
          <w:p w:rsidR="00274D4E" w:rsidRDefault="00B5732B" w:rsidP="00754DE2">
            <w:pPr>
              <w:pStyle w:val="afffffffffffb"/>
              <w:spacing w:beforeLines="0" w:before="0" w:afterLines="0" w:after="0" w:line="240" w:lineRule="auto"/>
              <w:ind w:firstLineChars="114" w:firstLine="219"/>
              <w:rPr>
                <w:rFonts w:ascii="宋体" w:hAnsi="宋体" w:hint="default"/>
                <w:sz w:val="18"/>
                <w:szCs w:val="18"/>
              </w:rPr>
            </w:pPr>
            <w:r>
              <w:rPr>
                <w:rFonts w:ascii="宋体" w:hAnsi="宋体"/>
                <w:sz w:val="18"/>
                <w:szCs w:val="18"/>
              </w:rPr>
              <w:t>2 立即工程处理</w:t>
            </w:r>
          </w:p>
        </w:tc>
      </w:tr>
      <w:tr w:rsidR="00274D4E">
        <w:trPr>
          <w:trHeight w:val="1134"/>
          <w:jc w:val="center"/>
        </w:trPr>
        <w:tc>
          <w:tcPr>
            <w:tcW w:w="687" w:type="pct"/>
            <w:tcBorders>
              <w:top w:val="single" w:sz="4" w:space="0" w:color="000000"/>
              <w:bottom w:val="single" w:sz="4"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II</w:t>
            </w:r>
          </w:p>
        </w:tc>
        <w:tc>
          <w:tcPr>
            <w:tcW w:w="835" w:type="pct"/>
            <w:tcBorders>
              <w:top w:val="single" w:sz="4" w:space="0" w:color="000000"/>
              <w:bottom w:val="single" w:sz="4"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风险较高</w:t>
            </w:r>
          </w:p>
        </w:tc>
        <w:tc>
          <w:tcPr>
            <w:tcW w:w="3476" w:type="pct"/>
            <w:tcBorders>
              <w:top w:val="single" w:sz="4" w:space="0" w:color="000000"/>
              <w:bottom w:val="single" w:sz="4" w:space="0" w:color="000000"/>
            </w:tcBorders>
            <w:vAlign w:val="center"/>
          </w:tcPr>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1 限制使用，创造条件尽快工程处理；</w:t>
            </w:r>
          </w:p>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2 处理前进行定期巡视和检测，并对病害体风险进行动态评估；</w:t>
            </w:r>
          </w:p>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3 巡视频率不低于 1 次/3 天；</w:t>
            </w:r>
          </w:p>
          <w:p w:rsidR="00274D4E" w:rsidRDefault="00B5732B" w:rsidP="00754DE2">
            <w:pPr>
              <w:pStyle w:val="afffffffffffb"/>
              <w:spacing w:beforeLines="0" w:before="0" w:afterLines="0" w:after="0" w:line="240" w:lineRule="auto"/>
              <w:ind w:firstLineChars="114" w:firstLine="219"/>
              <w:rPr>
                <w:rFonts w:ascii="宋体" w:hAnsi="宋体" w:hint="default"/>
                <w:sz w:val="18"/>
                <w:szCs w:val="18"/>
              </w:rPr>
            </w:pPr>
            <w:r>
              <w:rPr>
                <w:rFonts w:ascii="宋体" w:hAnsi="宋体"/>
                <w:sz w:val="18"/>
                <w:szCs w:val="18"/>
              </w:rPr>
              <w:t>4 检测频率不低于 1 次/7 天</w:t>
            </w:r>
          </w:p>
        </w:tc>
      </w:tr>
    </w:tbl>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br w:type="page"/>
      </w:r>
    </w:p>
    <w:p w:rsidR="00274D4E" w:rsidRDefault="00B5732B" w:rsidP="00754DE2">
      <w:pPr>
        <w:pStyle w:val="afffff1"/>
        <w:pageBreakBefore/>
        <w:spacing w:beforeLines="50" w:before="156" w:afterLines="50" w:after="156"/>
        <w:ind w:firstLineChars="0" w:firstLine="0"/>
        <w:jc w:val="center"/>
        <w:rPr>
          <w:rFonts w:hAnsi="宋体" w:cs="宋体"/>
        </w:rPr>
      </w:pPr>
      <w:r>
        <w:rPr>
          <w:rFonts w:ascii="黑体" w:eastAsia="黑体" w:hAnsi="黑体" w:cs="黑体" w:hint="eastAsia"/>
        </w:rPr>
        <w:lastRenderedPageBreak/>
        <w:t>表14  地下病害风险控制对策</w:t>
      </w:r>
      <w:r>
        <w:rPr>
          <w:rFonts w:hAnsi="宋体" w:cs="宋体" w:hint="eastAsia"/>
        </w:rPr>
        <w:t>（续）</w:t>
      </w:r>
    </w:p>
    <w:tbl>
      <w:tblPr>
        <w:tblStyle w:val="TableNormal"/>
        <w:tblW w:w="4500" w:type="pct"/>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ook w:val="04A0" w:firstRow="1" w:lastRow="0" w:firstColumn="1" w:lastColumn="0" w:noHBand="0" w:noVBand="1"/>
      </w:tblPr>
      <w:tblGrid>
        <w:gridCol w:w="1160"/>
        <w:gridCol w:w="1410"/>
        <w:gridCol w:w="5867"/>
      </w:tblGrid>
      <w:tr w:rsidR="00274D4E">
        <w:trPr>
          <w:trHeight w:val="1020"/>
          <w:jc w:val="center"/>
        </w:trPr>
        <w:tc>
          <w:tcPr>
            <w:tcW w:w="687" w:type="pct"/>
            <w:tcBorders>
              <w:top w:val="single" w:sz="4"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III</w:t>
            </w:r>
          </w:p>
        </w:tc>
        <w:tc>
          <w:tcPr>
            <w:tcW w:w="835" w:type="pct"/>
            <w:tcBorders>
              <w:top w:val="single" w:sz="4" w:space="0" w:color="000000"/>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rPr>
            </w:pPr>
            <w:r>
              <w:rPr>
                <w:rFonts w:ascii="宋体" w:hAnsi="宋体"/>
                <w:sz w:val="18"/>
                <w:szCs w:val="18"/>
              </w:rPr>
              <w:t>风险一般</w:t>
            </w:r>
          </w:p>
        </w:tc>
        <w:tc>
          <w:tcPr>
            <w:tcW w:w="3476" w:type="pct"/>
            <w:tcBorders>
              <w:top w:val="single" w:sz="4" w:space="0" w:color="000000"/>
            </w:tcBorders>
            <w:vAlign w:val="center"/>
          </w:tcPr>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1 建议工程处理，处理前进行定期巡视和检测；</w:t>
            </w:r>
          </w:p>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2 巡视频率不低于 1 次/15 天；</w:t>
            </w:r>
          </w:p>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3 检测频率不低于 1 次/1 月；</w:t>
            </w:r>
          </w:p>
          <w:p w:rsidR="00274D4E" w:rsidRDefault="00B5732B" w:rsidP="00754DE2">
            <w:pPr>
              <w:pStyle w:val="afffffffffffb"/>
              <w:widowControl/>
              <w:kinsoku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4 列为道路养护重点范围</w:t>
            </w:r>
          </w:p>
        </w:tc>
      </w:tr>
      <w:tr w:rsidR="00274D4E">
        <w:trPr>
          <w:trHeight w:val="1020"/>
          <w:jc w:val="center"/>
        </w:trPr>
        <w:tc>
          <w:tcPr>
            <w:tcW w:w="687"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lang w:eastAsia="en-US"/>
              </w:rPr>
            </w:pPr>
            <w:r>
              <w:rPr>
                <w:rFonts w:ascii="宋体" w:hAnsi="宋体"/>
                <w:sz w:val="18"/>
                <w:szCs w:val="18"/>
              </w:rPr>
              <w:t>IV</w:t>
            </w:r>
          </w:p>
        </w:tc>
        <w:tc>
          <w:tcPr>
            <w:tcW w:w="835"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lang w:eastAsia="en-US"/>
              </w:rPr>
            </w:pPr>
            <w:r>
              <w:rPr>
                <w:rFonts w:ascii="宋体" w:hAnsi="宋体"/>
                <w:sz w:val="18"/>
                <w:szCs w:val="18"/>
              </w:rPr>
              <w:t>风险较低</w:t>
            </w:r>
          </w:p>
        </w:tc>
        <w:tc>
          <w:tcPr>
            <w:tcW w:w="3476" w:type="pct"/>
            <w:vAlign w:val="center"/>
          </w:tcPr>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1 定期巡视，巡视频率不低于 1 次/1 月；</w:t>
            </w:r>
          </w:p>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2 定期检测，检测频率不低于 1 次/3 月；</w:t>
            </w:r>
          </w:p>
          <w:p w:rsidR="00274D4E" w:rsidRDefault="00B5732B" w:rsidP="00754DE2">
            <w:pPr>
              <w:pStyle w:val="afffffffffffb"/>
              <w:widowControl/>
              <w:kinsoku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3 列为道路病害检测年度计划</w:t>
            </w:r>
          </w:p>
        </w:tc>
      </w:tr>
      <w:tr w:rsidR="00274D4E">
        <w:trPr>
          <w:trHeight w:val="1020"/>
          <w:jc w:val="center"/>
        </w:trPr>
        <w:tc>
          <w:tcPr>
            <w:tcW w:w="687"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lang w:eastAsia="en-US"/>
              </w:rPr>
            </w:pPr>
            <w:r>
              <w:rPr>
                <w:rFonts w:ascii="宋体" w:hAnsi="宋体"/>
                <w:sz w:val="18"/>
                <w:szCs w:val="18"/>
              </w:rPr>
              <w:t>V</w:t>
            </w:r>
          </w:p>
        </w:tc>
        <w:tc>
          <w:tcPr>
            <w:tcW w:w="835" w:type="pct"/>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sz w:val="18"/>
                <w:szCs w:val="18"/>
                <w:lang w:eastAsia="en-US"/>
              </w:rPr>
            </w:pPr>
            <w:r>
              <w:rPr>
                <w:rFonts w:ascii="宋体" w:hAnsi="宋体"/>
                <w:sz w:val="18"/>
                <w:szCs w:val="18"/>
              </w:rPr>
              <w:t>风险很低</w:t>
            </w:r>
          </w:p>
        </w:tc>
        <w:tc>
          <w:tcPr>
            <w:tcW w:w="3476" w:type="pct"/>
            <w:vAlign w:val="center"/>
          </w:tcPr>
          <w:p w:rsidR="00274D4E" w:rsidRDefault="00B5732B" w:rsidP="00754DE2">
            <w:pPr>
              <w:pStyle w:val="afffffffffffb"/>
              <w:widowControl/>
              <w:kinsoku w:val="0"/>
              <w:topLinePunct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1 定期巡视，巡视频率不低于 1 次/3 月；</w:t>
            </w:r>
          </w:p>
          <w:p w:rsidR="00274D4E" w:rsidRDefault="00B5732B" w:rsidP="00754DE2">
            <w:pPr>
              <w:pStyle w:val="afffffffffffb"/>
              <w:widowControl/>
              <w:kinsoku w:val="0"/>
              <w:snapToGrid w:val="0"/>
              <w:spacing w:beforeLines="0" w:before="0" w:afterLines="0" w:after="0" w:line="240" w:lineRule="auto"/>
              <w:ind w:firstLineChars="114" w:firstLine="219"/>
              <w:textAlignment w:val="baseline"/>
              <w:rPr>
                <w:rFonts w:ascii="宋体" w:hAnsi="宋体" w:hint="default"/>
                <w:sz w:val="18"/>
                <w:szCs w:val="18"/>
              </w:rPr>
            </w:pPr>
            <w:r>
              <w:rPr>
                <w:rFonts w:ascii="宋体" w:hAnsi="宋体"/>
                <w:sz w:val="18"/>
                <w:szCs w:val="18"/>
              </w:rPr>
              <w:t>2 定期检测，检测频率不低于 1 次/6 月</w:t>
            </w:r>
          </w:p>
        </w:tc>
      </w:tr>
    </w:tbl>
    <w:p w:rsidR="00274D4E" w:rsidRDefault="00B5732B" w:rsidP="00754DE2">
      <w:pPr>
        <w:pStyle w:val="afff"/>
        <w:spacing w:before="156" w:after="156"/>
      </w:pPr>
      <w:bookmarkStart w:id="191" w:name="_Toc16783"/>
      <w:bookmarkStart w:id="192" w:name="_Toc14742"/>
      <w:r>
        <w:rPr>
          <w:rFonts w:hint="eastAsia"/>
        </w:rPr>
        <w:t>道路塌陷防控对策</w:t>
      </w:r>
      <w:bookmarkEnd w:id="191"/>
      <w:bookmarkEnd w:id="192"/>
    </w:p>
    <w:p w:rsidR="00274D4E" w:rsidRDefault="00B5732B">
      <w:pPr>
        <w:pStyle w:val="affffffffc"/>
      </w:pPr>
      <w:r>
        <w:rPr>
          <w:rFonts w:hint="eastAsia"/>
        </w:rPr>
        <w:t>道路塌陷风险控制对策应结合道路致塌风险特点和养护要求，加强年度巡查、巡检、维修与地下病害检测，宜按表15执行。</w:t>
      </w:r>
    </w:p>
    <w:p w:rsidR="00274D4E" w:rsidRDefault="00B5732B" w:rsidP="00754DE2">
      <w:pPr>
        <w:pStyle w:val="aff2"/>
        <w:spacing w:before="156" w:after="156"/>
      </w:pPr>
      <w:r>
        <w:rPr>
          <w:rFonts w:hint="eastAsia"/>
        </w:rPr>
        <w:t>道路塌陷风险控制对策</w:t>
      </w:r>
    </w:p>
    <w:tbl>
      <w:tblPr>
        <w:tblW w:w="45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6"/>
        <w:gridCol w:w="1605"/>
        <w:gridCol w:w="5676"/>
      </w:tblGrid>
      <w:tr w:rsidR="00274D4E">
        <w:trPr>
          <w:trHeight w:val="567"/>
          <w:jc w:val="center"/>
        </w:trPr>
        <w:tc>
          <w:tcPr>
            <w:tcW w:w="1109" w:type="dxa"/>
            <w:tcBorders>
              <w:bottom w:val="single" w:sz="8" w:space="0" w:color="auto"/>
            </w:tcBorders>
            <w:vAlign w:val="center"/>
          </w:tcPr>
          <w:p w:rsidR="00274D4E" w:rsidRDefault="00B5732B">
            <w:pPr>
              <w:pStyle w:val="afffffffffffb"/>
              <w:widowControl/>
              <w:kinsoku w:val="0"/>
              <w:snapToGrid w:val="0"/>
              <w:spacing w:beforeLines="0" w:afterLines="0" w:line="240" w:lineRule="auto"/>
              <w:jc w:val="center"/>
              <w:textAlignment w:val="baseline"/>
              <w:rPr>
                <w:rFonts w:ascii="宋体" w:hAnsi="宋体" w:hint="default"/>
                <w:b/>
                <w:bCs/>
                <w:sz w:val="18"/>
                <w:szCs w:val="18"/>
              </w:rPr>
            </w:pPr>
            <w:r>
              <w:rPr>
                <w:rFonts w:ascii="宋体" w:hAnsi="宋体"/>
                <w:b/>
                <w:bCs/>
                <w:sz w:val="18"/>
                <w:szCs w:val="18"/>
              </w:rPr>
              <w:t>风险等级</w:t>
            </w:r>
          </w:p>
        </w:tc>
        <w:tc>
          <w:tcPr>
            <w:tcW w:w="1540" w:type="dxa"/>
            <w:tcBorders>
              <w:bottom w:val="single" w:sz="8" w:space="0" w:color="auto"/>
            </w:tcBorders>
            <w:vAlign w:val="center"/>
          </w:tcPr>
          <w:p w:rsidR="00274D4E" w:rsidRDefault="00B5732B">
            <w:pPr>
              <w:pStyle w:val="afffffffffffb"/>
              <w:widowControl/>
              <w:kinsoku w:val="0"/>
              <w:snapToGrid w:val="0"/>
              <w:spacing w:beforeLines="0" w:before="0" w:afterLines="0" w:after="0" w:line="240" w:lineRule="auto"/>
              <w:jc w:val="center"/>
              <w:textAlignment w:val="baseline"/>
              <w:rPr>
                <w:rFonts w:ascii="宋体" w:hAnsi="宋体" w:hint="default"/>
                <w:b/>
                <w:bCs/>
                <w:sz w:val="18"/>
                <w:szCs w:val="18"/>
              </w:rPr>
            </w:pPr>
            <w:r>
              <w:rPr>
                <w:rFonts w:ascii="宋体" w:hAnsi="宋体"/>
                <w:b/>
                <w:bCs/>
                <w:sz w:val="18"/>
                <w:szCs w:val="18"/>
              </w:rPr>
              <w:t>等级说明</w:t>
            </w:r>
          </w:p>
        </w:tc>
        <w:tc>
          <w:tcPr>
            <w:tcW w:w="5447" w:type="dxa"/>
            <w:tcBorders>
              <w:bottom w:val="single" w:sz="8" w:space="0" w:color="auto"/>
            </w:tcBorders>
            <w:vAlign w:val="center"/>
          </w:tcPr>
          <w:p w:rsidR="00274D4E" w:rsidRDefault="00B5732B">
            <w:pPr>
              <w:pStyle w:val="afffffffffffb"/>
              <w:widowControl/>
              <w:kinsoku w:val="0"/>
              <w:snapToGrid w:val="0"/>
              <w:spacing w:beforeLines="0" w:afterLines="0" w:line="240" w:lineRule="auto"/>
              <w:jc w:val="center"/>
              <w:textAlignment w:val="baseline"/>
              <w:rPr>
                <w:rFonts w:ascii="宋体" w:hAnsi="宋体" w:hint="default"/>
                <w:b/>
                <w:bCs/>
                <w:sz w:val="18"/>
                <w:szCs w:val="18"/>
              </w:rPr>
            </w:pPr>
            <w:r>
              <w:rPr>
                <w:rFonts w:ascii="宋体" w:hAnsi="宋体"/>
                <w:b/>
                <w:bCs/>
                <w:sz w:val="18"/>
                <w:szCs w:val="18"/>
              </w:rPr>
              <w:t>控制对策</w:t>
            </w:r>
          </w:p>
        </w:tc>
      </w:tr>
      <w:tr w:rsidR="00274D4E">
        <w:trPr>
          <w:trHeight w:val="1134"/>
          <w:jc w:val="center"/>
        </w:trPr>
        <w:tc>
          <w:tcPr>
            <w:tcW w:w="1109" w:type="dxa"/>
            <w:tcBorders>
              <w:top w:val="single" w:sz="8" w:space="0" w:color="auto"/>
            </w:tcBorders>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I</w:t>
            </w:r>
          </w:p>
        </w:tc>
        <w:tc>
          <w:tcPr>
            <w:tcW w:w="1540" w:type="dxa"/>
            <w:tcBorders>
              <w:top w:val="single" w:sz="8" w:space="0" w:color="auto"/>
            </w:tcBorders>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风险极高</w:t>
            </w:r>
          </w:p>
        </w:tc>
        <w:tc>
          <w:tcPr>
            <w:tcW w:w="5447" w:type="dxa"/>
            <w:tcBorders>
              <w:top w:val="single" w:sz="8" w:space="0" w:color="auto"/>
            </w:tcBorders>
            <w:vAlign w:val="center"/>
          </w:tcPr>
          <w:p w:rsidR="00274D4E" w:rsidRDefault="00B5732B" w:rsidP="00754DE2">
            <w:pPr>
              <w:pStyle w:val="afffffffffffb"/>
              <w:spacing w:beforeLines="0" w:afterLines="0" w:line="240" w:lineRule="auto"/>
              <w:ind w:leftChars="104" w:left="218" w:firstLineChars="113" w:firstLine="217"/>
              <w:jc w:val="left"/>
              <w:rPr>
                <w:rFonts w:ascii="宋体" w:hAnsi="宋体" w:hint="default"/>
                <w:sz w:val="18"/>
                <w:szCs w:val="18"/>
              </w:rPr>
            </w:pPr>
            <w:r>
              <w:rPr>
                <w:rFonts w:ascii="宋体" w:hAnsi="宋体"/>
                <w:sz w:val="18"/>
                <w:szCs w:val="18"/>
              </w:rPr>
              <w:t>1 加强道路巡查、维修，必要时停止运行；</w:t>
            </w:r>
          </w:p>
          <w:p w:rsidR="00274D4E" w:rsidRDefault="00B5732B" w:rsidP="00754DE2">
            <w:pPr>
              <w:pStyle w:val="afffffffffffb"/>
              <w:spacing w:beforeLines="0" w:afterLines="0" w:line="240" w:lineRule="auto"/>
              <w:ind w:leftChars="104" w:left="218" w:firstLineChars="113" w:firstLine="217"/>
              <w:jc w:val="left"/>
              <w:rPr>
                <w:rFonts w:ascii="宋体" w:hAnsi="宋体" w:hint="default"/>
                <w:sz w:val="18"/>
                <w:szCs w:val="18"/>
              </w:rPr>
            </w:pPr>
            <w:r>
              <w:rPr>
                <w:rFonts w:ascii="宋体" w:hAnsi="宋体"/>
                <w:sz w:val="18"/>
                <w:szCs w:val="18"/>
              </w:rPr>
              <w:t>2 提高道路路基土体坍塌病害检测频率，2~3次/年；</w:t>
            </w:r>
          </w:p>
          <w:p w:rsidR="00274D4E" w:rsidRDefault="00B5732B" w:rsidP="00754DE2">
            <w:pPr>
              <w:pStyle w:val="afffffffffffb"/>
              <w:spacing w:beforeLines="0" w:afterLines="0" w:line="240" w:lineRule="auto"/>
              <w:ind w:leftChars="104" w:left="218" w:firstLineChars="113" w:firstLine="217"/>
              <w:jc w:val="left"/>
              <w:rPr>
                <w:rFonts w:ascii="宋体" w:hAnsi="宋体" w:hint="default"/>
                <w:sz w:val="18"/>
                <w:szCs w:val="18"/>
              </w:rPr>
            </w:pPr>
            <w:r>
              <w:rPr>
                <w:rFonts w:ascii="宋体" w:hAnsi="宋体"/>
                <w:sz w:val="18"/>
                <w:szCs w:val="18"/>
              </w:rPr>
              <w:t>3 开展道路路基土体坍塌病害成因专项调查检测，确定主要风险因素，视条件进行治理</w:t>
            </w:r>
          </w:p>
        </w:tc>
      </w:tr>
      <w:tr w:rsidR="00274D4E">
        <w:trPr>
          <w:trHeight w:val="1134"/>
          <w:jc w:val="center"/>
        </w:trPr>
        <w:tc>
          <w:tcPr>
            <w:tcW w:w="1109"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II</w:t>
            </w:r>
          </w:p>
        </w:tc>
        <w:tc>
          <w:tcPr>
            <w:tcW w:w="1540"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风险较高</w:t>
            </w:r>
          </w:p>
        </w:tc>
        <w:tc>
          <w:tcPr>
            <w:tcW w:w="5447" w:type="dxa"/>
            <w:vAlign w:val="center"/>
          </w:tcPr>
          <w:p w:rsidR="00274D4E" w:rsidRDefault="00B5732B" w:rsidP="00754DE2">
            <w:pPr>
              <w:pStyle w:val="afffffffffffb"/>
              <w:spacing w:beforeLines="0" w:afterLines="0" w:line="240" w:lineRule="auto"/>
              <w:ind w:leftChars="104" w:left="218" w:firstLineChars="113" w:firstLine="217"/>
              <w:jc w:val="left"/>
              <w:rPr>
                <w:rFonts w:ascii="宋体" w:hAnsi="宋体" w:hint="default"/>
                <w:sz w:val="18"/>
                <w:szCs w:val="18"/>
              </w:rPr>
            </w:pPr>
            <w:r>
              <w:rPr>
                <w:rFonts w:ascii="宋体" w:hAnsi="宋体"/>
                <w:sz w:val="18"/>
                <w:szCs w:val="18"/>
              </w:rPr>
              <w:t>1 加强道路巡查与监测，必要时限制重点路段运行；</w:t>
            </w:r>
          </w:p>
          <w:p w:rsidR="00274D4E" w:rsidRDefault="00B5732B" w:rsidP="00754DE2">
            <w:pPr>
              <w:pStyle w:val="afffffffffffb"/>
              <w:spacing w:beforeLines="0" w:afterLines="0" w:line="240" w:lineRule="auto"/>
              <w:ind w:leftChars="104" w:left="218" w:firstLineChars="113" w:firstLine="217"/>
              <w:jc w:val="left"/>
              <w:rPr>
                <w:rFonts w:ascii="宋体" w:hAnsi="宋体" w:hint="default"/>
                <w:sz w:val="18"/>
                <w:szCs w:val="18"/>
              </w:rPr>
            </w:pPr>
            <w:r>
              <w:rPr>
                <w:rFonts w:ascii="宋体" w:hAnsi="宋体"/>
                <w:sz w:val="18"/>
                <w:szCs w:val="18"/>
              </w:rPr>
              <w:t>2 提高道路路基土体坍塌病害检测频率，1~2次/年；</w:t>
            </w:r>
          </w:p>
          <w:p w:rsidR="00274D4E" w:rsidRDefault="00B5732B" w:rsidP="00754DE2">
            <w:pPr>
              <w:pStyle w:val="afffffffffffb"/>
              <w:spacing w:beforeLines="0" w:afterLines="0" w:line="240" w:lineRule="auto"/>
              <w:ind w:leftChars="104" w:left="218" w:firstLineChars="113" w:firstLine="217"/>
              <w:jc w:val="left"/>
              <w:rPr>
                <w:rFonts w:ascii="宋体" w:hAnsi="宋体" w:hint="default"/>
                <w:sz w:val="18"/>
                <w:szCs w:val="18"/>
              </w:rPr>
            </w:pPr>
            <w:r>
              <w:rPr>
                <w:rFonts w:ascii="宋体" w:hAnsi="宋体"/>
                <w:sz w:val="18"/>
                <w:szCs w:val="18"/>
              </w:rPr>
              <w:t xml:space="preserve">3 开展道路路基土体坍塌病害成因专项调查检测，确定主要风险因素，视条件进行治理 </w:t>
            </w:r>
          </w:p>
        </w:tc>
      </w:tr>
      <w:tr w:rsidR="00274D4E">
        <w:trPr>
          <w:trHeight w:val="1134"/>
          <w:jc w:val="center"/>
        </w:trPr>
        <w:tc>
          <w:tcPr>
            <w:tcW w:w="1109"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III</w:t>
            </w:r>
          </w:p>
        </w:tc>
        <w:tc>
          <w:tcPr>
            <w:tcW w:w="1540"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风险一般</w:t>
            </w:r>
          </w:p>
        </w:tc>
        <w:tc>
          <w:tcPr>
            <w:tcW w:w="5447" w:type="dxa"/>
            <w:vAlign w:val="center"/>
          </w:tcPr>
          <w:p w:rsidR="00274D4E" w:rsidRDefault="00B5732B" w:rsidP="00754DE2">
            <w:pPr>
              <w:pStyle w:val="afffffffffffb"/>
              <w:widowControl/>
              <w:kinsoku w:val="0"/>
              <w:snapToGrid w:val="0"/>
              <w:spacing w:beforeLines="0" w:before="0" w:afterLines="0" w:after="0" w:line="240" w:lineRule="auto"/>
              <w:ind w:leftChars="104" w:left="218" w:firstLineChars="113" w:firstLine="217"/>
              <w:jc w:val="left"/>
              <w:textAlignment w:val="baseline"/>
              <w:rPr>
                <w:rFonts w:ascii="宋体" w:hAnsi="宋体" w:hint="default"/>
                <w:sz w:val="18"/>
                <w:szCs w:val="18"/>
              </w:rPr>
            </w:pPr>
            <w:r>
              <w:rPr>
                <w:rFonts w:ascii="宋体" w:hAnsi="宋体"/>
                <w:sz w:val="18"/>
                <w:szCs w:val="18"/>
              </w:rPr>
              <w:t>1 优先列为道路路基土体坍塌病害检测计划，检测频率不低于 1 次/年；</w:t>
            </w:r>
          </w:p>
          <w:p w:rsidR="00274D4E" w:rsidRDefault="00B5732B" w:rsidP="00754DE2">
            <w:pPr>
              <w:pStyle w:val="afffffffffffb"/>
              <w:widowControl/>
              <w:kinsoku w:val="0"/>
              <w:snapToGrid w:val="0"/>
              <w:spacing w:beforeLines="0" w:before="0" w:afterLines="0" w:after="0" w:line="240" w:lineRule="auto"/>
              <w:ind w:leftChars="104" w:left="218" w:firstLineChars="113" w:firstLine="217"/>
              <w:jc w:val="left"/>
              <w:textAlignment w:val="baseline"/>
              <w:rPr>
                <w:rFonts w:ascii="宋体" w:hAnsi="宋体" w:hint="default"/>
                <w:sz w:val="18"/>
                <w:szCs w:val="18"/>
              </w:rPr>
            </w:pPr>
            <w:r>
              <w:rPr>
                <w:rFonts w:ascii="宋体" w:hAnsi="宋体"/>
                <w:sz w:val="18"/>
                <w:szCs w:val="18"/>
              </w:rPr>
              <w:t>2 对于道路塌陷致塌因素进行检测与工程治理</w:t>
            </w:r>
          </w:p>
        </w:tc>
      </w:tr>
      <w:tr w:rsidR="00274D4E">
        <w:trPr>
          <w:trHeight w:val="1134"/>
          <w:jc w:val="center"/>
        </w:trPr>
        <w:tc>
          <w:tcPr>
            <w:tcW w:w="1109"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IV</w:t>
            </w:r>
          </w:p>
        </w:tc>
        <w:tc>
          <w:tcPr>
            <w:tcW w:w="1540"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风险较低</w:t>
            </w:r>
          </w:p>
        </w:tc>
        <w:tc>
          <w:tcPr>
            <w:tcW w:w="5447" w:type="dxa"/>
            <w:vAlign w:val="center"/>
          </w:tcPr>
          <w:p w:rsidR="00274D4E" w:rsidRDefault="00B5732B" w:rsidP="00754DE2">
            <w:pPr>
              <w:pStyle w:val="afffffffffffb"/>
              <w:widowControl/>
              <w:kinsoku w:val="0"/>
              <w:snapToGrid w:val="0"/>
              <w:spacing w:beforeLines="0" w:before="0" w:afterLines="0" w:after="0" w:line="240" w:lineRule="auto"/>
              <w:ind w:leftChars="104" w:left="218" w:firstLineChars="113" w:firstLine="217"/>
              <w:jc w:val="left"/>
              <w:textAlignment w:val="baseline"/>
              <w:rPr>
                <w:rFonts w:ascii="宋体" w:hAnsi="宋体" w:hint="default"/>
                <w:sz w:val="18"/>
                <w:szCs w:val="18"/>
              </w:rPr>
            </w:pPr>
            <w:r>
              <w:rPr>
                <w:rFonts w:ascii="宋体" w:hAnsi="宋体"/>
                <w:sz w:val="18"/>
                <w:szCs w:val="18"/>
              </w:rPr>
              <w:t>1 可列入正常开展道路路基土体坍塌病害检测计划</w:t>
            </w:r>
          </w:p>
          <w:p w:rsidR="00274D4E" w:rsidRDefault="00B5732B" w:rsidP="00754DE2">
            <w:pPr>
              <w:pStyle w:val="afffffffffffb"/>
              <w:widowControl/>
              <w:kinsoku w:val="0"/>
              <w:snapToGrid w:val="0"/>
              <w:spacing w:beforeLines="0" w:before="0" w:afterLines="0" w:after="0" w:line="240" w:lineRule="auto"/>
              <w:ind w:leftChars="104" w:left="218" w:firstLineChars="113" w:firstLine="217"/>
              <w:jc w:val="left"/>
              <w:textAlignment w:val="baseline"/>
              <w:rPr>
                <w:rFonts w:ascii="宋体" w:hAnsi="宋体" w:hint="default"/>
                <w:sz w:val="18"/>
                <w:szCs w:val="18"/>
              </w:rPr>
            </w:pPr>
            <w:r>
              <w:rPr>
                <w:rFonts w:ascii="宋体" w:hAnsi="宋体"/>
                <w:sz w:val="18"/>
                <w:szCs w:val="18"/>
              </w:rPr>
              <w:t>2 加强既有道路病害体分布区的巡查、巡检、维修</w:t>
            </w:r>
          </w:p>
        </w:tc>
      </w:tr>
      <w:tr w:rsidR="00274D4E">
        <w:trPr>
          <w:trHeight w:val="1134"/>
          <w:jc w:val="center"/>
        </w:trPr>
        <w:tc>
          <w:tcPr>
            <w:tcW w:w="1109"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V</w:t>
            </w:r>
          </w:p>
        </w:tc>
        <w:tc>
          <w:tcPr>
            <w:tcW w:w="1540" w:type="dxa"/>
            <w:vAlign w:val="center"/>
          </w:tcPr>
          <w:p w:rsidR="00274D4E" w:rsidRDefault="00B5732B" w:rsidP="00754DE2">
            <w:pPr>
              <w:pStyle w:val="afffffffffffb"/>
              <w:widowControl/>
              <w:kinsoku w:val="0"/>
              <w:snapToGrid w:val="0"/>
              <w:spacing w:before="124" w:after="124" w:line="240" w:lineRule="auto"/>
              <w:jc w:val="center"/>
              <w:textAlignment w:val="baseline"/>
              <w:rPr>
                <w:rFonts w:ascii="宋体" w:hAnsi="宋体" w:hint="default"/>
                <w:sz w:val="18"/>
                <w:szCs w:val="18"/>
              </w:rPr>
            </w:pPr>
            <w:r>
              <w:rPr>
                <w:rFonts w:ascii="宋体" w:hAnsi="宋体"/>
                <w:sz w:val="18"/>
                <w:szCs w:val="18"/>
              </w:rPr>
              <w:t>风险很低</w:t>
            </w:r>
          </w:p>
        </w:tc>
        <w:tc>
          <w:tcPr>
            <w:tcW w:w="5447" w:type="dxa"/>
            <w:vAlign w:val="center"/>
          </w:tcPr>
          <w:p w:rsidR="00274D4E" w:rsidRDefault="00B5732B" w:rsidP="00754DE2">
            <w:pPr>
              <w:pStyle w:val="afffffffffffb"/>
              <w:widowControl/>
              <w:kinsoku w:val="0"/>
              <w:snapToGrid w:val="0"/>
              <w:spacing w:beforeLines="0" w:before="0" w:afterLines="0" w:after="0" w:line="240" w:lineRule="auto"/>
              <w:ind w:leftChars="104" w:left="218" w:firstLineChars="113" w:firstLine="217"/>
              <w:jc w:val="left"/>
              <w:textAlignment w:val="baseline"/>
              <w:rPr>
                <w:rFonts w:ascii="宋体" w:hAnsi="宋体" w:hint="default"/>
                <w:sz w:val="18"/>
                <w:szCs w:val="18"/>
              </w:rPr>
            </w:pPr>
            <w:r>
              <w:rPr>
                <w:rFonts w:ascii="宋体" w:hAnsi="宋体"/>
                <w:sz w:val="18"/>
                <w:szCs w:val="18"/>
              </w:rPr>
              <w:t>1 开展正常道路巡查、巡检、维修和路基土体坍塌病害检测工作</w:t>
            </w:r>
          </w:p>
        </w:tc>
      </w:tr>
    </w:tbl>
    <w:p w:rsidR="00274D4E" w:rsidRDefault="00B5732B">
      <w:pPr>
        <w:pStyle w:val="affffffffc"/>
      </w:pPr>
      <w:r>
        <w:rPr>
          <w:rFonts w:hint="eastAsia"/>
        </w:rPr>
        <w:t>当道路风险等级发生变化时，应按相应级别采取防控措施。</w:t>
      </w:r>
    </w:p>
    <w:p w:rsidR="00274D4E" w:rsidRDefault="00B5732B">
      <w:pPr>
        <w:pStyle w:val="affffffffc"/>
      </w:pPr>
      <w:r>
        <w:rPr>
          <w:rFonts w:hint="eastAsia"/>
        </w:rPr>
        <w:t>当地下管道出现突发问题或地下施工发生突发事故时，应按照其影响程度重新进行道路塌陷风险评估并据此采取对策。</w:t>
      </w:r>
    </w:p>
    <w:p w:rsidR="00274D4E" w:rsidRDefault="00B5732B">
      <w:pPr>
        <w:pStyle w:val="affffffffc"/>
      </w:pPr>
      <w:r>
        <w:rPr>
          <w:rFonts w:hint="eastAsia"/>
        </w:rPr>
        <w:lastRenderedPageBreak/>
        <w:t>当道路上存在具有一定规模的废弃管线、不明的废弃人防等设施时，应直接定为I级风险，采取对应措施。</w:t>
      </w:r>
    </w:p>
    <w:p w:rsidR="00274D4E" w:rsidRDefault="00B5732B" w:rsidP="00754DE2">
      <w:pPr>
        <w:pStyle w:val="affe"/>
        <w:spacing w:before="156" w:after="156"/>
      </w:pPr>
      <w:bookmarkStart w:id="193" w:name="_Toc14216"/>
      <w:bookmarkStart w:id="194" w:name="_Toc8752"/>
      <w:bookmarkStart w:id="195" w:name="_Toc27082"/>
      <w:r>
        <w:t>工程处置</w:t>
      </w:r>
      <w:bookmarkStart w:id="196" w:name="_Toc16868"/>
      <w:bookmarkEnd w:id="193"/>
      <w:bookmarkEnd w:id="194"/>
      <w:bookmarkEnd w:id="195"/>
    </w:p>
    <w:p w:rsidR="00274D4E" w:rsidRDefault="00B5732B" w:rsidP="00754DE2">
      <w:pPr>
        <w:pStyle w:val="afff"/>
        <w:spacing w:before="156" w:after="156"/>
      </w:pPr>
      <w:bookmarkStart w:id="197" w:name="_Toc30187"/>
      <w:r>
        <w:rPr>
          <w:rFonts w:hint="eastAsia"/>
        </w:rPr>
        <w:t>处置原则</w:t>
      </w:r>
      <w:bookmarkEnd w:id="196"/>
      <w:bookmarkEnd w:id="197"/>
    </w:p>
    <w:p w:rsidR="00274D4E" w:rsidRDefault="00B5732B">
      <w:pPr>
        <w:pStyle w:val="affffffffc"/>
      </w:pPr>
      <w:r>
        <w:t>处置应遵循</w:t>
      </w:r>
      <w:r>
        <w:t>“</w:t>
      </w:r>
      <w:r>
        <w:rPr>
          <w:rFonts w:hint="eastAsia"/>
        </w:rPr>
        <w:t>严重优先、</w:t>
      </w:r>
      <w:r>
        <w:t>分类治理、风险可控</w:t>
      </w:r>
      <w:r>
        <w:t>”</w:t>
      </w:r>
      <w:r>
        <w:t>的原则，依据</w:t>
      </w:r>
      <w:r>
        <w:rPr>
          <w:rFonts w:hint="eastAsia"/>
        </w:rPr>
        <w:t>地下病害类型及风险等级确定处置方式。</w:t>
      </w:r>
    </w:p>
    <w:p w:rsidR="00274D4E" w:rsidRDefault="00B5732B">
      <w:pPr>
        <w:pStyle w:val="affffffffc"/>
      </w:pPr>
      <w:r>
        <w:t>处置施工前</w:t>
      </w:r>
      <w:r>
        <w:rPr>
          <w:rFonts w:hint="eastAsia"/>
        </w:rPr>
        <w:t>应确认路基土体坍塌病害相关信息，做好地下管线及其他建构筑物保护。</w:t>
      </w:r>
    </w:p>
    <w:p w:rsidR="00274D4E" w:rsidRDefault="00B5732B" w:rsidP="00754DE2">
      <w:pPr>
        <w:pStyle w:val="afff"/>
        <w:spacing w:before="156" w:after="156"/>
      </w:pPr>
      <w:bookmarkStart w:id="198" w:name="_Toc4148"/>
      <w:bookmarkStart w:id="199" w:name="_Toc21194"/>
      <w:r>
        <w:rPr>
          <w:rFonts w:hint="eastAsia"/>
        </w:rPr>
        <w:t>处置流程</w:t>
      </w:r>
      <w:bookmarkEnd w:id="198"/>
      <w:bookmarkEnd w:id="199"/>
    </w:p>
    <w:p w:rsidR="00274D4E" w:rsidRDefault="00B5732B" w:rsidP="00754DE2">
      <w:pPr>
        <w:pStyle w:val="afffff1"/>
        <w:ind w:firstLine="420"/>
      </w:pPr>
      <w:r>
        <w:rPr>
          <w:rFonts w:hint="eastAsia"/>
        </w:rPr>
        <w:t>病害进行处置时，应按照“病害确认-处置实施-结果验证”的流程开展。</w:t>
      </w:r>
    </w:p>
    <w:p w:rsidR="00274D4E" w:rsidRDefault="00B5732B" w:rsidP="00754DE2">
      <w:pPr>
        <w:pStyle w:val="afff"/>
        <w:spacing w:before="156" w:after="156"/>
      </w:pPr>
      <w:bookmarkStart w:id="200" w:name="_Toc29192"/>
      <w:bookmarkStart w:id="201" w:name="_Toc1648"/>
      <w:r>
        <w:rPr>
          <w:rFonts w:hint="eastAsia"/>
        </w:rPr>
        <w:t>处置方式</w:t>
      </w:r>
      <w:bookmarkEnd w:id="200"/>
      <w:bookmarkEnd w:id="201"/>
    </w:p>
    <w:p w:rsidR="00274D4E" w:rsidRDefault="00B5732B" w:rsidP="00754DE2">
      <w:pPr>
        <w:pStyle w:val="afffff1"/>
        <w:ind w:firstLine="420"/>
      </w:pPr>
      <w:r>
        <w:rPr>
          <w:rFonts w:hint="eastAsia"/>
        </w:rPr>
        <w:t>根据道路地下病害类型、</w:t>
      </w:r>
      <w:r>
        <w:t>所在位置、</w:t>
      </w:r>
      <w:r>
        <w:rPr>
          <w:rFonts w:hint="eastAsia"/>
        </w:rPr>
        <w:t>埋深</w:t>
      </w:r>
      <w:r>
        <w:t>、大小</w:t>
      </w:r>
      <w:r>
        <w:rPr>
          <w:rFonts w:hint="eastAsia"/>
        </w:rPr>
        <w:t>及</w:t>
      </w:r>
      <w:r>
        <w:t>施工对交通</w:t>
      </w:r>
      <w:r>
        <w:rPr>
          <w:rFonts w:hint="eastAsia"/>
        </w:rPr>
        <w:t>和地下管线</w:t>
      </w:r>
      <w:r>
        <w:t>的影响等因素综合</w:t>
      </w:r>
      <w:r>
        <w:rPr>
          <w:rFonts w:hint="eastAsia"/>
        </w:rPr>
        <w:t>确定工程处置措施</w:t>
      </w:r>
      <w:r>
        <w:t>，</w:t>
      </w:r>
      <w:r>
        <w:rPr>
          <w:rFonts w:hint="eastAsia"/>
        </w:rPr>
        <w:t>可选用</w:t>
      </w:r>
      <w:r>
        <w:t>注浆加固、开挖换填、局部加固</w:t>
      </w:r>
      <w:r>
        <w:rPr>
          <w:rFonts w:hint="eastAsia"/>
        </w:rPr>
        <w:t>或综合方法</w:t>
      </w:r>
      <w:r>
        <w:t>等</w:t>
      </w:r>
      <w:r>
        <w:rPr>
          <w:rFonts w:hint="eastAsia"/>
        </w:rPr>
        <w:t>处置措施</w:t>
      </w:r>
      <w:r>
        <w:t>。</w:t>
      </w:r>
    </w:p>
    <w:p w:rsidR="00274D4E" w:rsidRDefault="00B5732B" w:rsidP="00754DE2">
      <w:pPr>
        <w:pStyle w:val="affd"/>
        <w:spacing w:before="312" w:after="312"/>
      </w:pPr>
      <w:bookmarkStart w:id="202" w:name="BookMark7"/>
      <w:r>
        <w:rPr>
          <w:rFonts w:cs="黑体" w:hint="eastAsia"/>
        </w:rPr>
        <w:t>成果编制与信息管理</w:t>
      </w:r>
    </w:p>
    <w:p w:rsidR="00274D4E" w:rsidRDefault="00B5732B" w:rsidP="00754DE2">
      <w:pPr>
        <w:pStyle w:val="affe"/>
        <w:spacing w:before="156" w:after="156"/>
      </w:pPr>
      <w:bookmarkStart w:id="203" w:name="_Toc22244"/>
      <w:bookmarkStart w:id="204" w:name="_Toc8194"/>
      <w:r>
        <w:rPr>
          <w:rFonts w:hint="eastAsia"/>
        </w:rPr>
        <w:t>一般规定</w:t>
      </w:r>
      <w:bookmarkEnd w:id="203"/>
      <w:bookmarkEnd w:id="204"/>
    </w:p>
    <w:p w:rsidR="00274D4E" w:rsidRDefault="00B5732B">
      <w:pPr>
        <w:pStyle w:val="affffffffd"/>
      </w:pPr>
      <w:r>
        <w:rPr>
          <w:rFonts w:hint="eastAsia"/>
        </w:rPr>
        <w:t>成果资料应包括原始数据、成果报告、成果信息表等，路基土体坍塌病害检测成果资料尚应包括病害信息卡等。</w:t>
      </w:r>
    </w:p>
    <w:p w:rsidR="00274D4E" w:rsidRDefault="00B5732B">
      <w:pPr>
        <w:pStyle w:val="affffffffd"/>
      </w:pPr>
      <w:r>
        <w:rPr>
          <w:rFonts w:hint="eastAsia"/>
        </w:rPr>
        <w:t>根据项目特点，路基土体坍塌病害检测成果报告可分为常规检测成果报告和应急检测成果报告。</w:t>
      </w:r>
    </w:p>
    <w:p w:rsidR="00274D4E" w:rsidRDefault="00B5732B">
      <w:pPr>
        <w:pStyle w:val="affffffffd"/>
      </w:pPr>
      <w:r>
        <w:rPr>
          <w:rFonts w:hint="eastAsia"/>
        </w:rPr>
        <w:t>成果资料应经过审核、审批后方可交付，并按规定及时归档。</w:t>
      </w:r>
    </w:p>
    <w:p w:rsidR="00274D4E" w:rsidRDefault="00B5732B">
      <w:pPr>
        <w:pStyle w:val="affffffffd"/>
      </w:pPr>
      <w:r>
        <w:rPr>
          <w:rFonts w:hint="eastAsia"/>
        </w:rPr>
        <w:t>成果资料应建立统一的资料组成、数据格式和报送格式，并形成相应的电子信息，满足相关信息化管理的要求。</w:t>
      </w:r>
    </w:p>
    <w:p w:rsidR="00274D4E" w:rsidRDefault="00B5732B" w:rsidP="00754DE2">
      <w:pPr>
        <w:pStyle w:val="affe"/>
        <w:spacing w:before="156" w:after="156"/>
      </w:pPr>
      <w:bookmarkStart w:id="205" w:name="_Toc16293"/>
      <w:bookmarkStart w:id="206" w:name="_Toc16786"/>
      <w:r>
        <w:rPr>
          <w:rFonts w:hint="eastAsia"/>
        </w:rPr>
        <w:t>成果资料</w:t>
      </w:r>
      <w:bookmarkEnd w:id="205"/>
      <w:bookmarkEnd w:id="206"/>
    </w:p>
    <w:p w:rsidR="00274D4E" w:rsidRDefault="00B5732B">
      <w:pPr>
        <w:pStyle w:val="affffffffd"/>
      </w:pPr>
      <w:r>
        <w:t>原始数据文件数量应于现场记录单数量一致，保证文件可打开</w:t>
      </w:r>
      <w:r>
        <w:rPr>
          <w:rFonts w:hint="eastAsia"/>
        </w:rPr>
        <w:t>，记录单格式见附录A</w:t>
      </w:r>
      <w:r>
        <w:t>。</w:t>
      </w:r>
    </w:p>
    <w:p w:rsidR="00274D4E" w:rsidRDefault="00B5732B">
      <w:pPr>
        <w:pStyle w:val="affffffffd"/>
      </w:pPr>
      <w:r>
        <w:t>成果</w:t>
      </w:r>
      <w:r>
        <w:rPr>
          <w:rFonts w:hint="eastAsia"/>
        </w:rPr>
        <w:t>报告</w:t>
      </w:r>
      <w:r>
        <w:t>应结合</w:t>
      </w:r>
      <w:r>
        <w:rPr>
          <w:rFonts w:hint="eastAsia"/>
        </w:rPr>
        <w:t>项目</w:t>
      </w:r>
      <w:r>
        <w:t>特点和</w:t>
      </w:r>
      <w:r>
        <w:rPr>
          <w:rFonts w:hint="eastAsia"/>
        </w:rPr>
        <w:t>委托方</w:t>
      </w:r>
      <w:r>
        <w:t>要求</w:t>
      </w:r>
      <w:r>
        <w:rPr>
          <w:rFonts w:hint="eastAsia"/>
        </w:rPr>
        <w:t>，</w:t>
      </w:r>
      <w:r>
        <w:t>根据搜集的资料、现场检测</w:t>
      </w:r>
      <w:r>
        <w:rPr>
          <w:rFonts w:hint="eastAsia"/>
        </w:rPr>
        <w:t>、</w:t>
      </w:r>
      <w:r>
        <w:t>验证</w:t>
      </w:r>
      <w:r>
        <w:rPr>
          <w:rFonts w:hint="eastAsia"/>
        </w:rPr>
        <w:t>结果等内容，路基土体坍塌病害检测时还应包括风险评定等内容：</w:t>
      </w:r>
    </w:p>
    <w:p w:rsidR="00274D4E" w:rsidRDefault="00B5732B">
      <w:pPr>
        <w:pStyle w:val="af9"/>
        <w:numPr>
          <w:ilvl w:val="0"/>
          <w:numId w:val="74"/>
        </w:numPr>
        <w:tabs>
          <w:tab w:val="clear" w:pos="851"/>
        </w:tabs>
      </w:pPr>
      <w:r>
        <w:rPr>
          <w:rFonts w:hint="eastAsia"/>
        </w:rPr>
        <w:t>工程概况，描述工程基本信息、地理位置、场地环境等内容，简要分析现场环境对工作方法选择的影响与检测中的应对措施；</w:t>
      </w:r>
    </w:p>
    <w:p w:rsidR="00274D4E" w:rsidRDefault="00B5732B">
      <w:pPr>
        <w:pStyle w:val="af9"/>
        <w:numPr>
          <w:ilvl w:val="0"/>
          <w:numId w:val="74"/>
        </w:numPr>
        <w:tabs>
          <w:tab w:val="clear" w:pos="851"/>
        </w:tabs>
      </w:pPr>
      <w:r>
        <w:rPr>
          <w:rFonts w:hint="eastAsia"/>
        </w:rPr>
        <w:t>工作依据，检测工作所依据的规范标准、任务书、合同或相关技术文件等；</w:t>
      </w:r>
    </w:p>
    <w:p w:rsidR="00274D4E" w:rsidRDefault="00B5732B">
      <w:pPr>
        <w:pStyle w:val="af9"/>
        <w:numPr>
          <w:ilvl w:val="0"/>
          <w:numId w:val="74"/>
        </w:numPr>
        <w:tabs>
          <w:tab w:val="clear" w:pos="851"/>
        </w:tabs>
      </w:pPr>
      <w:r>
        <w:rPr>
          <w:rFonts w:hint="eastAsia"/>
        </w:rPr>
        <w:t>工作方法，详细介绍工作流程、工作方法、数据采集及参数选择、测线（网）布设、数据处理、数据解释等；</w:t>
      </w:r>
    </w:p>
    <w:p w:rsidR="00274D4E" w:rsidRDefault="00B5732B">
      <w:pPr>
        <w:pStyle w:val="af9"/>
        <w:numPr>
          <w:ilvl w:val="0"/>
          <w:numId w:val="74"/>
        </w:numPr>
        <w:tabs>
          <w:tab w:val="clear" w:pos="851"/>
        </w:tabs>
      </w:pPr>
      <w:r>
        <w:rPr>
          <w:rFonts w:hint="eastAsia"/>
        </w:rPr>
        <w:t>仪器设备，介绍项目实施过程中投入的主要仪器设备、数量及性能指标；</w:t>
      </w:r>
    </w:p>
    <w:p w:rsidR="00274D4E" w:rsidRDefault="00B5732B">
      <w:pPr>
        <w:pStyle w:val="af9"/>
        <w:numPr>
          <w:ilvl w:val="0"/>
          <w:numId w:val="74"/>
        </w:numPr>
        <w:tabs>
          <w:tab w:val="clear" w:pos="851"/>
        </w:tabs>
      </w:pPr>
      <w:r>
        <w:rPr>
          <w:rFonts w:hint="eastAsia"/>
        </w:rPr>
        <w:t>检测成果，应包括根据分析结果汇总的病害信息、根据各种资料对病害进行的风险评价，应表现为文字总结、病害信息卡、图件、表格等形式；</w:t>
      </w:r>
    </w:p>
    <w:p w:rsidR="00274D4E" w:rsidRDefault="00B5732B">
      <w:pPr>
        <w:pStyle w:val="af9"/>
        <w:numPr>
          <w:ilvl w:val="0"/>
          <w:numId w:val="74"/>
        </w:numPr>
        <w:tabs>
          <w:tab w:val="clear" w:pos="851"/>
        </w:tabs>
      </w:pPr>
      <w:r>
        <w:rPr>
          <w:rFonts w:hint="eastAsia"/>
        </w:rPr>
        <w:t>结论及建议，论述检测工作的结论，指出存在的问题，提出对城市道路病害的处治建议；</w:t>
      </w:r>
    </w:p>
    <w:p w:rsidR="00274D4E" w:rsidRDefault="00B5732B">
      <w:pPr>
        <w:pStyle w:val="af9"/>
        <w:numPr>
          <w:ilvl w:val="0"/>
          <w:numId w:val="74"/>
        </w:numPr>
        <w:tabs>
          <w:tab w:val="clear" w:pos="851"/>
        </w:tabs>
      </w:pPr>
      <w:r>
        <w:rPr>
          <w:rFonts w:hint="eastAsia"/>
        </w:rPr>
        <w:t>成果附图；</w:t>
      </w:r>
    </w:p>
    <w:p w:rsidR="00274D4E" w:rsidRDefault="00B5732B">
      <w:pPr>
        <w:pStyle w:val="af9"/>
        <w:numPr>
          <w:ilvl w:val="0"/>
          <w:numId w:val="74"/>
        </w:numPr>
        <w:tabs>
          <w:tab w:val="clear" w:pos="851"/>
        </w:tabs>
      </w:pPr>
      <w:r>
        <w:rPr>
          <w:rFonts w:hint="eastAsia"/>
        </w:rPr>
        <w:t>成果附表。</w:t>
      </w:r>
    </w:p>
    <w:p w:rsidR="00274D4E" w:rsidRDefault="00B5732B">
      <w:pPr>
        <w:pStyle w:val="affffffffd"/>
      </w:pPr>
      <w:r>
        <w:rPr>
          <w:rFonts w:hint="eastAsia"/>
        </w:rPr>
        <w:t>路基土体坍塌病害应急检测应包括以下内容：</w:t>
      </w:r>
    </w:p>
    <w:p w:rsidR="00274D4E" w:rsidRDefault="00B5732B">
      <w:pPr>
        <w:pStyle w:val="af9"/>
        <w:numPr>
          <w:ilvl w:val="0"/>
          <w:numId w:val="75"/>
        </w:numPr>
        <w:tabs>
          <w:tab w:val="clear" w:pos="851"/>
        </w:tabs>
      </w:pPr>
      <w:r>
        <w:rPr>
          <w:rFonts w:hint="eastAsia"/>
        </w:rPr>
        <w:lastRenderedPageBreak/>
        <w:t>工程概况；</w:t>
      </w:r>
    </w:p>
    <w:p w:rsidR="00274D4E" w:rsidRDefault="00B5732B">
      <w:pPr>
        <w:pStyle w:val="af9"/>
        <w:numPr>
          <w:ilvl w:val="0"/>
          <w:numId w:val="75"/>
        </w:numPr>
        <w:tabs>
          <w:tab w:val="clear" w:pos="851"/>
        </w:tabs>
      </w:pPr>
      <w:r>
        <w:rPr>
          <w:rFonts w:hint="eastAsia"/>
        </w:rPr>
        <w:t>检测目的及范围；</w:t>
      </w:r>
    </w:p>
    <w:p w:rsidR="00274D4E" w:rsidRDefault="00B5732B">
      <w:pPr>
        <w:pStyle w:val="af9"/>
        <w:numPr>
          <w:ilvl w:val="0"/>
          <w:numId w:val="75"/>
        </w:numPr>
        <w:tabs>
          <w:tab w:val="clear" w:pos="851"/>
        </w:tabs>
      </w:pPr>
      <w:r>
        <w:rPr>
          <w:rFonts w:hint="eastAsia"/>
        </w:rPr>
        <w:t>检测依据；</w:t>
      </w:r>
    </w:p>
    <w:p w:rsidR="00274D4E" w:rsidRDefault="00B5732B">
      <w:pPr>
        <w:pStyle w:val="af9"/>
        <w:numPr>
          <w:ilvl w:val="0"/>
          <w:numId w:val="75"/>
        </w:numPr>
        <w:tabs>
          <w:tab w:val="clear" w:pos="851"/>
        </w:tabs>
      </w:pPr>
      <w:r>
        <w:rPr>
          <w:rFonts w:hint="eastAsia"/>
        </w:rPr>
        <w:t>现场实施；</w:t>
      </w:r>
    </w:p>
    <w:p w:rsidR="00274D4E" w:rsidRDefault="00B5732B">
      <w:pPr>
        <w:pStyle w:val="af9"/>
        <w:numPr>
          <w:ilvl w:val="0"/>
          <w:numId w:val="75"/>
        </w:numPr>
        <w:tabs>
          <w:tab w:val="clear" w:pos="851"/>
        </w:tabs>
      </w:pPr>
      <w:r>
        <w:rPr>
          <w:rFonts w:hint="eastAsia"/>
        </w:rPr>
        <w:t>检测成果。</w:t>
      </w:r>
    </w:p>
    <w:p w:rsidR="00274D4E" w:rsidRDefault="00B5732B">
      <w:pPr>
        <w:pStyle w:val="affffffffd"/>
      </w:pPr>
      <w:r>
        <w:rPr>
          <w:rFonts w:hint="eastAsia"/>
        </w:rPr>
        <w:t>路基土体坍塌病害</w:t>
      </w:r>
      <w:r>
        <w:t>信息卡应能够全面描述</w:t>
      </w:r>
      <w:r>
        <w:rPr>
          <w:rFonts w:hint="eastAsia"/>
        </w:rPr>
        <w:t>病害</w:t>
      </w:r>
      <w:r>
        <w:t>信息，包括</w:t>
      </w:r>
      <w:r>
        <w:rPr>
          <w:rFonts w:hint="eastAsia"/>
        </w:rPr>
        <w:t>以下内容：</w:t>
      </w:r>
    </w:p>
    <w:p w:rsidR="00274D4E" w:rsidRDefault="00B5732B">
      <w:pPr>
        <w:pStyle w:val="af8"/>
        <w:numPr>
          <w:ilvl w:val="0"/>
          <w:numId w:val="76"/>
        </w:numPr>
      </w:pPr>
      <w:r>
        <w:t>病害编号；</w:t>
      </w:r>
    </w:p>
    <w:p w:rsidR="00274D4E" w:rsidRDefault="00B5732B">
      <w:pPr>
        <w:pStyle w:val="af8"/>
        <w:numPr>
          <w:ilvl w:val="0"/>
          <w:numId w:val="76"/>
        </w:numPr>
      </w:pPr>
      <w:r>
        <w:t>病害属性与规模，包括类型、长度、宽度、深度、面积；</w:t>
      </w:r>
    </w:p>
    <w:p w:rsidR="00274D4E" w:rsidRDefault="00B5732B">
      <w:pPr>
        <w:pStyle w:val="af8"/>
        <w:numPr>
          <w:ilvl w:val="0"/>
          <w:numId w:val="76"/>
        </w:numPr>
      </w:pPr>
      <w:r>
        <w:t>现况路面情况；</w:t>
      </w:r>
    </w:p>
    <w:p w:rsidR="00274D4E" w:rsidRDefault="00B5732B">
      <w:pPr>
        <w:pStyle w:val="af8"/>
        <w:numPr>
          <w:ilvl w:val="0"/>
          <w:numId w:val="76"/>
        </w:numPr>
      </w:pPr>
      <w:r>
        <w:t>病害位置；</w:t>
      </w:r>
    </w:p>
    <w:p w:rsidR="00274D4E" w:rsidRDefault="00B5732B">
      <w:pPr>
        <w:pStyle w:val="af8"/>
        <w:numPr>
          <w:ilvl w:val="0"/>
          <w:numId w:val="76"/>
        </w:numPr>
      </w:pPr>
      <w:r>
        <w:t>病害地理位置示意图、现场照片、</w:t>
      </w:r>
      <w:r>
        <w:rPr>
          <w:rFonts w:hint="eastAsia"/>
        </w:rPr>
        <w:t>探地</w:t>
      </w:r>
      <w:r>
        <w:t>雷达检测图谱、周边管线示意图；</w:t>
      </w:r>
    </w:p>
    <w:p w:rsidR="00274D4E" w:rsidRDefault="00B5732B">
      <w:pPr>
        <w:pStyle w:val="af8"/>
        <w:numPr>
          <w:ilvl w:val="0"/>
          <w:numId w:val="76"/>
        </w:numPr>
      </w:pPr>
      <w:r>
        <w:t>病害风险评价；</w:t>
      </w:r>
    </w:p>
    <w:p w:rsidR="00274D4E" w:rsidRDefault="00B5732B">
      <w:pPr>
        <w:pStyle w:val="af8"/>
        <w:numPr>
          <w:ilvl w:val="0"/>
          <w:numId w:val="76"/>
        </w:numPr>
      </w:pPr>
      <w:r>
        <w:t>病害成因分析；</w:t>
      </w:r>
    </w:p>
    <w:p w:rsidR="00274D4E" w:rsidRDefault="00B5732B">
      <w:pPr>
        <w:pStyle w:val="af8"/>
        <w:numPr>
          <w:ilvl w:val="0"/>
          <w:numId w:val="76"/>
        </w:numPr>
      </w:pPr>
      <w:r>
        <w:t>处理建议。</w:t>
      </w:r>
    </w:p>
    <w:p w:rsidR="00274D4E" w:rsidRDefault="00B5732B">
      <w:pPr>
        <w:pStyle w:val="affffffffd"/>
      </w:pPr>
      <w:r>
        <w:t>成果图件和表格应保证与成果报告中的描述一致，保证信息完整、真实有效。</w:t>
      </w:r>
    </w:p>
    <w:p w:rsidR="00274D4E" w:rsidRDefault="00B5732B" w:rsidP="00754DE2">
      <w:pPr>
        <w:pStyle w:val="affe"/>
        <w:spacing w:before="156" w:after="156"/>
      </w:pPr>
      <w:bookmarkStart w:id="207" w:name="_Toc3229"/>
      <w:bookmarkStart w:id="208" w:name="_Toc5611"/>
      <w:r>
        <w:rPr>
          <w:rFonts w:hint="eastAsia"/>
        </w:rPr>
        <w:t>信息化管理</w:t>
      </w:r>
      <w:bookmarkEnd w:id="207"/>
      <w:bookmarkEnd w:id="208"/>
    </w:p>
    <w:p w:rsidR="00274D4E" w:rsidRDefault="00B5732B">
      <w:pPr>
        <w:pStyle w:val="affffffffd"/>
      </w:pPr>
      <w:r>
        <w:rPr>
          <w:rStyle w:val="NormalCharacter"/>
          <w:rFonts w:ascii="Times New Roman" w:hint="eastAsia"/>
          <w:bCs/>
          <w:color w:val="000000"/>
        </w:rPr>
        <w:t>病害</w:t>
      </w:r>
      <w:r>
        <w:rPr>
          <w:rStyle w:val="NormalCharacter"/>
          <w:rFonts w:ascii="Times New Roman"/>
          <w:bCs/>
          <w:color w:val="000000"/>
        </w:rPr>
        <w:t>成果的信息化管理</w:t>
      </w:r>
      <w:r>
        <w:rPr>
          <w:rStyle w:val="NormalCharacter"/>
          <w:rFonts w:ascii="Times New Roman" w:hint="eastAsia"/>
          <w:bCs/>
          <w:color w:val="000000"/>
        </w:rPr>
        <w:t>宜</w:t>
      </w:r>
      <w:r>
        <w:rPr>
          <w:rStyle w:val="NormalCharacter"/>
          <w:rFonts w:ascii="Times New Roman"/>
          <w:bCs/>
          <w:color w:val="000000"/>
        </w:rPr>
        <w:t>基于基础地理信息平台，输入统一格式的</w:t>
      </w:r>
      <w:r>
        <w:rPr>
          <w:rStyle w:val="NormalCharacter"/>
          <w:rFonts w:ascii="Times New Roman" w:hint="eastAsia"/>
          <w:bCs/>
          <w:color w:val="000000"/>
        </w:rPr>
        <w:t>病害</w:t>
      </w:r>
      <w:r>
        <w:rPr>
          <w:rStyle w:val="NormalCharacter"/>
          <w:rFonts w:ascii="Times New Roman"/>
          <w:bCs/>
          <w:color w:val="000000"/>
        </w:rPr>
        <w:t>资料和周边环境资料，构建信息管理系统，动态</w:t>
      </w:r>
      <w:r>
        <w:rPr>
          <w:rStyle w:val="NormalCharacter"/>
          <w:rFonts w:ascii="Times New Roman" w:hint="eastAsia"/>
          <w:bCs/>
          <w:color w:val="000000"/>
        </w:rPr>
        <w:t>跟踪病害</w:t>
      </w:r>
      <w:r>
        <w:rPr>
          <w:rStyle w:val="NormalCharacter"/>
          <w:rFonts w:ascii="Times New Roman"/>
          <w:bCs/>
          <w:color w:val="000000"/>
        </w:rPr>
        <w:t>的发展趋势。</w:t>
      </w:r>
    </w:p>
    <w:p w:rsidR="00274D4E" w:rsidRDefault="00B5732B">
      <w:pPr>
        <w:pStyle w:val="affffffffd"/>
      </w:pPr>
      <w:r>
        <w:rPr>
          <w:rFonts w:hint="eastAsia"/>
        </w:rPr>
        <w:t>检测测线轨迹和数据库的构建除应符合现行国家标准GB/T33453和JGJ/T437的相关规定外，应包括病害的空间信息和属性信息，其中空间信息应包括坐标和埋深等，属性信息应包括病害类型、规模、风险等级和处置状态等。</w:t>
      </w:r>
    </w:p>
    <w:p w:rsidR="00274D4E" w:rsidRDefault="00B5732B">
      <w:pPr>
        <w:pStyle w:val="affffffffd"/>
      </w:pPr>
      <w:r>
        <w:rPr>
          <w:rFonts w:hint="eastAsia"/>
        </w:rPr>
        <w:t>数据库宜根据病害的检测监测、工程处理结果及时更新，并保留历史数据。</w:t>
      </w:r>
    </w:p>
    <w:p w:rsidR="00274D4E" w:rsidRDefault="00B5732B">
      <w:pPr>
        <w:pStyle w:val="affffffffd"/>
      </w:pPr>
      <w:r>
        <w:rPr>
          <w:rFonts w:hint="eastAsia"/>
        </w:rPr>
        <w:t>信息管理系统应具备数据输入、编辑、查询、统计、分析等基本功能，宜具备三维可视化、数据交换服务等应用功能。</w:t>
      </w:r>
    </w:p>
    <w:p w:rsidR="00274D4E" w:rsidRDefault="00B5732B">
      <w:pPr>
        <w:pStyle w:val="affffffffd"/>
      </w:pPr>
      <w:r>
        <w:rPr>
          <w:rFonts w:hint="eastAsia"/>
        </w:rPr>
        <w:t>病害信息交换与应用服务应符合现行行业标准CJJ/T 100和JGJ/T 437的相关规定。</w:t>
      </w:r>
    </w:p>
    <w:bookmarkEnd w:id="202"/>
    <w:p w:rsidR="00274D4E" w:rsidRDefault="00B5732B">
      <w:pPr>
        <w:pStyle w:val="affffffffd"/>
      </w:pPr>
      <w:r>
        <w:rPr>
          <w:rFonts w:hint="eastAsia"/>
        </w:rPr>
        <w:t>病害信息管理系统的安全设计应符合现行国家标准GB/T 22239的相关规定。</w:t>
      </w:r>
    </w:p>
    <w:p w:rsidR="00274D4E" w:rsidRDefault="00274D4E" w:rsidP="00754DE2">
      <w:pPr>
        <w:pStyle w:val="afffff1"/>
        <w:ind w:firstLine="420"/>
      </w:pPr>
    </w:p>
    <w:p w:rsidR="00274D4E" w:rsidRDefault="00274D4E" w:rsidP="00754DE2">
      <w:pPr>
        <w:pStyle w:val="afffff1"/>
        <w:ind w:firstLine="420"/>
        <w:sectPr w:rsidR="00274D4E">
          <w:headerReference w:type="even" r:id="rId35"/>
          <w:headerReference w:type="default" r:id="rId36"/>
          <w:footerReference w:type="even" r:id="rId37"/>
          <w:footerReference w:type="default" r:id="rId38"/>
          <w:pgSz w:w="11906" w:h="16838"/>
          <w:pgMar w:top="1928" w:right="1134" w:bottom="1134" w:left="1134" w:header="1418" w:footer="1134" w:gutter="284"/>
          <w:cols w:space="425"/>
          <w:formProt w:val="0"/>
          <w:docGrid w:type="lines" w:linePitch="312"/>
        </w:sectPr>
      </w:pPr>
    </w:p>
    <w:p w:rsidR="00274D4E" w:rsidRDefault="00274D4E">
      <w:pPr>
        <w:pStyle w:val="af5"/>
      </w:pPr>
      <w:bookmarkStart w:id="209" w:name="BookMark5"/>
      <w:bookmarkEnd w:id="27"/>
    </w:p>
    <w:p w:rsidR="00274D4E" w:rsidRDefault="00274D4E">
      <w:pPr>
        <w:pStyle w:val="afe"/>
      </w:pPr>
    </w:p>
    <w:p w:rsidR="00274D4E" w:rsidRDefault="00B5732B" w:rsidP="00754DE2">
      <w:pPr>
        <w:pStyle w:val="aff3"/>
        <w:spacing w:after="156"/>
      </w:pPr>
      <w:r>
        <w:br/>
      </w:r>
      <w:r>
        <w:rPr>
          <w:rFonts w:hint="eastAsia"/>
        </w:rPr>
        <w:t>（规范性）</w:t>
      </w:r>
      <w:r>
        <w:rPr>
          <w:rFonts w:hint="eastAsia"/>
        </w:rPr>
        <w:br/>
        <w:t>巡视与调查记录单</w:t>
      </w:r>
    </w:p>
    <w:p w:rsidR="00274D4E" w:rsidRDefault="00B5732B" w:rsidP="00754DE2">
      <w:pPr>
        <w:pStyle w:val="afffff1"/>
        <w:ind w:firstLine="420"/>
      </w:pPr>
      <w:r>
        <w:rPr>
          <w:rFonts w:hint="eastAsia"/>
        </w:rPr>
        <w:t>探地雷达检测项目实施过程中，根据需要开展现场巡视和调查，并对巡视和调查的信息进行记录，具体内容和格式见图A.1。</w:t>
      </w:r>
    </w:p>
    <w:p w:rsidR="00274D4E" w:rsidRDefault="00B5732B" w:rsidP="00754DE2">
      <w:pPr>
        <w:pStyle w:val="afffffffff6"/>
        <w:ind w:firstLine="360"/>
        <w:jc w:val="center"/>
      </w:pPr>
      <w:r>
        <w:rPr>
          <w:noProof/>
        </w:rPr>
        <w:drawing>
          <wp:inline distT="0" distB="0" distL="114300" distR="114300" wp14:anchorId="60F81915" wp14:editId="28E722EE">
            <wp:extent cx="5695315" cy="5526405"/>
            <wp:effectExtent l="0" t="0" r="63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9"/>
                    <a:srcRect r="621"/>
                    <a:stretch>
                      <a:fillRect/>
                    </a:stretch>
                  </pic:blipFill>
                  <pic:spPr>
                    <a:xfrm>
                      <a:off x="0" y="0"/>
                      <a:ext cx="5695315" cy="5526405"/>
                    </a:xfrm>
                    <a:prstGeom prst="rect">
                      <a:avLst/>
                    </a:prstGeom>
                    <a:noFill/>
                    <a:ln>
                      <a:noFill/>
                    </a:ln>
                  </pic:spPr>
                </pic:pic>
              </a:graphicData>
            </a:graphic>
          </wp:inline>
        </w:drawing>
      </w:r>
    </w:p>
    <w:p w:rsidR="00274D4E" w:rsidRDefault="00B5732B" w:rsidP="00754DE2">
      <w:pPr>
        <w:pStyle w:val="af6"/>
        <w:spacing w:before="156" w:after="156"/>
      </w:pPr>
      <w:r>
        <w:rPr>
          <w:rFonts w:hint="eastAsia"/>
        </w:rPr>
        <w:t xml:space="preserve"> 现场巡视与调查记录单</w:t>
      </w:r>
    </w:p>
    <w:p w:rsidR="00274D4E" w:rsidRDefault="00274D4E" w:rsidP="00754DE2">
      <w:pPr>
        <w:pStyle w:val="Style2"/>
        <w:ind w:firstLine="560"/>
      </w:pP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sectPr w:rsidR="00274D4E">
          <w:pgSz w:w="11906" w:h="16838"/>
          <w:pgMar w:top="1928" w:right="1134" w:bottom="1134" w:left="1134" w:header="1418" w:footer="1134" w:gutter="284"/>
          <w:cols w:space="425"/>
          <w:formProt w:val="0"/>
          <w:docGrid w:type="lines" w:linePitch="312"/>
        </w:sectPr>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（规范性）</w:t>
      </w:r>
      <w:r>
        <w:rPr>
          <w:rFonts w:hint="eastAsia"/>
        </w:rPr>
        <w:br/>
        <w:t>探地雷达检测现场记录单</w:t>
      </w:r>
    </w:p>
    <w:p w:rsidR="00274D4E" w:rsidRDefault="00B5732B" w:rsidP="00754DE2">
      <w:pPr>
        <w:pStyle w:val="afffff1"/>
        <w:ind w:firstLine="420"/>
      </w:pPr>
      <w:r>
        <w:rPr>
          <w:rFonts w:hint="eastAsia"/>
        </w:rPr>
        <w:t>探地雷达现场检测时记录项目及测线的相关信息，包括项目信息、设备信息、采集参数、测线位置信息及异常情况备注等，格式见图B.1。</w:t>
      </w:r>
    </w:p>
    <w:p w:rsidR="00274D4E" w:rsidRDefault="00B5732B" w:rsidP="00754DE2">
      <w:pPr>
        <w:pStyle w:val="afffffffff6"/>
        <w:ind w:firstLine="360"/>
        <w:jc w:val="center"/>
      </w:pPr>
      <w:r>
        <w:rPr>
          <w:noProof/>
        </w:rPr>
        <w:drawing>
          <wp:inline distT="0" distB="0" distL="114300" distR="114300" wp14:anchorId="4633D84E" wp14:editId="4DFE0BFD">
            <wp:extent cx="5726430" cy="4622165"/>
            <wp:effectExtent l="0" t="0" r="762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0"/>
                    <a:stretch>
                      <a:fillRect/>
                    </a:stretch>
                  </pic:blipFill>
                  <pic:spPr>
                    <a:xfrm>
                      <a:off x="0" y="0"/>
                      <a:ext cx="5726430" cy="4622165"/>
                    </a:xfrm>
                    <a:prstGeom prst="rect">
                      <a:avLst/>
                    </a:prstGeom>
                    <a:noFill/>
                    <a:ln>
                      <a:noFill/>
                    </a:ln>
                  </pic:spPr>
                </pic:pic>
              </a:graphicData>
            </a:graphic>
          </wp:inline>
        </w:drawing>
      </w:r>
    </w:p>
    <w:p w:rsidR="00274D4E" w:rsidRDefault="00B5732B" w:rsidP="00754DE2">
      <w:pPr>
        <w:pStyle w:val="af6"/>
        <w:spacing w:before="156" w:after="156"/>
      </w:pPr>
      <w:r>
        <w:rPr>
          <w:rFonts w:hint="eastAsia"/>
        </w:rPr>
        <w:t>探地雷达检测现场记录单</w:t>
      </w: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sectPr w:rsidR="00274D4E">
          <w:pgSz w:w="11906" w:h="16838"/>
          <w:pgMar w:top="1928" w:right="1134" w:bottom="1134" w:left="1134" w:header="1418" w:footer="1134" w:gutter="284"/>
          <w:cols w:space="425"/>
          <w:formProt w:val="0"/>
          <w:docGrid w:type="lines" w:linePitch="312"/>
        </w:sectPr>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（资料性）</w:t>
      </w:r>
      <w:r>
        <w:rPr>
          <w:rFonts w:hint="eastAsia"/>
        </w:rPr>
        <w:br/>
        <w:t>典型道路结构层病害探地雷达图谱</w:t>
      </w:r>
    </w:p>
    <w:p w:rsidR="00274D4E" w:rsidRDefault="00B5732B" w:rsidP="00754DE2">
      <w:pPr>
        <w:pStyle w:val="afffff1"/>
        <w:ind w:firstLine="420"/>
      </w:pPr>
      <w:r>
        <w:rPr>
          <w:rFonts w:hint="eastAsia"/>
        </w:rPr>
        <w:t>道路结构层病害的探地雷达图像因其形态变化而变化，不同病害的探地雷达图像存在一定差异。本文件给出了部分典型正常道路结构层（表C.1）、结构层裂缝病害(表C.2)、结构层松散病害（表C.3）的探地雷达图像。</w:t>
      </w:r>
    </w:p>
    <w:p w:rsidR="00274D4E" w:rsidRDefault="00B5732B" w:rsidP="00754DE2">
      <w:pPr>
        <w:pStyle w:val="aff"/>
        <w:spacing w:before="156" w:after="156"/>
      </w:pPr>
      <w:r>
        <w:rPr>
          <w:rFonts w:hint="eastAsia"/>
        </w:rPr>
        <w:t>正常结构层探地雷达图像特征</w:t>
      </w:r>
    </w:p>
    <w:tbl>
      <w:tblPr>
        <w:tblStyle w:val="TableNormal"/>
        <w:tblW w:w="8379" w:type="dxa"/>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Look w:val="04A0" w:firstRow="1" w:lastRow="0" w:firstColumn="1" w:lastColumn="0" w:noHBand="0" w:noVBand="1"/>
      </w:tblPr>
      <w:tblGrid>
        <w:gridCol w:w="2374"/>
        <w:gridCol w:w="1188"/>
        <w:gridCol w:w="1543"/>
        <w:gridCol w:w="3274"/>
      </w:tblGrid>
      <w:tr w:rsidR="00274D4E">
        <w:trPr>
          <w:trHeight w:val="503"/>
          <w:jc w:val="center"/>
        </w:trPr>
        <w:tc>
          <w:tcPr>
            <w:tcW w:w="2374" w:type="dxa"/>
            <w:vAlign w:val="center"/>
          </w:tcPr>
          <w:p w:rsidR="00274D4E" w:rsidRDefault="00B5732B">
            <w:pPr>
              <w:pStyle w:val="afffffffff6"/>
              <w:ind w:firstLineChars="0" w:firstLine="0"/>
              <w:jc w:val="center"/>
              <w:rPr>
                <w:b/>
                <w:bCs/>
              </w:rPr>
            </w:pPr>
            <w:r>
              <w:rPr>
                <w:rFonts w:hint="eastAsia"/>
                <w:b/>
                <w:bCs/>
              </w:rPr>
              <w:t>探地雷达纵剖面图</w:t>
            </w:r>
          </w:p>
        </w:tc>
        <w:tc>
          <w:tcPr>
            <w:tcW w:w="1188" w:type="dxa"/>
            <w:vAlign w:val="center"/>
          </w:tcPr>
          <w:p w:rsidR="00274D4E" w:rsidRDefault="00B5732B">
            <w:pPr>
              <w:pStyle w:val="afffffffff6"/>
              <w:ind w:firstLineChars="0" w:firstLine="0"/>
              <w:jc w:val="center"/>
              <w:rPr>
                <w:b/>
                <w:bCs/>
              </w:rPr>
            </w:pPr>
            <w:r>
              <w:rPr>
                <w:rFonts w:hint="eastAsia"/>
                <w:b/>
                <w:bCs/>
              </w:rPr>
              <w:t>单道波形图</w:t>
            </w:r>
          </w:p>
        </w:tc>
        <w:tc>
          <w:tcPr>
            <w:tcW w:w="1543" w:type="dxa"/>
            <w:vAlign w:val="center"/>
          </w:tcPr>
          <w:p w:rsidR="00274D4E" w:rsidRDefault="00B5732B">
            <w:pPr>
              <w:pStyle w:val="afffffffff6"/>
              <w:ind w:firstLineChars="0" w:firstLine="0"/>
              <w:jc w:val="center"/>
              <w:rPr>
                <w:b/>
                <w:bCs/>
              </w:rPr>
            </w:pPr>
            <w:r>
              <w:rPr>
                <w:rFonts w:hint="eastAsia"/>
                <w:b/>
                <w:bCs/>
              </w:rPr>
              <w:t>芯样</w:t>
            </w:r>
          </w:p>
        </w:tc>
        <w:tc>
          <w:tcPr>
            <w:tcW w:w="3274" w:type="dxa"/>
            <w:vAlign w:val="center"/>
          </w:tcPr>
          <w:p w:rsidR="00274D4E" w:rsidRDefault="00B5732B">
            <w:pPr>
              <w:pStyle w:val="afffffffff6"/>
              <w:ind w:firstLineChars="0" w:firstLine="0"/>
              <w:jc w:val="center"/>
              <w:rPr>
                <w:b/>
                <w:bCs/>
              </w:rPr>
            </w:pPr>
            <w:r>
              <w:rPr>
                <w:rFonts w:hint="eastAsia"/>
                <w:b/>
                <w:bCs/>
              </w:rPr>
              <w:t>信息描述</w:t>
            </w:r>
          </w:p>
        </w:tc>
      </w:tr>
      <w:tr w:rsidR="00274D4E">
        <w:trPr>
          <w:trHeight w:val="2910"/>
          <w:jc w:val="center"/>
        </w:trPr>
        <w:tc>
          <w:tcPr>
            <w:tcW w:w="2374" w:type="dxa"/>
            <w:vAlign w:val="center"/>
          </w:tcPr>
          <w:p w:rsidR="00274D4E" w:rsidRDefault="00B5732B">
            <w:pPr>
              <w:widowControl/>
              <w:kinsoku w:val="0"/>
              <w:autoSpaceDE w:val="0"/>
              <w:autoSpaceDN w:val="0"/>
              <w:snapToGrid w:val="0"/>
              <w:spacing w:line="240" w:lineRule="auto"/>
              <w:jc w:val="center"/>
              <w:textAlignment w:val="baseline"/>
              <w:rPr>
                <w:rFonts w:ascii="宋体" w:hAnsi="宋体" w:cs="宋体"/>
                <w:snapToGrid w:val="0"/>
                <w:color w:val="000000"/>
                <w:kern w:val="0"/>
                <w:lang w:eastAsia="en-US"/>
              </w:rPr>
            </w:pPr>
            <w:r>
              <w:rPr>
                <w:rFonts w:ascii="宋体" w:hAnsi="宋体" w:cs="宋体" w:hint="eastAsia"/>
                <w:noProof/>
                <w:snapToGrid w:val="0"/>
                <w:color w:val="000000"/>
                <w:kern w:val="0"/>
                <w:position w:val="-47"/>
              </w:rPr>
              <w:drawing>
                <wp:inline distT="0" distB="0" distL="0" distR="0" wp14:anchorId="261ED914" wp14:editId="087AAAE3">
                  <wp:extent cx="1303020" cy="1748155"/>
                  <wp:effectExtent l="0" t="0" r="11430" b="4445"/>
                  <wp:docPr id="13" name="IM 18"/>
                  <wp:cNvGraphicFramePr/>
                  <a:graphic xmlns:a="http://schemas.openxmlformats.org/drawingml/2006/main">
                    <a:graphicData uri="http://schemas.openxmlformats.org/drawingml/2006/picture">
                      <pic:pic xmlns:pic="http://schemas.openxmlformats.org/drawingml/2006/picture">
                        <pic:nvPicPr>
                          <pic:cNvPr id="13" name="IM 18"/>
                          <pic:cNvPicPr/>
                        </pic:nvPicPr>
                        <pic:blipFill>
                          <a:blip r:embed="rId41"/>
                          <a:stretch>
                            <a:fillRect/>
                          </a:stretch>
                        </pic:blipFill>
                        <pic:spPr>
                          <a:xfrm>
                            <a:off x="0" y="0"/>
                            <a:ext cx="1303020" cy="1748155"/>
                          </a:xfrm>
                          <a:prstGeom prst="rect">
                            <a:avLst/>
                          </a:prstGeom>
                        </pic:spPr>
                      </pic:pic>
                    </a:graphicData>
                  </a:graphic>
                </wp:inline>
              </w:drawing>
            </w:r>
          </w:p>
        </w:tc>
        <w:tc>
          <w:tcPr>
            <w:tcW w:w="1188" w:type="dxa"/>
            <w:vAlign w:val="center"/>
          </w:tcPr>
          <w:p w:rsidR="00274D4E" w:rsidRDefault="00B5732B">
            <w:pPr>
              <w:widowControl/>
              <w:kinsoku w:val="0"/>
              <w:autoSpaceDE w:val="0"/>
              <w:autoSpaceDN w:val="0"/>
              <w:snapToGrid w:val="0"/>
              <w:spacing w:line="240" w:lineRule="auto"/>
              <w:jc w:val="center"/>
              <w:textAlignment w:val="baseline"/>
              <w:rPr>
                <w:rFonts w:ascii="宋体" w:hAnsi="宋体" w:cs="宋体"/>
                <w:snapToGrid w:val="0"/>
                <w:color w:val="000000"/>
                <w:kern w:val="0"/>
                <w:lang w:eastAsia="en-US"/>
              </w:rPr>
            </w:pPr>
            <w:r>
              <w:rPr>
                <w:rFonts w:ascii="宋体" w:hAnsi="宋体" w:cs="宋体" w:hint="eastAsia"/>
                <w:noProof/>
                <w:snapToGrid w:val="0"/>
                <w:color w:val="000000"/>
                <w:kern w:val="0"/>
                <w:position w:val="-50"/>
              </w:rPr>
              <w:drawing>
                <wp:inline distT="0" distB="0" distL="0" distR="0" wp14:anchorId="64FA790A" wp14:editId="780265C5">
                  <wp:extent cx="504190" cy="1733550"/>
                  <wp:effectExtent l="0" t="0" r="1016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2"/>
                          <a:stretch>
                            <a:fillRect/>
                          </a:stretch>
                        </pic:blipFill>
                        <pic:spPr>
                          <a:xfrm>
                            <a:off x="0" y="0"/>
                            <a:ext cx="504190" cy="1733550"/>
                          </a:xfrm>
                          <a:prstGeom prst="rect">
                            <a:avLst/>
                          </a:prstGeom>
                        </pic:spPr>
                      </pic:pic>
                    </a:graphicData>
                  </a:graphic>
                </wp:inline>
              </w:drawing>
            </w:r>
          </w:p>
        </w:tc>
        <w:tc>
          <w:tcPr>
            <w:tcW w:w="1543" w:type="dxa"/>
            <w:vAlign w:val="center"/>
          </w:tcPr>
          <w:p w:rsidR="00274D4E" w:rsidRDefault="00B5732B">
            <w:pPr>
              <w:widowControl/>
              <w:kinsoku w:val="0"/>
              <w:autoSpaceDE w:val="0"/>
              <w:autoSpaceDN w:val="0"/>
              <w:snapToGrid w:val="0"/>
              <w:spacing w:line="240" w:lineRule="auto"/>
              <w:jc w:val="center"/>
              <w:textAlignment w:val="baseline"/>
              <w:rPr>
                <w:rFonts w:ascii="宋体" w:hAnsi="宋体" w:cs="宋体"/>
                <w:snapToGrid w:val="0"/>
                <w:color w:val="000000"/>
                <w:kern w:val="0"/>
                <w:lang w:eastAsia="en-US"/>
              </w:rPr>
            </w:pPr>
            <w:r>
              <w:rPr>
                <w:rFonts w:ascii="宋体" w:hAnsi="宋体" w:cs="宋体" w:hint="eastAsia"/>
                <w:noProof/>
                <w:snapToGrid w:val="0"/>
                <w:color w:val="000000"/>
                <w:kern w:val="0"/>
                <w:position w:val="-47"/>
              </w:rPr>
              <w:drawing>
                <wp:inline distT="0" distB="0" distL="0" distR="0" wp14:anchorId="0F074169" wp14:editId="246522F3">
                  <wp:extent cx="704215" cy="1814830"/>
                  <wp:effectExtent l="0" t="0" r="635" b="1397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3"/>
                          <a:stretch>
                            <a:fillRect/>
                          </a:stretch>
                        </pic:blipFill>
                        <pic:spPr>
                          <a:xfrm>
                            <a:off x="0" y="0"/>
                            <a:ext cx="704215" cy="1814830"/>
                          </a:xfrm>
                          <a:prstGeom prst="rect">
                            <a:avLst/>
                          </a:prstGeom>
                        </pic:spPr>
                      </pic:pic>
                    </a:graphicData>
                  </a:graphic>
                </wp:inline>
              </w:drawing>
            </w:r>
          </w:p>
        </w:tc>
        <w:tc>
          <w:tcPr>
            <w:tcW w:w="3274" w:type="dxa"/>
            <w:vMerge w:val="restart"/>
            <w:tcBorders>
              <w:bottom w:val="nil"/>
            </w:tcBorders>
            <w:vAlign w:val="center"/>
          </w:tcPr>
          <w:p w:rsidR="00274D4E" w:rsidRDefault="00B5732B" w:rsidP="00754DE2">
            <w:pPr>
              <w:pStyle w:val="afffffffff6"/>
              <w:ind w:firstLine="360"/>
            </w:pPr>
            <w:r>
              <w:rPr>
                <w:rFonts w:hint="eastAsia"/>
              </w:rPr>
              <w:t>图谱解释：雷达纵剖面图谱层位无明显变化，未出 现同相轴不连续，断层以及同相轴紊乱等病害特征，单道波形未出现振幅 增强现象。</w:t>
            </w:r>
          </w:p>
          <w:p w:rsidR="00274D4E" w:rsidRDefault="00274D4E" w:rsidP="00754DE2">
            <w:pPr>
              <w:pStyle w:val="afffffffff6"/>
              <w:ind w:firstLine="360"/>
            </w:pPr>
          </w:p>
          <w:p w:rsidR="00274D4E" w:rsidRDefault="00B5732B" w:rsidP="00754DE2">
            <w:pPr>
              <w:pStyle w:val="afffffffff6"/>
              <w:ind w:firstLine="360"/>
              <w:rPr>
                <w:rFonts w:hAnsi="宋体" w:cs="宋体"/>
                <w:kern w:val="2"/>
                <w:szCs w:val="21"/>
              </w:rPr>
            </w:pPr>
            <w:r>
              <w:rPr>
                <w:rFonts w:hint="eastAsia"/>
              </w:rPr>
              <w:t>芯样情况：芯样完整， 粘结良好、无破损。</w:t>
            </w:r>
          </w:p>
        </w:tc>
      </w:tr>
      <w:tr w:rsidR="00274D4E">
        <w:trPr>
          <w:trHeight w:val="3362"/>
          <w:jc w:val="center"/>
        </w:trPr>
        <w:tc>
          <w:tcPr>
            <w:tcW w:w="2374" w:type="dxa"/>
            <w:vAlign w:val="center"/>
          </w:tcPr>
          <w:p w:rsidR="00274D4E" w:rsidRDefault="00B5732B">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r>
              <w:rPr>
                <w:rFonts w:ascii="Arial" w:eastAsia="Arial" w:hAnsi="Arial" w:cs="Arial"/>
                <w:noProof/>
                <w:snapToGrid w:val="0"/>
                <w:color w:val="000000"/>
                <w:kern w:val="0"/>
                <w:position w:val="-47"/>
              </w:rPr>
              <w:drawing>
                <wp:inline distT="0" distB="0" distL="0" distR="0" wp14:anchorId="56FA9AE5" wp14:editId="67151C21">
                  <wp:extent cx="1356360" cy="1738630"/>
                  <wp:effectExtent l="0" t="0" r="15240" b="1397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4"/>
                          <a:stretch>
                            <a:fillRect/>
                          </a:stretch>
                        </pic:blipFill>
                        <pic:spPr>
                          <a:xfrm>
                            <a:off x="0" y="0"/>
                            <a:ext cx="1356360" cy="1738630"/>
                          </a:xfrm>
                          <a:prstGeom prst="rect">
                            <a:avLst/>
                          </a:prstGeom>
                        </pic:spPr>
                      </pic:pic>
                    </a:graphicData>
                  </a:graphic>
                </wp:inline>
              </w:drawing>
            </w:r>
          </w:p>
        </w:tc>
        <w:tc>
          <w:tcPr>
            <w:tcW w:w="1188" w:type="dxa"/>
            <w:vAlign w:val="center"/>
          </w:tcPr>
          <w:p w:rsidR="00274D4E" w:rsidRDefault="00B5732B">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r>
              <w:rPr>
                <w:rFonts w:ascii="Arial" w:eastAsia="Arial" w:hAnsi="Arial" w:cs="Arial"/>
                <w:noProof/>
                <w:snapToGrid w:val="0"/>
                <w:color w:val="000000"/>
                <w:kern w:val="0"/>
                <w:position w:val="-56"/>
              </w:rPr>
              <w:drawing>
                <wp:inline distT="0" distB="0" distL="0" distR="0" wp14:anchorId="2FE50F22" wp14:editId="01824979">
                  <wp:extent cx="443865" cy="1731645"/>
                  <wp:effectExtent l="0" t="0" r="13335" b="1905"/>
                  <wp:docPr id="14" name="IM 26"/>
                  <wp:cNvGraphicFramePr/>
                  <a:graphic xmlns:a="http://schemas.openxmlformats.org/drawingml/2006/main">
                    <a:graphicData uri="http://schemas.openxmlformats.org/drawingml/2006/picture">
                      <pic:pic xmlns:pic="http://schemas.openxmlformats.org/drawingml/2006/picture">
                        <pic:nvPicPr>
                          <pic:cNvPr id="14" name="IM 26"/>
                          <pic:cNvPicPr/>
                        </pic:nvPicPr>
                        <pic:blipFill>
                          <a:blip r:embed="rId45"/>
                          <a:stretch>
                            <a:fillRect/>
                          </a:stretch>
                        </pic:blipFill>
                        <pic:spPr>
                          <a:xfrm>
                            <a:off x="0" y="0"/>
                            <a:ext cx="443865" cy="1731645"/>
                          </a:xfrm>
                          <a:prstGeom prst="rect">
                            <a:avLst/>
                          </a:prstGeom>
                        </pic:spPr>
                      </pic:pic>
                    </a:graphicData>
                  </a:graphic>
                </wp:inline>
              </w:drawing>
            </w:r>
          </w:p>
        </w:tc>
        <w:tc>
          <w:tcPr>
            <w:tcW w:w="1543" w:type="dxa"/>
            <w:vAlign w:val="center"/>
          </w:tcPr>
          <w:p w:rsidR="00274D4E" w:rsidRDefault="00B5732B">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r>
              <w:rPr>
                <w:rFonts w:ascii="Arial" w:eastAsia="Arial" w:hAnsi="Arial" w:cs="Arial"/>
                <w:noProof/>
                <w:snapToGrid w:val="0"/>
                <w:color w:val="000000"/>
                <w:kern w:val="0"/>
                <w:position w:val="-48"/>
              </w:rPr>
              <w:drawing>
                <wp:inline distT="0" distB="0" distL="0" distR="0" wp14:anchorId="7E494A52" wp14:editId="5CB521CD">
                  <wp:extent cx="635635" cy="1787525"/>
                  <wp:effectExtent l="0" t="0" r="12065" b="317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6"/>
                          <a:stretch>
                            <a:fillRect/>
                          </a:stretch>
                        </pic:blipFill>
                        <pic:spPr>
                          <a:xfrm>
                            <a:off x="0" y="0"/>
                            <a:ext cx="635635" cy="1787525"/>
                          </a:xfrm>
                          <a:prstGeom prst="rect">
                            <a:avLst/>
                          </a:prstGeom>
                        </pic:spPr>
                      </pic:pic>
                    </a:graphicData>
                  </a:graphic>
                </wp:inline>
              </w:drawing>
            </w:r>
          </w:p>
        </w:tc>
        <w:tc>
          <w:tcPr>
            <w:tcW w:w="3274" w:type="dxa"/>
            <w:vMerge/>
            <w:tcBorders>
              <w:top w:val="nil"/>
              <w:bottom w:val="nil"/>
            </w:tcBorders>
            <w:vAlign w:val="center"/>
          </w:tcPr>
          <w:p w:rsidR="00274D4E" w:rsidRDefault="00274D4E">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p>
        </w:tc>
      </w:tr>
      <w:tr w:rsidR="00274D4E">
        <w:trPr>
          <w:trHeight w:val="3445"/>
          <w:jc w:val="center"/>
        </w:trPr>
        <w:tc>
          <w:tcPr>
            <w:tcW w:w="2374" w:type="dxa"/>
            <w:vAlign w:val="center"/>
          </w:tcPr>
          <w:p w:rsidR="00274D4E" w:rsidRDefault="00B5732B">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r>
              <w:rPr>
                <w:rFonts w:ascii="Arial" w:eastAsia="Arial" w:hAnsi="Arial" w:cs="Arial"/>
                <w:noProof/>
                <w:snapToGrid w:val="0"/>
                <w:color w:val="000000"/>
                <w:kern w:val="0"/>
                <w:position w:val="-47"/>
              </w:rPr>
              <w:drawing>
                <wp:inline distT="0" distB="0" distL="0" distR="0" wp14:anchorId="2BDE9E26" wp14:editId="1665E821">
                  <wp:extent cx="1574800" cy="2108200"/>
                  <wp:effectExtent l="0" t="0" r="6350" b="6350"/>
                  <wp:docPr id="15" name="IM 30"/>
                  <wp:cNvGraphicFramePr/>
                  <a:graphic xmlns:a="http://schemas.openxmlformats.org/drawingml/2006/main">
                    <a:graphicData uri="http://schemas.openxmlformats.org/drawingml/2006/picture">
                      <pic:pic xmlns:pic="http://schemas.openxmlformats.org/drawingml/2006/picture">
                        <pic:nvPicPr>
                          <pic:cNvPr id="15" name="IM 30"/>
                          <pic:cNvPicPr/>
                        </pic:nvPicPr>
                        <pic:blipFill>
                          <a:blip r:embed="rId47"/>
                          <a:stretch>
                            <a:fillRect/>
                          </a:stretch>
                        </pic:blipFill>
                        <pic:spPr>
                          <a:xfrm>
                            <a:off x="0" y="0"/>
                            <a:ext cx="1574800" cy="2108200"/>
                          </a:xfrm>
                          <a:prstGeom prst="rect">
                            <a:avLst/>
                          </a:prstGeom>
                        </pic:spPr>
                      </pic:pic>
                    </a:graphicData>
                  </a:graphic>
                </wp:inline>
              </w:drawing>
            </w:r>
          </w:p>
        </w:tc>
        <w:tc>
          <w:tcPr>
            <w:tcW w:w="1188" w:type="dxa"/>
            <w:vAlign w:val="center"/>
          </w:tcPr>
          <w:p w:rsidR="00274D4E" w:rsidRDefault="00B5732B">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r>
              <w:rPr>
                <w:rFonts w:ascii="Arial" w:eastAsia="Arial" w:hAnsi="Arial" w:cs="Arial"/>
                <w:noProof/>
                <w:snapToGrid w:val="0"/>
                <w:color w:val="000000"/>
                <w:kern w:val="0"/>
                <w:position w:val="-52"/>
              </w:rPr>
              <w:drawing>
                <wp:inline distT="0" distB="0" distL="0" distR="0" wp14:anchorId="5E870909" wp14:editId="7D72904F">
                  <wp:extent cx="803910" cy="2150110"/>
                  <wp:effectExtent l="0" t="0" r="15240" b="2540"/>
                  <wp:docPr id="16" name="IM 32"/>
                  <wp:cNvGraphicFramePr/>
                  <a:graphic xmlns:a="http://schemas.openxmlformats.org/drawingml/2006/main">
                    <a:graphicData uri="http://schemas.openxmlformats.org/drawingml/2006/picture">
                      <pic:pic xmlns:pic="http://schemas.openxmlformats.org/drawingml/2006/picture">
                        <pic:nvPicPr>
                          <pic:cNvPr id="16" name="IM 32"/>
                          <pic:cNvPicPr/>
                        </pic:nvPicPr>
                        <pic:blipFill>
                          <a:blip r:embed="rId48"/>
                          <a:stretch>
                            <a:fillRect/>
                          </a:stretch>
                        </pic:blipFill>
                        <pic:spPr>
                          <a:xfrm>
                            <a:off x="0" y="0"/>
                            <a:ext cx="803910" cy="2150110"/>
                          </a:xfrm>
                          <a:prstGeom prst="rect">
                            <a:avLst/>
                          </a:prstGeom>
                        </pic:spPr>
                      </pic:pic>
                    </a:graphicData>
                  </a:graphic>
                </wp:inline>
              </w:drawing>
            </w:r>
          </w:p>
        </w:tc>
        <w:tc>
          <w:tcPr>
            <w:tcW w:w="1543" w:type="dxa"/>
            <w:vAlign w:val="center"/>
          </w:tcPr>
          <w:p w:rsidR="00274D4E" w:rsidRDefault="00B5732B">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r>
              <w:rPr>
                <w:rFonts w:ascii="Arial" w:eastAsia="Arial" w:hAnsi="Arial" w:cs="Arial"/>
                <w:noProof/>
                <w:snapToGrid w:val="0"/>
                <w:color w:val="000000"/>
                <w:kern w:val="0"/>
                <w:position w:val="-55"/>
              </w:rPr>
              <w:drawing>
                <wp:inline distT="0" distB="0" distL="0" distR="0" wp14:anchorId="2F171213" wp14:editId="231D219F">
                  <wp:extent cx="728980" cy="2156460"/>
                  <wp:effectExtent l="0" t="0" r="13970" b="15240"/>
                  <wp:docPr id="17" name="IM 34"/>
                  <wp:cNvGraphicFramePr/>
                  <a:graphic xmlns:a="http://schemas.openxmlformats.org/drawingml/2006/main">
                    <a:graphicData uri="http://schemas.openxmlformats.org/drawingml/2006/picture">
                      <pic:pic xmlns:pic="http://schemas.openxmlformats.org/drawingml/2006/picture">
                        <pic:nvPicPr>
                          <pic:cNvPr id="17" name="IM 34"/>
                          <pic:cNvPicPr/>
                        </pic:nvPicPr>
                        <pic:blipFill>
                          <a:blip r:embed="rId49"/>
                          <a:stretch>
                            <a:fillRect/>
                          </a:stretch>
                        </pic:blipFill>
                        <pic:spPr>
                          <a:xfrm>
                            <a:off x="0" y="0"/>
                            <a:ext cx="728980" cy="2156460"/>
                          </a:xfrm>
                          <a:prstGeom prst="rect">
                            <a:avLst/>
                          </a:prstGeom>
                        </pic:spPr>
                      </pic:pic>
                    </a:graphicData>
                  </a:graphic>
                </wp:inline>
              </w:drawing>
            </w:r>
          </w:p>
        </w:tc>
        <w:tc>
          <w:tcPr>
            <w:tcW w:w="3274" w:type="dxa"/>
            <w:vMerge/>
            <w:tcBorders>
              <w:top w:val="nil"/>
            </w:tcBorders>
            <w:vAlign w:val="center"/>
          </w:tcPr>
          <w:p w:rsidR="00274D4E" w:rsidRDefault="00274D4E">
            <w:pPr>
              <w:widowControl/>
              <w:kinsoku w:val="0"/>
              <w:autoSpaceDE w:val="0"/>
              <w:autoSpaceDN w:val="0"/>
              <w:snapToGrid w:val="0"/>
              <w:spacing w:line="240" w:lineRule="auto"/>
              <w:jc w:val="center"/>
              <w:textAlignment w:val="baseline"/>
              <w:rPr>
                <w:rFonts w:ascii="Arial" w:eastAsia="Arial" w:hAnsi="Arial" w:cs="Arial"/>
                <w:snapToGrid w:val="0"/>
                <w:color w:val="000000"/>
                <w:kern w:val="0"/>
                <w:lang w:eastAsia="en-US"/>
              </w:rPr>
            </w:pPr>
          </w:p>
        </w:tc>
      </w:tr>
    </w:tbl>
    <w:p w:rsidR="00274D4E" w:rsidRDefault="00B5732B" w:rsidP="00754DE2">
      <w:pPr>
        <w:pStyle w:val="afffffffff6"/>
        <w:ind w:firstLine="360"/>
      </w:pPr>
      <w:r>
        <w:rPr>
          <w:rFonts w:hint="eastAsia"/>
        </w:rPr>
        <w:lastRenderedPageBreak/>
        <w:br w:type="page"/>
      </w:r>
    </w:p>
    <w:p w:rsidR="00274D4E" w:rsidRDefault="00B5732B" w:rsidP="00754DE2">
      <w:pPr>
        <w:pStyle w:val="aff"/>
        <w:spacing w:before="156" w:after="156"/>
      </w:pPr>
      <w:r>
        <w:rPr>
          <w:rFonts w:hint="eastAsia"/>
        </w:rPr>
        <w:lastRenderedPageBreak/>
        <w:t>结构层裂缝的雷达图像实例</w:t>
      </w:r>
    </w:p>
    <w:tbl>
      <w:tblPr>
        <w:tblStyle w:val="TableNormal"/>
        <w:tblW w:w="8302" w:type="dxa"/>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Look w:val="04A0" w:firstRow="1" w:lastRow="0" w:firstColumn="1" w:lastColumn="0" w:noHBand="0" w:noVBand="1"/>
      </w:tblPr>
      <w:tblGrid>
        <w:gridCol w:w="2442"/>
        <w:gridCol w:w="1239"/>
        <w:gridCol w:w="1613"/>
        <w:gridCol w:w="3008"/>
      </w:tblGrid>
      <w:tr w:rsidR="00274D4E">
        <w:trPr>
          <w:trHeight w:val="419"/>
          <w:jc w:val="center"/>
        </w:trPr>
        <w:tc>
          <w:tcPr>
            <w:tcW w:w="2442"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探地雷达水平剖面图</w:t>
            </w:r>
          </w:p>
        </w:tc>
        <w:tc>
          <w:tcPr>
            <w:tcW w:w="1239"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单道波形图</w:t>
            </w:r>
          </w:p>
        </w:tc>
        <w:tc>
          <w:tcPr>
            <w:tcW w:w="1613"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芯样</w:t>
            </w:r>
          </w:p>
        </w:tc>
        <w:tc>
          <w:tcPr>
            <w:tcW w:w="3008"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信息描述</w:t>
            </w:r>
          </w:p>
        </w:tc>
      </w:tr>
      <w:tr w:rsidR="00274D4E">
        <w:trPr>
          <w:trHeight w:val="2804"/>
          <w:jc w:val="center"/>
        </w:trPr>
        <w:tc>
          <w:tcPr>
            <w:tcW w:w="2442" w:type="dxa"/>
            <w:tcBorders>
              <w:top w:val="single" w:sz="8" w:space="0" w:color="000000"/>
            </w:tcBorders>
            <w:vAlign w:val="center"/>
          </w:tcPr>
          <w:p w:rsidR="00274D4E" w:rsidRDefault="00274D4E" w:rsidP="00754DE2">
            <w:pPr>
              <w:pStyle w:val="afffffffff6"/>
              <w:ind w:firstLine="360"/>
              <w:rPr>
                <w:lang w:eastAsia="en-US"/>
              </w:rPr>
            </w:pPr>
          </w:p>
          <w:p w:rsidR="00274D4E" w:rsidRDefault="00B5732B" w:rsidP="00754DE2">
            <w:pPr>
              <w:pStyle w:val="afffffffff6"/>
              <w:ind w:firstLine="360"/>
              <w:rPr>
                <w:lang w:eastAsia="en-US"/>
              </w:rPr>
            </w:pPr>
            <w:r>
              <w:rPr>
                <w:noProof/>
              </w:rPr>
              <w:drawing>
                <wp:inline distT="0" distB="0" distL="0" distR="0" wp14:anchorId="2F9F8583" wp14:editId="15D1C7A3">
                  <wp:extent cx="1554480" cy="1933575"/>
                  <wp:effectExtent l="0" t="0" r="7620" b="9525"/>
                  <wp:docPr id="35" name="IM 54"/>
                  <wp:cNvGraphicFramePr/>
                  <a:graphic xmlns:a="http://schemas.openxmlformats.org/drawingml/2006/main">
                    <a:graphicData uri="http://schemas.openxmlformats.org/drawingml/2006/picture">
                      <pic:pic xmlns:pic="http://schemas.openxmlformats.org/drawingml/2006/picture">
                        <pic:nvPicPr>
                          <pic:cNvPr id="35" name="IM 54"/>
                          <pic:cNvPicPr/>
                        </pic:nvPicPr>
                        <pic:blipFill>
                          <a:blip r:embed="rId50"/>
                          <a:stretch>
                            <a:fillRect/>
                          </a:stretch>
                        </pic:blipFill>
                        <pic:spPr>
                          <a:xfrm>
                            <a:off x="0" y="0"/>
                            <a:ext cx="1554480" cy="1933575"/>
                          </a:xfrm>
                          <a:prstGeom prst="rect">
                            <a:avLst/>
                          </a:prstGeom>
                        </pic:spPr>
                      </pic:pic>
                    </a:graphicData>
                  </a:graphic>
                </wp:inline>
              </w:drawing>
            </w:r>
          </w:p>
        </w:tc>
        <w:tc>
          <w:tcPr>
            <w:tcW w:w="1239" w:type="dxa"/>
            <w:tcBorders>
              <w:top w:val="single" w:sz="8" w:space="0" w:color="000000"/>
            </w:tcBorders>
            <w:vAlign w:val="center"/>
          </w:tcPr>
          <w:p w:rsidR="00274D4E" w:rsidRDefault="00B5732B" w:rsidP="00754DE2">
            <w:pPr>
              <w:pStyle w:val="afffffffff6"/>
              <w:ind w:firstLine="360"/>
              <w:rPr>
                <w:lang w:eastAsia="en-US"/>
              </w:rPr>
            </w:pPr>
            <w:r>
              <w:rPr>
                <w:noProof/>
              </w:rPr>
              <w:drawing>
                <wp:inline distT="0" distB="0" distL="0" distR="0" wp14:anchorId="2BE471E9" wp14:editId="75F2CC3C">
                  <wp:extent cx="798195" cy="2286635"/>
                  <wp:effectExtent l="0" t="0" r="1905" b="18415"/>
                  <wp:docPr id="36" name="IM 56"/>
                  <wp:cNvGraphicFramePr/>
                  <a:graphic xmlns:a="http://schemas.openxmlformats.org/drawingml/2006/main">
                    <a:graphicData uri="http://schemas.openxmlformats.org/drawingml/2006/picture">
                      <pic:pic xmlns:pic="http://schemas.openxmlformats.org/drawingml/2006/picture">
                        <pic:nvPicPr>
                          <pic:cNvPr id="36" name="IM 56"/>
                          <pic:cNvPicPr/>
                        </pic:nvPicPr>
                        <pic:blipFill>
                          <a:blip r:embed="rId51"/>
                          <a:stretch>
                            <a:fillRect/>
                          </a:stretch>
                        </pic:blipFill>
                        <pic:spPr>
                          <a:xfrm>
                            <a:off x="0" y="0"/>
                            <a:ext cx="798195" cy="2286635"/>
                          </a:xfrm>
                          <a:prstGeom prst="rect">
                            <a:avLst/>
                          </a:prstGeom>
                        </pic:spPr>
                      </pic:pic>
                    </a:graphicData>
                  </a:graphic>
                </wp:inline>
              </w:drawing>
            </w:r>
          </w:p>
        </w:tc>
        <w:tc>
          <w:tcPr>
            <w:tcW w:w="1613" w:type="dxa"/>
            <w:tcBorders>
              <w:top w:val="single" w:sz="8" w:space="0" w:color="000000"/>
            </w:tcBorders>
            <w:vAlign w:val="center"/>
          </w:tcPr>
          <w:p w:rsidR="00274D4E" w:rsidRDefault="00B5732B" w:rsidP="00754DE2">
            <w:pPr>
              <w:pStyle w:val="afffffffff6"/>
              <w:ind w:firstLine="360"/>
              <w:rPr>
                <w:lang w:eastAsia="en-US"/>
              </w:rPr>
            </w:pPr>
            <w:r>
              <w:rPr>
                <w:noProof/>
              </w:rPr>
              <w:drawing>
                <wp:inline distT="0" distB="0" distL="0" distR="0" wp14:anchorId="7E921CC5" wp14:editId="46669EE3">
                  <wp:extent cx="859155" cy="2190750"/>
                  <wp:effectExtent l="0" t="0" r="17145" b="0"/>
                  <wp:docPr id="37" name="IM 58"/>
                  <wp:cNvGraphicFramePr/>
                  <a:graphic xmlns:a="http://schemas.openxmlformats.org/drawingml/2006/main">
                    <a:graphicData uri="http://schemas.openxmlformats.org/drawingml/2006/picture">
                      <pic:pic xmlns:pic="http://schemas.openxmlformats.org/drawingml/2006/picture">
                        <pic:nvPicPr>
                          <pic:cNvPr id="37" name="IM 58"/>
                          <pic:cNvPicPr/>
                        </pic:nvPicPr>
                        <pic:blipFill>
                          <a:blip r:embed="rId52"/>
                          <a:stretch>
                            <a:fillRect/>
                          </a:stretch>
                        </pic:blipFill>
                        <pic:spPr>
                          <a:xfrm>
                            <a:off x="0" y="0"/>
                            <a:ext cx="859155" cy="2190750"/>
                          </a:xfrm>
                          <a:prstGeom prst="rect">
                            <a:avLst/>
                          </a:prstGeom>
                        </pic:spPr>
                      </pic:pic>
                    </a:graphicData>
                  </a:graphic>
                </wp:inline>
              </w:drawing>
            </w:r>
          </w:p>
        </w:tc>
        <w:tc>
          <w:tcPr>
            <w:tcW w:w="3008" w:type="dxa"/>
            <w:tcBorders>
              <w:top w:val="single" w:sz="8" w:space="0" w:color="000000"/>
            </w:tcBorders>
            <w:vAlign w:val="center"/>
          </w:tcPr>
          <w:p w:rsidR="00274D4E" w:rsidRDefault="00B5732B" w:rsidP="00754DE2">
            <w:pPr>
              <w:pStyle w:val="afffffffff6"/>
              <w:ind w:firstLine="360"/>
            </w:pPr>
            <w:r>
              <w:rPr>
                <w:rFonts w:hint="eastAsia"/>
              </w:rPr>
              <w:t>图像解释：雷达水平剖面图谱中存在明显的一条区别于周围图谱的细长高亮条纹。</w:t>
            </w:r>
          </w:p>
          <w:p w:rsidR="00274D4E" w:rsidRDefault="00B5732B" w:rsidP="00754DE2">
            <w:pPr>
              <w:pStyle w:val="afffffffff6"/>
              <w:ind w:firstLine="360"/>
            </w:pPr>
            <w:r>
              <w:rPr>
                <w:rFonts w:hint="eastAsia"/>
              </w:rPr>
              <w:t>芯样情况：芯样上基层存在贯穿裂缝，面层存在未贯穿裂缝， 仅上面层可见。</w:t>
            </w:r>
          </w:p>
        </w:tc>
      </w:tr>
      <w:tr w:rsidR="00274D4E">
        <w:trPr>
          <w:trHeight w:val="2759"/>
          <w:jc w:val="center"/>
        </w:trPr>
        <w:tc>
          <w:tcPr>
            <w:tcW w:w="2442" w:type="dxa"/>
            <w:vAlign w:val="center"/>
          </w:tcPr>
          <w:p w:rsidR="00274D4E" w:rsidRDefault="00274D4E" w:rsidP="00754DE2">
            <w:pPr>
              <w:pStyle w:val="afffffffff6"/>
              <w:ind w:firstLine="360"/>
            </w:pPr>
          </w:p>
          <w:p w:rsidR="00274D4E" w:rsidRDefault="00B5732B" w:rsidP="00754DE2">
            <w:pPr>
              <w:pStyle w:val="afffffffff6"/>
              <w:ind w:firstLine="360"/>
              <w:rPr>
                <w:lang w:eastAsia="en-US"/>
              </w:rPr>
            </w:pPr>
            <w:r>
              <w:rPr>
                <w:noProof/>
              </w:rPr>
              <w:drawing>
                <wp:inline distT="0" distB="0" distL="0" distR="0" wp14:anchorId="69EA44E7" wp14:editId="5B6234F9">
                  <wp:extent cx="1527175" cy="2016125"/>
                  <wp:effectExtent l="0" t="0" r="15875" b="3175"/>
                  <wp:docPr id="38" name="IM 60"/>
                  <wp:cNvGraphicFramePr/>
                  <a:graphic xmlns:a="http://schemas.openxmlformats.org/drawingml/2006/main">
                    <a:graphicData uri="http://schemas.openxmlformats.org/drawingml/2006/picture">
                      <pic:pic xmlns:pic="http://schemas.openxmlformats.org/drawingml/2006/picture">
                        <pic:nvPicPr>
                          <pic:cNvPr id="38" name="IM 60"/>
                          <pic:cNvPicPr/>
                        </pic:nvPicPr>
                        <pic:blipFill>
                          <a:blip r:embed="rId53"/>
                          <a:stretch>
                            <a:fillRect/>
                          </a:stretch>
                        </pic:blipFill>
                        <pic:spPr>
                          <a:xfrm>
                            <a:off x="0" y="0"/>
                            <a:ext cx="1527175" cy="2016125"/>
                          </a:xfrm>
                          <a:prstGeom prst="rect">
                            <a:avLst/>
                          </a:prstGeom>
                        </pic:spPr>
                      </pic:pic>
                    </a:graphicData>
                  </a:graphic>
                </wp:inline>
              </w:drawing>
            </w:r>
          </w:p>
        </w:tc>
        <w:tc>
          <w:tcPr>
            <w:tcW w:w="1239" w:type="dxa"/>
            <w:vAlign w:val="center"/>
          </w:tcPr>
          <w:p w:rsidR="00274D4E" w:rsidRDefault="00B5732B" w:rsidP="00754DE2">
            <w:pPr>
              <w:pStyle w:val="afffffffff6"/>
              <w:ind w:firstLine="360"/>
              <w:rPr>
                <w:lang w:eastAsia="en-US"/>
              </w:rPr>
            </w:pPr>
            <w:r>
              <w:rPr>
                <w:noProof/>
              </w:rPr>
              <w:drawing>
                <wp:inline distT="0" distB="0" distL="0" distR="0" wp14:anchorId="6197133D" wp14:editId="7BCA02BE">
                  <wp:extent cx="735965" cy="2384425"/>
                  <wp:effectExtent l="0" t="0" r="6985" b="15875"/>
                  <wp:docPr id="39" name="IM 62"/>
                  <wp:cNvGraphicFramePr/>
                  <a:graphic xmlns:a="http://schemas.openxmlformats.org/drawingml/2006/main">
                    <a:graphicData uri="http://schemas.openxmlformats.org/drawingml/2006/picture">
                      <pic:pic xmlns:pic="http://schemas.openxmlformats.org/drawingml/2006/picture">
                        <pic:nvPicPr>
                          <pic:cNvPr id="39" name="IM 62"/>
                          <pic:cNvPicPr/>
                        </pic:nvPicPr>
                        <pic:blipFill>
                          <a:blip r:embed="rId54"/>
                          <a:stretch>
                            <a:fillRect/>
                          </a:stretch>
                        </pic:blipFill>
                        <pic:spPr>
                          <a:xfrm>
                            <a:off x="0" y="0"/>
                            <a:ext cx="735965" cy="2384425"/>
                          </a:xfrm>
                          <a:prstGeom prst="rect">
                            <a:avLst/>
                          </a:prstGeom>
                        </pic:spPr>
                      </pic:pic>
                    </a:graphicData>
                  </a:graphic>
                </wp:inline>
              </w:drawing>
            </w:r>
          </w:p>
        </w:tc>
        <w:tc>
          <w:tcPr>
            <w:tcW w:w="1613" w:type="dxa"/>
            <w:vAlign w:val="center"/>
          </w:tcPr>
          <w:p w:rsidR="00274D4E" w:rsidRDefault="00B5732B" w:rsidP="00754DE2">
            <w:pPr>
              <w:pStyle w:val="afffffffff6"/>
              <w:ind w:firstLine="360"/>
              <w:rPr>
                <w:lang w:eastAsia="en-US"/>
              </w:rPr>
            </w:pPr>
            <w:r>
              <w:rPr>
                <w:noProof/>
              </w:rPr>
              <w:drawing>
                <wp:inline distT="0" distB="0" distL="0" distR="0" wp14:anchorId="0FD82F55" wp14:editId="739C908A">
                  <wp:extent cx="858520" cy="2360930"/>
                  <wp:effectExtent l="0" t="0" r="17780" b="1270"/>
                  <wp:docPr id="40" name="IM 64"/>
                  <wp:cNvGraphicFramePr/>
                  <a:graphic xmlns:a="http://schemas.openxmlformats.org/drawingml/2006/main">
                    <a:graphicData uri="http://schemas.openxmlformats.org/drawingml/2006/picture">
                      <pic:pic xmlns:pic="http://schemas.openxmlformats.org/drawingml/2006/picture">
                        <pic:nvPicPr>
                          <pic:cNvPr id="40" name="IM 64"/>
                          <pic:cNvPicPr/>
                        </pic:nvPicPr>
                        <pic:blipFill>
                          <a:blip r:embed="rId55"/>
                          <a:stretch>
                            <a:fillRect/>
                          </a:stretch>
                        </pic:blipFill>
                        <pic:spPr>
                          <a:xfrm>
                            <a:off x="0" y="0"/>
                            <a:ext cx="858520" cy="2360930"/>
                          </a:xfrm>
                          <a:prstGeom prst="rect">
                            <a:avLst/>
                          </a:prstGeom>
                        </pic:spPr>
                      </pic:pic>
                    </a:graphicData>
                  </a:graphic>
                </wp:inline>
              </w:drawing>
            </w:r>
          </w:p>
        </w:tc>
        <w:tc>
          <w:tcPr>
            <w:tcW w:w="3008" w:type="dxa"/>
            <w:vAlign w:val="center"/>
          </w:tcPr>
          <w:p w:rsidR="00274D4E" w:rsidRDefault="00B5732B" w:rsidP="00754DE2">
            <w:pPr>
              <w:pStyle w:val="afffffffff6"/>
              <w:ind w:firstLine="360"/>
            </w:pPr>
            <w:r>
              <w:rPr>
                <w:rFonts w:hint="eastAsia"/>
              </w:rPr>
              <w:t>图像解释：雷达水平剖面图谱中存在明显的一条区别于周围图谱的细长高亮条纹。</w:t>
            </w:r>
          </w:p>
          <w:p w:rsidR="00274D4E" w:rsidRDefault="00B5732B" w:rsidP="00754DE2">
            <w:pPr>
              <w:pStyle w:val="afffffffff6"/>
              <w:ind w:firstLine="360"/>
            </w:pPr>
            <w:r>
              <w:rPr>
                <w:rFonts w:hint="eastAsia"/>
              </w:rPr>
              <w:t>芯样情况：芯样上基层存 在贯穿裂缝，面层（整个面层）存在贯穿裂缝，但面层与基层裂缝方向不对应。</w:t>
            </w:r>
          </w:p>
        </w:tc>
      </w:tr>
      <w:tr w:rsidR="00274D4E">
        <w:trPr>
          <w:trHeight w:val="2795"/>
          <w:jc w:val="center"/>
        </w:trPr>
        <w:tc>
          <w:tcPr>
            <w:tcW w:w="2442" w:type="dxa"/>
            <w:vAlign w:val="center"/>
          </w:tcPr>
          <w:p w:rsidR="00274D4E" w:rsidRDefault="00274D4E" w:rsidP="00754DE2">
            <w:pPr>
              <w:pStyle w:val="afffffffff6"/>
              <w:ind w:firstLine="360"/>
            </w:pPr>
          </w:p>
          <w:p w:rsidR="00274D4E" w:rsidRDefault="00274D4E" w:rsidP="00754DE2">
            <w:pPr>
              <w:pStyle w:val="afffffffff6"/>
              <w:ind w:firstLine="360"/>
            </w:pPr>
          </w:p>
          <w:p w:rsidR="00274D4E" w:rsidRDefault="00B5732B" w:rsidP="00754DE2">
            <w:pPr>
              <w:pStyle w:val="afffffffff6"/>
              <w:ind w:firstLine="360"/>
              <w:rPr>
                <w:lang w:eastAsia="en-US"/>
              </w:rPr>
            </w:pPr>
            <w:r>
              <w:rPr>
                <w:noProof/>
              </w:rPr>
              <w:drawing>
                <wp:inline distT="0" distB="0" distL="0" distR="0" wp14:anchorId="5861F4F8" wp14:editId="40FFAB3B">
                  <wp:extent cx="1560195" cy="2213610"/>
                  <wp:effectExtent l="0" t="0" r="1905" b="15240"/>
                  <wp:docPr id="41" name="IM 66"/>
                  <wp:cNvGraphicFramePr/>
                  <a:graphic xmlns:a="http://schemas.openxmlformats.org/drawingml/2006/main">
                    <a:graphicData uri="http://schemas.openxmlformats.org/drawingml/2006/picture">
                      <pic:pic xmlns:pic="http://schemas.openxmlformats.org/drawingml/2006/picture">
                        <pic:nvPicPr>
                          <pic:cNvPr id="41" name="IM 66"/>
                          <pic:cNvPicPr/>
                        </pic:nvPicPr>
                        <pic:blipFill>
                          <a:blip r:embed="rId56"/>
                          <a:stretch>
                            <a:fillRect/>
                          </a:stretch>
                        </pic:blipFill>
                        <pic:spPr>
                          <a:xfrm>
                            <a:off x="0" y="0"/>
                            <a:ext cx="1560195" cy="2213610"/>
                          </a:xfrm>
                          <a:prstGeom prst="rect">
                            <a:avLst/>
                          </a:prstGeom>
                        </pic:spPr>
                      </pic:pic>
                    </a:graphicData>
                  </a:graphic>
                </wp:inline>
              </w:drawing>
            </w:r>
          </w:p>
        </w:tc>
        <w:tc>
          <w:tcPr>
            <w:tcW w:w="1239" w:type="dxa"/>
            <w:vAlign w:val="center"/>
          </w:tcPr>
          <w:p w:rsidR="00274D4E" w:rsidRDefault="00B5732B" w:rsidP="00754DE2">
            <w:pPr>
              <w:pStyle w:val="afffffffff6"/>
              <w:ind w:firstLine="360"/>
              <w:rPr>
                <w:lang w:eastAsia="en-US"/>
              </w:rPr>
            </w:pPr>
            <w:r>
              <w:rPr>
                <w:noProof/>
              </w:rPr>
              <w:drawing>
                <wp:inline distT="0" distB="0" distL="0" distR="0" wp14:anchorId="2B58C7CF" wp14:editId="07F60DB8">
                  <wp:extent cx="771525" cy="2830195"/>
                  <wp:effectExtent l="0" t="0" r="9525" b="8255"/>
                  <wp:docPr id="42" name="IM 68"/>
                  <wp:cNvGraphicFramePr/>
                  <a:graphic xmlns:a="http://schemas.openxmlformats.org/drawingml/2006/main">
                    <a:graphicData uri="http://schemas.openxmlformats.org/drawingml/2006/picture">
                      <pic:pic xmlns:pic="http://schemas.openxmlformats.org/drawingml/2006/picture">
                        <pic:nvPicPr>
                          <pic:cNvPr id="42" name="IM 68"/>
                          <pic:cNvPicPr/>
                        </pic:nvPicPr>
                        <pic:blipFill>
                          <a:blip r:embed="rId57"/>
                          <a:stretch>
                            <a:fillRect/>
                          </a:stretch>
                        </pic:blipFill>
                        <pic:spPr>
                          <a:xfrm>
                            <a:off x="0" y="0"/>
                            <a:ext cx="771525" cy="2830195"/>
                          </a:xfrm>
                          <a:prstGeom prst="rect">
                            <a:avLst/>
                          </a:prstGeom>
                        </pic:spPr>
                      </pic:pic>
                    </a:graphicData>
                  </a:graphic>
                </wp:inline>
              </w:drawing>
            </w:r>
          </w:p>
        </w:tc>
        <w:tc>
          <w:tcPr>
            <w:tcW w:w="1613" w:type="dxa"/>
            <w:vAlign w:val="center"/>
          </w:tcPr>
          <w:p w:rsidR="00274D4E" w:rsidRDefault="00B5732B" w:rsidP="00754DE2">
            <w:pPr>
              <w:pStyle w:val="afffffffff6"/>
              <w:ind w:firstLine="360"/>
              <w:rPr>
                <w:lang w:eastAsia="en-US"/>
              </w:rPr>
            </w:pPr>
            <w:r>
              <w:rPr>
                <w:noProof/>
              </w:rPr>
              <w:drawing>
                <wp:inline distT="0" distB="0" distL="0" distR="0" wp14:anchorId="05790432" wp14:editId="0EA2960F">
                  <wp:extent cx="916940" cy="2773680"/>
                  <wp:effectExtent l="0" t="0" r="16510" b="7620"/>
                  <wp:docPr id="44" name="IM 70"/>
                  <wp:cNvGraphicFramePr/>
                  <a:graphic xmlns:a="http://schemas.openxmlformats.org/drawingml/2006/main">
                    <a:graphicData uri="http://schemas.openxmlformats.org/drawingml/2006/picture">
                      <pic:pic xmlns:pic="http://schemas.openxmlformats.org/drawingml/2006/picture">
                        <pic:nvPicPr>
                          <pic:cNvPr id="44" name="IM 70"/>
                          <pic:cNvPicPr/>
                        </pic:nvPicPr>
                        <pic:blipFill>
                          <a:blip r:embed="rId58"/>
                          <a:stretch>
                            <a:fillRect/>
                          </a:stretch>
                        </pic:blipFill>
                        <pic:spPr>
                          <a:xfrm>
                            <a:off x="0" y="0"/>
                            <a:ext cx="916940" cy="2773680"/>
                          </a:xfrm>
                          <a:prstGeom prst="rect">
                            <a:avLst/>
                          </a:prstGeom>
                        </pic:spPr>
                      </pic:pic>
                    </a:graphicData>
                  </a:graphic>
                </wp:inline>
              </w:drawing>
            </w:r>
          </w:p>
        </w:tc>
        <w:tc>
          <w:tcPr>
            <w:tcW w:w="3008" w:type="dxa"/>
            <w:vAlign w:val="center"/>
          </w:tcPr>
          <w:p w:rsidR="00274D4E" w:rsidRDefault="00B5732B" w:rsidP="00754DE2">
            <w:pPr>
              <w:pStyle w:val="afffffffff6"/>
              <w:ind w:firstLine="360"/>
            </w:pPr>
            <w:r>
              <w:rPr>
                <w:rFonts w:hint="eastAsia"/>
              </w:rPr>
              <w:t>图像解释：雷达水平剖面图谱中存在明显的一条区别于周围图谱的细长高亮条纹。</w:t>
            </w:r>
          </w:p>
          <w:p w:rsidR="00274D4E" w:rsidRDefault="00B5732B" w:rsidP="00754DE2">
            <w:pPr>
              <w:pStyle w:val="afffffffff6"/>
              <w:ind w:firstLine="360"/>
            </w:pPr>
            <w:r>
              <w:rPr>
                <w:rFonts w:hint="eastAsia"/>
              </w:rPr>
              <w:t>芯样情况：芯样沿着反射裂缝发展方向自下而上整体开裂，且面层与基层裂缝方向对应。</w:t>
            </w:r>
          </w:p>
        </w:tc>
      </w:tr>
    </w:tbl>
    <w:p w:rsidR="00274D4E" w:rsidRDefault="00B5732B" w:rsidP="00754DE2">
      <w:pPr>
        <w:pStyle w:val="aff"/>
        <w:spacing w:before="156" w:after="156"/>
      </w:pPr>
      <w:r>
        <w:rPr>
          <w:rFonts w:hint="eastAsia"/>
        </w:rPr>
        <w:lastRenderedPageBreak/>
        <w:t>结构层松散的雷达图像实例</w:t>
      </w:r>
    </w:p>
    <w:tbl>
      <w:tblPr>
        <w:tblStyle w:val="TableNormal"/>
        <w:tblW w:w="8302" w:type="dxa"/>
        <w:jc w:val="center"/>
        <w:tblInd w:w="0" w:type="dxa"/>
        <w:tblBorders>
          <w:top w:val="single" w:sz="8" w:space="0" w:color="000000"/>
          <w:left w:val="single" w:sz="8" w:space="0" w:color="000000"/>
          <w:bottom w:val="single" w:sz="8" w:space="0" w:color="000000"/>
          <w:right w:val="single" w:sz="8" w:space="0" w:color="000000"/>
          <w:insideH w:val="single" w:sz="2" w:space="0" w:color="000000"/>
          <w:insideV w:val="single" w:sz="2" w:space="0" w:color="000000"/>
        </w:tblBorders>
        <w:tblLayout w:type="fixed"/>
        <w:tblLook w:val="04A0" w:firstRow="1" w:lastRow="0" w:firstColumn="1" w:lastColumn="0" w:noHBand="0" w:noVBand="1"/>
      </w:tblPr>
      <w:tblGrid>
        <w:gridCol w:w="2560"/>
        <w:gridCol w:w="1093"/>
        <w:gridCol w:w="1528"/>
        <w:gridCol w:w="3121"/>
      </w:tblGrid>
      <w:tr w:rsidR="00274D4E">
        <w:trPr>
          <w:trHeight w:val="419"/>
          <w:jc w:val="center"/>
        </w:trPr>
        <w:tc>
          <w:tcPr>
            <w:tcW w:w="2560" w:type="dxa"/>
            <w:tcBorders>
              <w:bottom w:val="single" w:sz="8" w:space="0" w:color="000000"/>
            </w:tcBorders>
            <w:vAlign w:val="center"/>
          </w:tcPr>
          <w:p w:rsidR="00274D4E" w:rsidRDefault="00B5732B">
            <w:pPr>
              <w:pStyle w:val="afffffffff6"/>
              <w:ind w:firstLineChars="0" w:firstLine="0"/>
              <w:jc w:val="center"/>
              <w:rPr>
                <w:b/>
                <w:bCs/>
              </w:rPr>
            </w:pPr>
            <w:r>
              <w:rPr>
                <w:rFonts w:hint="eastAsia"/>
                <w:b/>
                <w:bCs/>
              </w:rPr>
              <w:t>探地雷达纵剖面图</w:t>
            </w:r>
          </w:p>
        </w:tc>
        <w:tc>
          <w:tcPr>
            <w:tcW w:w="1093" w:type="dxa"/>
            <w:tcBorders>
              <w:bottom w:val="single" w:sz="8" w:space="0" w:color="000000"/>
            </w:tcBorders>
          </w:tcPr>
          <w:p w:rsidR="00274D4E" w:rsidRDefault="00B5732B">
            <w:pPr>
              <w:pStyle w:val="afffffffff6"/>
              <w:ind w:firstLineChars="0" w:firstLine="0"/>
              <w:jc w:val="center"/>
              <w:rPr>
                <w:b/>
                <w:bCs/>
              </w:rPr>
            </w:pPr>
            <w:r>
              <w:rPr>
                <w:rFonts w:hint="eastAsia"/>
                <w:b/>
                <w:bCs/>
              </w:rPr>
              <w:t>单道波形图</w:t>
            </w:r>
          </w:p>
        </w:tc>
        <w:tc>
          <w:tcPr>
            <w:tcW w:w="1528" w:type="dxa"/>
            <w:tcBorders>
              <w:bottom w:val="single" w:sz="8" w:space="0" w:color="000000"/>
            </w:tcBorders>
          </w:tcPr>
          <w:p w:rsidR="00274D4E" w:rsidRDefault="00B5732B">
            <w:pPr>
              <w:pStyle w:val="afffffffff6"/>
              <w:ind w:firstLineChars="0" w:firstLine="0"/>
              <w:jc w:val="center"/>
              <w:rPr>
                <w:b/>
                <w:bCs/>
              </w:rPr>
            </w:pPr>
            <w:r>
              <w:rPr>
                <w:rFonts w:hint="eastAsia"/>
                <w:b/>
                <w:bCs/>
              </w:rPr>
              <w:t>芯样</w:t>
            </w:r>
          </w:p>
        </w:tc>
        <w:tc>
          <w:tcPr>
            <w:tcW w:w="3121" w:type="dxa"/>
            <w:tcBorders>
              <w:bottom w:val="single" w:sz="8" w:space="0" w:color="000000"/>
            </w:tcBorders>
          </w:tcPr>
          <w:p w:rsidR="00274D4E" w:rsidRDefault="00B5732B">
            <w:pPr>
              <w:pStyle w:val="afffffffff6"/>
              <w:ind w:firstLineChars="0" w:firstLine="0"/>
              <w:jc w:val="center"/>
              <w:rPr>
                <w:b/>
                <w:bCs/>
              </w:rPr>
            </w:pPr>
            <w:r>
              <w:rPr>
                <w:rFonts w:hint="eastAsia"/>
                <w:b/>
                <w:bCs/>
              </w:rPr>
              <w:t>信息描述</w:t>
            </w:r>
          </w:p>
        </w:tc>
      </w:tr>
      <w:tr w:rsidR="00274D4E">
        <w:trPr>
          <w:trHeight w:val="2747"/>
          <w:jc w:val="center"/>
        </w:trPr>
        <w:tc>
          <w:tcPr>
            <w:tcW w:w="2560" w:type="dxa"/>
            <w:tcBorders>
              <w:top w:val="single" w:sz="8" w:space="0" w:color="000000"/>
            </w:tcBorders>
          </w:tcPr>
          <w:p w:rsidR="00274D4E" w:rsidRDefault="00B5732B" w:rsidP="00754DE2">
            <w:pPr>
              <w:pStyle w:val="afffffffff6"/>
              <w:ind w:firstLine="360"/>
              <w:rPr>
                <w:lang w:eastAsia="en-US"/>
              </w:rPr>
            </w:pPr>
            <w:r>
              <w:rPr>
                <w:noProof/>
              </w:rPr>
              <w:drawing>
                <wp:inline distT="0" distB="0" distL="0" distR="0" wp14:anchorId="0E637127" wp14:editId="17F8A562">
                  <wp:extent cx="1610995" cy="2074545"/>
                  <wp:effectExtent l="0" t="0" r="8255" b="1905"/>
                  <wp:docPr id="45" name="IM 72"/>
                  <wp:cNvGraphicFramePr/>
                  <a:graphic xmlns:a="http://schemas.openxmlformats.org/drawingml/2006/main">
                    <a:graphicData uri="http://schemas.openxmlformats.org/drawingml/2006/picture">
                      <pic:pic xmlns:pic="http://schemas.openxmlformats.org/drawingml/2006/picture">
                        <pic:nvPicPr>
                          <pic:cNvPr id="45" name="IM 72"/>
                          <pic:cNvPicPr/>
                        </pic:nvPicPr>
                        <pic:blipFill>
                          <a:blip r:embed="rId59"/>
                          <a:stretch>
                            <a:fillRect/>
                          </a:stretch>
                        </pic:blipFill>
                        <pic:spPr>
                          <a:xfrm>
                            <a:off x="0" y="0"/>
                            <a:ext cx="1610995" cy="2074545"/>
                          </a:xfrm>
                          <a:prstGeom prst="rect">
                            <a:avLst/>
                          </a:prstGeom>
                        </pic:spPr>
                      </pic:pic>
                    </a:graphicData>
                  </a:graphic>
                </wp:inline>
              </w:drawing>
            </w:r>
          </w:p>
        </w:tc>
        <w:tc>
          <w:tcPr>
            <w:tcW w:w="1093" w:type="dxa"/>
            <w:tcBorders>
              <w:top w:val="single" w:sz="8" w:space="0" w:color="000000"/>
            </w:tcBorders>
          </w:tcPr>
          <w:p w:rsidR="00274D4E" w:rsidRDefault="00274D4E" w:rsidP="00754DE2">
            <w:pPr>
              <w:pStyle w:val="afffffffff6"/>
              <w:ind w:firstLine="360"/>
              <w:rPr>
                <w:lang w:eastAsia="en-US"/>
              </w:rPr>
            </w:pPr>
          </w:p>
          <w:p w:rsidR="00274D4E" w:rsidRDefault="00B5732B" w:rsidP="00754DE2">
            <w:pPr>
              <w:pStyle w:val="afffffffff6"/>
              <w:ind w:firstLine="360"/>
              <w:rPr>
                <w:lang w:eastAsia="en-US"/>
              </w:rPr>
            </w:pPr>
            <w:r>
              <w:rPr>
                <w:noProof/>
              </w:rPr>
              <w:drawing>
                <wp:inline distT="0" distB="0" distL="0" distR="0" wp14:anchorId="38ED6DA1" wp14:editId="079388D7">
                  <wp:extent cx="614045" cy="1911985"/>
                  <wp:effectExtent l="0" t="0" r="14605" b="12065"/>
                  <wp:docPr id="46" name="IM 74"/>
                  <wp:cNvGraphicFramePr/>
                  <a:graphic xmlns:a="http://schemas.openxmlformats.org/drawingml/2006/main">
                    <a:graphicData uri="http://schemas.openxmlformats.org/drawingml/2006/picture">
                      <pic:pic xmlns:pic="http://schemas.openxmlformats.org/drawingml/2006/picture">
                        <pic:nvPicPr>
                          <pic:cNvPr id="46" name="IM 74"/>
                          <pic:cNvPicPr/>
                        </pic:nvPicPr>
                        <pic:blipFill>
                          <a:blip r:embed="rId60"/>
                          <a:stretch>
                            <a:fillRect/>
                          </a:stretch>
                        </pic:blipFill>
                        <pic:spPr>
                          <a:xfrm>
                            <a:off x="0" y="0"/>
                            <a:ext cx="614045" cy="1911985"/>
                          </a:xfrm>
                          <a:prstGeom prst="rect">
                            <a:avLst/>
                          </a:prstGeom>
                        </pic:spPr>
                      </pic:pic>
                    </a:graphicData>
                  </a:graphic>
                </wp:inline>
              </w:drawing>
            </w:r>
          </w:p>
        </w:tc>
        <w:tc>
          <w:tcPr>
            <w:tcW w:w="1528" w:type="dxa"/>
            <w:tcBorders>
              <w:top w:val="single" w:sz="8" w:space="0" w:color="000000"/>
            </w:tcBorders>
          </w:tcPr>
          <w:p w:rsidR="00274D4E" w:rsidRDefault="00B5732B" w:rsidP="00754DE2">
            <w:pPr>
              <w:pStyle w:val="afffffffff6"/>
              <w:ind w:firstLine="360"/>
              <w:rPr>
                <w:lang w:eastAsia="en-US"/>
              </w:rPr>
            </w:pPr>
            <w:r>
              <w:rPr>
                <w:noProof/>
              </w:rPr>
              <w:drawing>
                <wp:inline distT="0" distB="0" distL="0" distR="0" wp14:anchorId="41F5614B" wp14:editId="7DA25521">
                  <wp:extent cx="789305" cy="2069465"/>
                  <wp:effectExtent l="0" t="0" r="10795" b="6985"/>
                  <wp:docPr id="47" name="IM 76"/>
                  <wp:cNvGraphicFramePr/>
                  <a:graphic xmlns:a="http://schemas.openxmlformats.org/drawingml/2006/main">
                    <a:graphicData uri="http://schemas.openxmlformats.org/drawingml/2006/picture">
                      <pic:pic xmlns:pic="http://schemas.openxmlformats.org/drawingml/2006/picture">
                        <pic:nvPicPr>
                          <pic:cNvPr id="47" name="IM 76"/>
                          <pic:cNvPicPr/>
                        </pic:nvPicPr>
                        <pic:blipFill>
                          <a:blip r:embed="rId61"/>
                          <a:stretch>
                            <a:fillRect/>
                          </a:stretch>
                        </pic:blipFill>
                        <pic:spPr>
                          <a:xfrm>
                            <a:off x="0" y="0"/>
                            <a:ext cx="789305" cy="2069465"/>
                          </a:xfrm>
                          <a:prstGeom prst="rect">
                            <a:avLst/>
                          </a:prstGeom>
                        </pic:spPr>
                      </pic:pic>
                    </a:graphicData>
                  </a:graphic>
                </wp:inline>
              </w:drawing>
            </w:r>
          </w:p>
        </w:tc>
        <w:tc>
          <w:tcPr>
            <w:tcW w:w="3121" w:type="dxa"/>
            <w:tcBorders>
              <w:top w:val="single" w:sz="8" w:space="0" w:color="000000"/>
            </w:tcBorders>
            <w:vAlign w:val="center"/>
          </w:tcPr>
          <w:p w:rsidR="00274D4E" w:rsidRDefault="00B5732B" w:rsidP="00754DE2">
            <w:pPr>
              <w:pStyle w:val="afffffffff6"/>
              <w:ind w:firstLine="360"/>
            </w:pPr>
            <w:r>
              <w:rPr>
                <w:rFonts w:hint="eastAsia"/>
              </w:rPr>
              <w:t>图像解释：雷达纵剖面图谱在上下基层层间位置同相轴不连续，上基层层内反射波杂乱，出现双曲线形状。</w:t>
            </w:r>
          </w:p>
          <w:p w:rsidR="00274D4E" w:rsidRDefault="00B5732B" w:rsidP="00754DE2">
            <w:pPr>
              <w:pStyle w:val="afffffffff6"/>
              <w:ind w:firstLine="360"/>
            </w:pPr>
            <w:r>
              <w:rPr>
                <w:rFonts w:hint="eastAsia"/>
              </w:rPr>
              <w:t>芯样情况：芯样面层层内上下分离，上基层层底位置出现集料松散。</w:t>
            </w:r>
          </w:p>
        </w:tc>
      </w:tr>
      <w:tr w:rsidR="00274D4E">
        <w:trPr>
          <w:trHeight w:val="2552"/>
          <w:jc w:val="center"/>
        </w:trPr>
        <w:tc>
          <w:tcPr>
            <w:tcW w:w="2560" w:type="dxa"/>
          </w:tcPr>
          <w:p w:rsidR="00274D4E" w:rsidRDefault="00B5732B" w:rsidP="00754DE2">
            <w:pPr>
              <w:pStyle w:val="afffffffff6"/>
              <w:ind w:firstLine="360"/>
              <w:rPr>
                <w:lang w:eastAsia="en-US"/>
              </w:rPr>
            </w:pPr>
            <w:r>
              <w:rPr>
                <w:noProof/>
              </w:rPr>
              <w:drawing>
                <wp:inline distT="0" distB="0" distL="0" distR="0" wp14:anchorId="57A8DFDA" wp14:editId="04A09A9F">
                  <wp:extent cx="1628775" cy="1906270"/>
                  <wp:effectExtent l="0" t="0" r="9525" b="17780"/>
                  <wp:docPr id="48" name="IM 78"/>
                  <wp:cNvGraphicFramePr/>
                  <a:graphic xmlns:a="http://schemas.openxmlformats.org/drawingml/2006/main">
                    <a:graphicData uri="http://schemas.openxmlformats.org/drawingml/2006/picture">
                      <pic:pic xmlns:pic="http://schemas.openxmlformats.org/drawingml/2006/picture">
                        <pic:nvPicPr>
                          <pic:cNvPr id="48" name="IM 78"/>
                          <pic:cNvPicPr/>
                        </pic:nvPicPr>
                        <pic:blipFill>
                          <a:blip r:embed="rId62"/>
                          <a:stretch>
                            <a:fillRect/>
                          </a:stretch>
                        </pic:blipFill>
                        <pic:spPr>
                          <a:xfrm>
                            <a:off x="0" y="0"/>
                            <a:ext cx="1628775" cy="1906270"/>
                          </a:xfrm>
                          <a:prstGeom prst="rect">
                            <a:avLst/>
                          </a:prstGeom>
                        </pic:spPr>
                      </pic:pic>
                    </a:graphicData>
                  </a:graphic>
                </wp:inline>
              </w:drawing>
            </w:r>
          </w:p>
        </w:tc>
        <w:tc>
          <w:tcPr>
            <w:tcW w:w="1093" w:type="dxa"/>
          </w:tcPr>
          <w:p w:rsidR="00274D4E" w:rsidRDefault="00B5732B" w:rsidP="00754DE2">
            <w:pPr>
              <w:pStyle w:val="afffffffff6"/>
              <w:ind w:firstLine="360"/>
              <w:rPr>
                <w:lang w:eastAsia="en-US"/>
              </w:rPr>
            </w:pPr>
            <w:r>
              <w:rPr>
                <w:noProof/>
              </w:rPr>
              <w:drawing>
                <wp:inline distT="0" distB="0" distL="0" distR="0" wp14:anchorId="205872DF" wp14:editId="7C3B95D2">
                  <wp:extent cx="535940" cy="1936750"/>
                  <wp:effectExtent l="0" t="0" r="16510" b="6350"/>
                  <wp:docPr id="49" name="IM 80"/>
                  <wp:cNvGraphicFramePr/>
                  <a:graphic xmlns:a="http://schemas.openxmlformats.org/drawingml/2006/main">
                    <a:graphicData uri="http://schemas.openxmlformats.org/drawingml/2006/picture">
                      <pic:pic xmlns:pic="http://schemas.openxmlformats.org/drawingml/2006/picture">
                        <pic:nvPicPr>
                          <pic:cNvPr id="49" name="IM 80"/>
                          <pic:cNvPicPr/>
                        </pic:nvPicPr>
                        <pic:blipFill>
                          <a:blip r:embed="rId63"/>
                          <a:stretch>
                            <a:fillRect/>
                          </a:stretch>
                        </pic:blipFill>
                        <pic:spPr>
                          <a:xfrm>
                            <a:off x="0" y="0"/>
                            <a:ext cx="535940" cy="1936750"/>
                          </a:xfrm>
                          <a:prstGeom prst="rect">
                            <a:avLst/>
                          </a:prstGeom>
                        </pic:spPr>
                      </pic:pic>
                    </a:graphicData>
                  </a:graphic>
                </wp:inline>
              </w:drawing>
            </w:r>
          </w:p>
        </w:tc>
        <w:tc>
          <w:tcPr>
            <w:tcW w:w="1528" w:type="dxa"/>
          </w:tcPr>
          <w:p w:rsidR="00274D4E" w:rsidRDefault="00B5732B" w:rsidP="00754DE2">
            <w:pPr>
              <w:pStyle w:val="afffffffff6"/>
              <w:ind w:firstLine="360"/>
              <w:rPr>
                <w:lang w:eastAsia="en-US"/>
              </w:rPr>
            </w:pPr>
            <w:r>
              <w:rPr>
                <w:noProof/>
              </w:rPr>
              <w:drawing>
                <wp:inline distT="0" distB="0" distL="0" distR="0" wp14:anchorId="14EF9E11" wp14:editId="478FA08E">
                  <wp:extent cx="802640" cy="1936750"/>
                  <wp:effectExtent l="0" t="0" r="16510" b="6350"/>
                  <wp:docPr id="50" name="IM 82"/>
                  <wp:cNvGraphicFramePr/>
                  <a:graphic xmlns:a="http://schemas.openxmlformats.org/drawingml/2006/main">
                    <a:graphicData uri="http://schemas.openxmlformats.org/drawingml/2006/picture">
                      <pic:pic xmlns:pic="http://schemas.openxmlformats.org/drawingml/2006/picture">
                        <pic:nvPicPr>
                          <pic:cNvPr id="50" name="IM 82"/>
                          <pic:cNvPicPr/>
                        </pic:nvPicPr>
                        <pic:blipFill>
                          <a:blip r:embed="rId64"/>
                          <a:stretch>
                            <a:fillRect/>
                          </a:stretch>
                        </pic:blipFill>
                        <pic:spPr>
                          <a:xfrm>
                            <a:off x="0" y="0"/>
                            <a:ext cx="802640" cy="1936750"/>
                          </a:xfrm>
                          <a:prstGeom prst="rect">
                            <a:avLst/>
                          </a:prstGeom>
                        </pic:spPr>
                      </pic:pic>
                    </a:graphicData>
                  </a:graphic>
                </wp:inline>
              </w:drawing>
            </w:r>
          </w:p>
        </w:tc>
        <w:tc>
          <w:tcPr>
            <w:tcW w:w="3121" w:type="dxa"/>
            <w:vAlign w:val="center"/>
          </w:tcPr>
          <w:p w:rsidR="00274D4E" w:rsidRDefault="00B5732B" w:rsidP="00754DE2">
            <w:pPr>
              <w:pStyle w:val="afffffffff6"/>
              <w:ind w:firstLine="360"/>
            </w:pPr>
            <w:r>
              <w:rPr>
                <w:rFonts w:hint="eastAsia"/>
              </w:rPr>
              <w:t>图像解释：雷达纵剖面图谱在上下基层层间位置出现主相位与雷达发射波同相的高亮区域，振幅增强，同相轴出现弯折。</w:t>
            </w:r>
          </w:p>
          <w:p w:rsidR="00274D4E" w:rsidRDefault="00B5732B" w:rsidP="00754DE2">
            <w:pPr>
              <w:pStyle w:val="afffffffff6"/>
              <w:ind w:firstLine="360"/>
            </w:pPr>
            <w:r>
              <w:rPr>
                <w:rFonts w:hint="eastAsia"/>
              </w:rPr>
              <w:t>芯样情况：芯样上基层层底位置出现集料松散。</w:t>
            </w:r>
          </w:p>
        </w:tc>
      </w:tr>
      <w:tr w:rsidR="00274D4E">
        <w:trPr>
          <w:trHeight w:val="2852"/>
          <w:jc w:val="center"/>
        </w:trPr>
        <w:tc>
          <w:tcPr>
            <w:tcW w:w="2560" w:type="dxa"/>
          </w:tcPr>
          <w:p w:rsidR="00274D4E" w:rsidRDefault="00B5732B" w:rsidP="00754DE2">
            <w:pPr>
              <w:pStyle w:val="afffffffff6"/>
              <w:ind w:firstLine="360"/>
              <w:rPr>
                <w:lang w:eastAsia="en-US"/>
              </w:rPr>
            </w:pPr>
            <w:r>
              <w:rPr>
                <w:noProof/>
              </w:rPr>
              <w:drawing>
                <wp:inline distT="0" distB="0" distL="0" distR="0" wp14:anchorId="6C0F5222" wp14:editId="22CEC76F">
                  <wp:extent cx="1637030" cy="2068830"/>
                  <wp:effectExtent l="0" t="0" r="1270" b="7620"/>
                  <wp:docPr id="51" name="IM 84"/>
                  <wp:cNvGraphicFramePr/>
                  <a:graphic xmlns:a="http://schemas.openxmlformats.org/drawingml/2006/main">
                    <a:graphicData uri="http://schemas.openxmlformats.org/drawingml/2006/picture">
                      <pic:pic xmlns:pic="http://schemas.openxmlformats.org/drawingml/2006/picture">
                        <pic:nvPicPr>
                          <pic:cNvPr id="51" name="IM 84"/>
                          <pic:cNvPicPr/>
                        </pic:nvPicPr>
                        <pic:blipFill>
                          <a:blip r:embed="rId65"/>
                          <a:stretch>
                            <a:fillRect/>
                          </a:stretch>
                        </pic:blipFill>
                        <pic:spPr>
                          <a:xfrm>
                            <a:off x="0" y="0"/>
                            <a:ext cx="1637030" cy="2068830"/>
                          </a:xfrm>
                          <a:prstGeom prst="rect">
                            <a:avLst/>
                          </a:prstGeom>
                        </pic:spPr>
                      </pic:pic>
                    </a:graphicData>
                  </a:graphic>
                </wp:inline>
              </w:drawing>
            </w:r>
          </w:p>
        </w:tc>
        <w:tc>
          <w:tcPr>
            <w:tcW w:w="1093" w:type="dxa"/>
          </w:tcPr>
          <w:p w:rsidR="00274D4E" w:rsidRDefault="00B5732B" w:rsidP="00754DE2">
            <w:pPr>
              <w:pStyle w:val="afffffffff6"/>
              <w:ind w:firstLine="360"/>
              <w:rPr>
                <w:lang w:eastAsia="en-US"/>
              </w:rPr>
            </w:pPr>
            <w:r>
              <w:rPr>
                <w:noProof/>
              </w:rPr>
              <w:drawing>
                <wp:inline distT="0" distB="0" distL="0" distR="0" wp14:anchorId="71C5A225" wp14:editId="45EA67D1">
                  <wp:extent cx="574675" cy="2086610"/>
                  <wp:effectExtent l="0" t="0" r="15875" b="8890"/>
                  <wp:docPr id="52" name="IM 86"/>
                  <wp:cNvGraphicFramePr/>
                  <a:graphic xmlns:a="http://schemas.openxmlformats.org/drawingml/2006/main">
                    <a:graphicData uri="http://schemas.openxmlformats.org/drawingml/2006/picture">
                      <pic:pic xmlns:pic="http://schemas.openxmlformats.org/drawingml/2006/picture">
                        <pic:nvPicPr>
                          <pic:cNvPr id="52" name="IM 86"/>
                          <pic:cNvPicPr/>
                        </pic:nvPicPr>
                        <pic:blipFill>
                          <a:blip r:embed="rId66"/>
                          <a:stretch>
                            <a:fillRect/>
                          </a:stretch>
                        </pic:blipFill>
                        <pic:spPr>
                          <a:xfrm>
                            <a:off x="0" y="0"/>
                            <a:ext cx="574675" cy="2086610"/>
                          </a:xfrm>
                          <a:prstGeom prst="rect">
                            <a:avLst/>
                          </a:prstGeom>
                        </pic:spPr>
                      </pic:pic>
                    </a:graphicData>
                  </a:graphic>
                </wp:inline>
              </w:drawing>
            </w:r>
          </w:p>
        </w:tc>
        <w:tc>
          <w:tcPr>
            <w:tcW w:w="1528" w:type="dxa"/>
          </w:tcPr>
          <w:p w:rsidR="00274D4E" w:rsidRDefault="00B5732B" w:rsidP="00754DE2">
            <w:pPr>
              <w:pStyle w:val="afffffffff6"/>
              <w:ind w:firstLine="360"/>
              <w:rPr>
                <w:lang w:eastAsia="en-US"/>
              </w:rPr>
            </w:pPr>
            <w:r>
              <w:rPr>
                <w:noProof/>
              </w:rPr>
              <w:drawing>
                <wp:inline distT="0" distB="0" distL="0" distR="0" wp14:anchorId="4C9D98DD" wp14:editId="54FE2B41">
                  <wp:extent cx="823595" cy="2028190"/>
                  <wp:effectExtent l="0" t="0" r="14605" b="10160"/>
                  <wp:docPr id="53" name="IM 88"/>
                  <wp:cNvGraphicFramePr/>
                  <a:graphic xmlns:a="http://schemas.openxmlformats.org/drawingml/2006/main">
                    <a:graphicData uri="http://schemas.openxmlformats.org/drawingml/2006/picture">
                      <pic:pic xmlns:pic="http://schemas.openxmlformats.org/drawingml/2006/picture">
                        <pic:nvPicPr>
                          <pic:cNvPr id="53" name="IM 88"/>
                          <pic:cNvPicPr/>
                        </pic:nvPicPr>
                        <pic:blipFill>
                          <a:blip r:embed="rId67"/>
                          <a:stretch>
                            <a:fillRect/>
                          </a:stretch>
                        </pic:blipFill>
                        <pic:spPr>
                          <a:xfrm>
                            <a:off x="0" y="0"/>
                            <a:ext cx="823595" cy="2028190"/>
                          </a:xfrm>
                          <a:prstGeom prst="rect">
                            <a:avLst/>
                          </a:prstGeom>
                        </pic:spPr>
                      </pic:pic>
                    </a:graphicData>
                  </a:graphic>
                </wp:inline>
              </w:drawing>
            </w:r>
          </w:p>
        </w:tc>
        <w:tc>
          <w:tcPr>
            <w:tcW w:w="3121" w:type="dxa"/>
            <w:vAlign w:val="center"/>
          </w:tcPr>
          <w:p w:rsidR="00274D4E" w:rsidRDefault="00B5732B" w:rsidP="00754DE2">
            <w:pPr>
              <w:pStyle w:val="afffffffff6"/>
              <w:ind w:firstLine="360"/>
            </w:pPr>
            <w:r>
              <w:rPr>
                <w:rFonts w:hint="eastAsia"/>
              </w:rPr>
              <w:t>图像解释：雷达纵剖面图谱在上下基层层间位置同相轴不连续， 出现主相位与雷达发射波同相的高亮区域，上基层层内反射波杂乱，出现双曲线形状。</w:t>
            </w:r>
          </w:p>
          <w:p w:rsidR="00274D4E" w:rsidRDefault="00B5732B" w:rsidP="00754DE2">
            <w:pPr>
              <w:pStyle w:val="afffffffff6"/>
              <w:ind w:firstLine="360"/>
            </w:pPr>
            <w:r>
              <w:rPr>
                <w:rFonts w:hint="eastAsia"/>
              </w:rPr>
              <w:t>芯样情况：芯样上基层层底位置出现集料松散。</w:t>
            </w:r>
          </w:p>
        </w:tc>
      </w:tr>
    </w:tbl>
    <w:p w:rsidR="00274D4E" w:rsidRDefault="00274D4E" w:rsidP="00754DE2">
      <w:pPr>
        <w:pStyle w:val="afffffffff6"/>
        <w:ind w:firstLine="360"/>
      </w:pP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sectPr w:rsidR="00274D4E">
          <w:pgSz w:w="11906" w:h="16838"/>
          <w:pgMar w:top="1928" w:right="1134" w:bottom="1134" w:left="1134" w:header="1418" w:footer="1134" w:gutter="284"/>
          <w:cols w:space="425"/>
          <w:formProt w:val="0"/>
          <w:docGrid w:type="lines" w:linePitch="312"/>
        </w:sectPr>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（资料性）</w:t>
      </w:r>
      <w:r>
        <w:rPr>
          <w:rFonts w:hint="eastAsia"/>
        </w:rPr>
        <w:br/>
        <w:t>典型路基土体坍塌病害探地雷达图像</w:t>
      </w:r>
    </w:p>
    <w:p w:rsidR="00274D4E" w:rsidRDefault="00B5732B">
      <w:pPr>
        <w:ind w:firstLineChars="200" w:firstLine="420"/>
        <w:rPr>
          <w:rFonts w:ascii="宋体" w:hAnsi="宋体" w:cs="宋体"/>
          <w:bCs/>
          <w:color w:val="000000"/>
          <w:kern w:val="0"/>
        </w:rPr>
      </w:pPr>
      <w:r>
        <w:rPr>
          <w:rFonts w:ascii="宋体" w:hAnsi="宋体" w:cs="宋体" w:hint="eastAsia"/>
          <w:bCs/>
          <w:color w:val="000000"/>
          <w:kern w:val="0"/>
        </w:rPr>
        <w:t>路基土体坍塌病害及地下构筑物的探地雷达图像因其形态变化而变化，不同病害的二维探地雷达图像与三维探地雷达图像也存在一定差异。本文件给出了部分典型路基土体坍塌病害二维探地雷达图像（图D.1-图D.3）,三维探地雷达图像（D.9-图D.11）以及地下管线、过街天桥等干扰源的二维（图D.4-图D.8）及三维（图D.12-图D.13）探地雷达图像。</w:t>
      </w:r>
    </w:p>
    <w:p w:rsidR="00274D4E" w:rsidRDefault="00B5732B" w:rsidP="00754DE2">
      <w:pPr>
        <w:pStyle w:val="afffffffff6"/>
        <w:ind w:firstLine="360"/>
        <w:jc w:val="center"/>
      </w:pPr>
      <w:r>
        <w:rPr>
          <w:noProof/>
        </w:rPr>
        <w:drawing>
          <wp:inline distT="0" distB="0" distL="114300" distR="114300" wp14:anchorId="35CE35B4" wp14:editId="42EF131B">
            <wp:extent cx="2088515" cy="1800225"/>
            <wp:effectExtent l="0" t="0" r="6985" b="9525"/>
            <wp:docPr id="62" name="图片 3" descr="../../../4%25252525252525252525252525252525252525252525252525252525252525252520成果整理/1%25252525252525252525252525252525252525252525252525252525252525252520隐患卡/NS-LXDD-WE04-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4%25252525252525252525252525252525252525252525252525252525252525252520成果整理/1%25252525252525252525252525252525252525252525252525252525252525252520隐患卡/NS-LXDD-WE04-001/二维雷达.jpg"/>
                    <pic:cNvPicPr>
                      <a:picLocks noChangeAspect="1"/>
                    </pic:cNvPicPr>
                  </pic:nvPicPr>
                  <pic:blipFill>
                    <a:blip r:embed="rId68"/>
                    <a:stretch>
                      <a:fillRect/>
                    </a:stretch>
                  </pic:blipFill>
                  <pic:spPr>
                    <a:xfrm>
                      <a:off x="0" y="0"/>
                      <a:ext cx="2088515" cy="1800225"/>
                    </a:xfrm>
                    <a:prstGeom prst="rect">
                      <a:avLst/>
                    </a:prstGeom>
                    <a:noFill/>
                    <a:ln>
                      <a:noFill/>
                    </a:ln>
                  </pic:spPr>
                </pic:pic>
              </a:graphicData>
            </a:graphic>
          </wp:inline>
        </w:drawing>
      </w:r>
      <w:r>
        <w:rPr>
          <w:noProof/>
        </w:rPr>
        <w:drawing>
          <wp:inline distT="0" distB="0" distL="114300" distR="114300" wp14:anchorId="68BCCF0B" wp14:editId="2E5FC9D7">
            <wp:extent cx="2212340" cy="1800225"/>
            <wp:effectExtent l="0" t="0" r="16510" b="9525"/>
            <wp:docPr id="59" name="图片 4" descr="../../../4%252525252525252525252525252525252525252525252525252525252525252525252520成果整理/1%252525252525252525252525252525252525252525252525252525252525252525252520隐患卡/NS-SWSL-WE01-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4%252525252525252525252525252525252525252525252525252525252525252525252520成果整理/1%252525252525252525252525252525252525252525252525252525252525252525252520隐患卡/NS-SWSL-WE01-001/二维雷达.jpg"/>
                    <pic:cNvPicPr>
                      <a:picLocks noChangeAspect="1"/>
                    </pic:cNvPicPr>
                  </pic:nvPicPr>
                  <pic:blipFill>
                    <a:blip r:embed="rId69"/>
                    <a:srcRect t="5827"/>
                    <a:stretch>
                      <a:fillRect/>
                    </a:stretch>
                  </pic:blipFill>
                  <pic:spPr>
                    <a:xfrm>
                      <a:off x="0" y="0"/>
                      <a:ext cx="2212340" cy="1800225"/>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典型空洞探地雷达图像（二维探地雷达）</w:t>
      </w:r>
    </w:p>
    <w:p w:rsidR="00274D4E" w:rsidRDefault="00B5732B" w:rsidP="00754DE2">
      <w:pPr>
        <w:pStyle w:val="afffffffff6"/>
        <w:ind w:firstLine="360"/>
        <w:jc w:val="center"/>
      </w:pPr>
      <w:r>
        <w:rPr>
          <w:noProof/>
        </w:rPr>
        <w:drawing>
          <wp:inline distT="0" distB="0" distL="114300" distR="114300" wp14:anchorId="2BCF05B6" wp14:editId="401AF155">
            <wp:extent cx="2209800" cy="1691005"/>
            <wp:effectExtent l="0" t="0" r="0" b="4445"/>
            <wp:docPr id="58" name="图片 5" descr="../../../4%2525252525252525252525252525252525252525252525252525252525252525252520成果整理/1%2525252525252525252525252525252525252525252525252525252525252525252520隐患卡/NS-KJZSL-SN02-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4%2525252525252525252525252525252525252525252525252525252525252525252520成果整理/1%2525252525252525252525252525252525252525252525252525252525252525252520隐患卡/NS-KJZSL-SN02-001/二维雷达.jpg"/>
                    <pic:cNvPicPr>
                      <a:picLocks noChangeAspect="1"/>
                    </pic:cNvPicPr>
                  </pic:nvPicPr>
                  <pic:blipFill>
                    <a:blip r:embed="rId70"/>
                    <a:srcRect t="6435"/>
                    <a:stretch>
                      <a:fillRect/>
                    </a:stretch>
                  </pic:blipFill>
                  <pic:spPr>
                    <a:xfrm>
                      <a:off x="0" y="0"/>
                      <a:ext cx="2209800" cy="1691005"/>
                    </a:xfrm>
                    <a:prstGeom prst="rect">
                      <a:avLst/>
                    </a:prstGeom>
                    <a:noFill/>
                    <a:ln>
                      <a:noFill/>
                    </a:ln>
                  </pic:spPr>
                </pic:pic>
              </a:graphicData>
            </a:graphic>
          </wp:inline>
        </w:drawing>
      </w:r>
      <w:r>
        <w:rPr>
          <w:noProof/>
        </w:rPr>
        <w:drawing>
          <wp:inline distT="0" distB="0" distL="114300" distR="114300" wp14:anchorId="64A91807" wp14:editId="460BAFB1">
            <wp:extent cx="1612900" cy="1624330"/>
            <wp:effectExtent l="0" t="0" r="6350" b="1397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71"/>
                    <a:stretch>
                      <a:fillRect/>
                    </a:stretch>
                  </pic:blipFill>
                  <pic:spPr>
                    <a:xfrm>
                      <a:off x="0" y="0"/>
                      <a:ext cx="1612900" cy="1624330"/>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典型脱空探地雷达图像（二维探地雷达）</w:t>
      </w:r>
    </w:p>
    <w:p w:rsidR="00274D4E" w:rsidRDefault="00B5732B" w:rsidP="00754DE2">
      <w:pPr>
        <w:pStyle w:val="afffffffff6"/>
        <w:ind w:firstLine="360"/>
        <w:jc w:val="center"/>
      </w:pPr>
      <w:r>
        <w:rPr>
          <w:noProof/>
        </w:rPr>
        <w:drawing>
          <wp:inline distT="0" distB="0" distL="114300" distR="114300" wp14:anchorId="495FE966" wp14:editId="7F89CE8F">
            <wp:extent cx="2037080" cy="1567180"/>
            <wp:effectExtent l="0" t="0" r="1270" b="13970"/>
            <wp:docPr id="57" name="图片 7" descr="../../../4%252525252525252525252525252525252525252525252525252525252525252520成果整理/1%252525252525252525252525252525252525252525252525252525252525252520隐患卡/YT-HJEL-SN01-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4%252525252525252525252525252525252525252525252525252525252525252520成果整理/1%252525252525252525252525252525252525252525252525252525252525252520隐患卡/YT-HJEL-SN01-001/二维雷达.jpg"/>
                    <pic:cNvPicPr>
                      <a:picLocks noChangeAspect="1"/>
                    </pic:cNvPicPr>
                  </pic:nvPicPr>
                  <pic:blipFill>
                    <a:blip r:embed="rId72"/>
                    <a:stretch>
                      <a:fillRect/>
                    </a:stretch>
                  </pic:blipFill>
                  <pic:spPr>
                    <a:xfrm>
                      <a:off x="0" y="0"/>
                      <a:ext cx="2037080" cy="1567180"/>
                    </a:xfrm>
                    <a:prstGeom prst="rect">
                      <a:avLst/>
                    </a:prstGeom>
                    <a:noFill/>
                    <a:ln>
                      <a:noFill/>
                    </a:ln>
                  </pic:spPr>
                </pic:pic>
              </a:graphicData>
            </a:graphic>
          </wp:inline>
        </w:drawing>
      </w:r>
      <w:r>
        <w:rPr>
          <w:noProof/>
        </w:rPr>
        <w:drawing>
          <wp:inline distT="0" distB="0" distL="114300" distR="114300" wp14:anchorId="64C6425A" wp14:editId="24EC6105">
            <wp:extent cx="2169160" cy="1560195"/>
            <wp:effectExtent l="0" t="0" r="2540" b="1905"/>
            <wp:docPr id="54" name="图片 8" descr="../../../4%252525252525252525252525252525252525252525252525252525252525252520成果整理/1%252525252525252525252525252525252525252525252525252525252525252520隐患卡/LU-HLL-WE01-001/二维雷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4%252525252525252525252525252525252525252525252525252525252525252520成果整理/1%252525252525252525252525252525252525252525252525252525252525252520隐患卡/LU-HLL-WE01-001/二维雷达.jpg"/>
                    <pic:cNvPicPr>
                      <a:picLocks noChangeAspect="1"/>
                    </pic:cNvPicPr>
                  </pic:nvPicPr>
                  <pic:blipFill>
                    <a:blip r:embed="rId73"/>
                    <a:srcRect t="6981"/>
                    <a:stretch>
                      <a:fillRect/>
                    </a:stretch>
                  </pic:blipFill>
                  <pic:spPr>
                    <a:xfrm>
                      <a:off x="0" y="0"/>
                      <a:ext cx="2169160" cy="1560195"/>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典型疏松体探地雷达图像（二维探地雷达）</w:t>
      </w:r>
    </w:p>
    <w:p w:rsidR="00274D4E" w:rsidRDefault="00B5732B">
      <w:pPr>
        <w:snapToGrid w:val="0"/>
        <w:spacing w:line="360" w:lineRule="auto"/>
        <w:jc w:val="center"/>
        <w:rPr>
          <w:rFonts w:cs="Arial"/>
        </w:rPr>
      </w:pPr>
      <w:r>
        <w:rPr>
          <w:rFonts w:cs="Arial"/>
          <w:noProof/>
        </w:rPr>
        <w:lastRenderedPageBreak/>
        <w:drawing>
          <wp:inline distT="0" distB="0" distL="0" distR="0" wp14:anchorId="1B52CCFE" wp14:editId="528EED63">
            <wp:extent cx="2522220" cy="1223010"/>
            <wp:effectExtent l="0" t="0" r="11430" b="15240"/>
            <wp:docPr id="1110" name="图片 585"/>
            <wp:cNvGraphicFramePr/>
            <a:graphic xmlns:a="http://schemas.openxmlformats.org/drawingml/2006/main">
              <a:graphicData uri="http://schemas.openxmlformats.org/drawingml/2006/picture">
                <pic:pic xmlns:pic="http://schemas.openxmlformats.org/drawingml/2006/picture">
                  <pic:nvPicPr>
                    <pic:cNvPr id="1110" name="图片 585"/>
                    <pic:cNvPicPr/>
                  </pic:nvPicPr>
                  <pic:blipFill>
                    <a:blip r:embed="rId74" cstate="print"/>
                    <a:srcRect/>
                    <a:stretch>
                      <a:fillRect/>
                    </a:stretch>
                  </pic:blipFill>
                  <pic:spPr>
                    <a:xfrm>
                      <a:off x="0" y="0"/>
                      <a:ext cx="2522220" cy="1223010"/>
                    </a:xfrm>
                    <a:prstGeom prst="rect">
                      <a:avLst/>
                    </a:prstGeom>
                  </pic:spPr>
                </pic:pic>
              </a:graphicData>
            </a:graphic>
          </wp:inline>
        </w:drawing>
      </w:r>
      <w:r>
        <w:rPr>
          <w:rFonts w:cs="Arial"/>
          <w:noProof/>
        </w:rPr>
        <w:drawing>
          <wp:inline distT="0" distB="0" distL="0" distR="0" wp14:anchorId="5035C2E2" wp14:editId="398242BA">
            <wp:extent cx="2519680" cy="1224280"/>
            <wp:effectExtent l="0" t="0" r="13970" b="13970"/>
            <wp:docPr id="1111" name="图片 586"/>
            <wp:cNvGraphicFramePr/>
            <a:graphic xmlns:a="http://schemas.openxmlformats.org/drawingml/2006/main">
              <a:graphicData uri="http://schemas.openxmlformats.org/drawingml/2006/picture">
                <pic:pic xmlns:pic="http://schemas.openxmlformats.org/drawingml/2006/picture">
                  <pic:nvPicPr>
                    <pic:cNvPr id="1111" name="图片 586"/>
                    <pic:cNvPicPr/>
                  </pic:nvPicPr>
                  <pic:blipFill>
                    <a:blip r:embed="rId75" cstate="print"/>
                    <a:srcRect/>
                    <a:stretch>
                      <a:fillRect/>
                    </a:stretch>
                  </pic:blipFill>
                  <pic:spPr>
                    <a:xfrm>
                      <a:off x="0" y="0"/>
                      <a:ext cx="2519680" cy="1224280"/>
                    </a:xfrm>
                    <a:prstGeom prst="rect">
                      <a:avLst/>
                    </a:prstGeom>
                  </pic:spPr>
                </pic:pic>
              </a:graphicData>
            </a:graphic>
          </wp:inline>
        </w:drawing>
      </w:r>
    </w:p>
    <w:p w:rsidR="00274D4E" w:rsidRDefault="00B5732B" w:rsidP="00754DE2">
      <w:pPr>
        <w:pStyle w:val="af6"/>
        <w:spacing w:before="156" w:after="156"/>
      </w:pPr>
      <w:r>
        <w:rPr>
          <w:rFonts w:hint="eastAsia"/>
        </w:rPr>
        <w:t>过街天桥和高架桥探地雷达图像（二维探地雷达）</w:t>
      </w:r>
    </w:p>
    <w:p w:rsidR="00274D4E" w:rsidRDefault="00B5732B">
      <w:pPr>
        <w:snapToGrid w:val="0"/>
        <w:spacing w:line="360" w:lineRule="auto"/>
        <w:jc w:val="center"/>
        <w:rPr>
          <w:rFonts w:cs="Arial"/>
        </w:rPr>
      </w:pPr>
      <w:r>
        <w:rPr>
          <w:rFonts w:cs="Arial"/>
          <w:noProof/>
        </w:rPr>
        <w:drawing>
          <wp:inline distT="0" distB="0" distL="0" distR="0" wp14:anchorId="55469F41" wp14:editId="1158579C">
            <wp:extent cx="2563495" cy="1065530"/>
            <wp:effectExtent l="0" t="0" r="8255" b="1270"/>
            <wp:docPr id="1113" name="图片 587"/>
            <wp:cNvGraphicFramePr/>
            <a:graphic xmlns:a="http://schemas.openxmlformats.org/drawingml/2006/main">
              <a:graphicData uri="http://schemas.openxmlformats.org/drawingml/2006/picture">
                <pic:pic xmlns:pic="http://schemas.openxmlformats.org/drawingml/2006/picture">
                  <pic:nvPicPr>
                    <pic:cNvPr id="1113" name="图片 587"/>
                    <pic:cNvPicPr/>
                  </pic:nvPicPr>
                  <pic:blipFill>
                    <a:blip r:embed="rId76" cstate="print"/>
                    <a:srcRect r="6666" b="8535"/>
                    <a:stretch>
                      <a:fillRect/>
                    </a:stretch>
                  </pic:blipFill>
                  <pic:spPr>
                    <a:xfrm>
                      <a:off x="0" y="0"/>
                      <a:ext cx="2563495" cy="1065530"/>
                    </a:xfrm>
                    <a:prstGeom prst="rect">
                      <a:avLst/>
                    </a:prstGeom>
                    <a:ln>
                      <a:noFill/>
                    </a:ln>
                  </pic:spPr>
                </pic:pic>
              </a:graphicData>
            </a:graphic>
          </wp:inline>
        </w:drawing>
      </w:r>
      <w:r>
        <w:rPr>
          <w:rFonts w:cs="Arial"/>
          <w:noProof/>
        </w:rPr>
        <w:drawing>
          <wp:inline distT="0" distB="0" distL="0" distR="0" wp14:anchorId="0525AABB" wp14:editId="11137E1C">
            <wp:extent cx="2520950" cy="1066800"/>
            <wp:effectExtent l="0" t="0" r="12700" b="0"/>
            <wp:docPr id="1114" name="图片 588"/>
            <wp:cNvGraphicFramePr/>
            <a:graphic xmlns:a="http://schemas.openxmlformats.org/drawingml/2006/main">
              <a:graphicData uri="http://schemas.openxmlformats.org/drawingml/2006/picture">
                <pic:pic xmlns:pic="http://schemas.openxmlformats.org/drawingml/2006/picture">
                  <pic:nvPicPr>
                    <pic:cNvPr id="1114" name="图片 588"/>
                    <pic:cNvPicPr/>
                  </pic:nvPicPr>
                  <pic:blipFill>
                    <a:blip r:embed="rId77" cstate="print"/>
                    <a:srcRect/>
                    <a:stretch>
                      <a:fillRect/>
                    </a:stretch>
                  </pic:blipFill>
                  <pic:spPr>
                    <a:xfrm>
                      <a:off x="0" y="0"/>
                      <a:ext cx="2520950" cy="1066800"/>
                    </a:xfrm>
                    <a:prstGeom prst="rect">
                      <a:avLst/>
                    </a:prstGeom>
                  </pic:spPr>
                </pic:pic>
              </a:graphicData>
            </a:graphic>
          </wp:inline>
        </w:drawing>
      </w:r>
    </w:p>
    <w:p w:rsidR="00274D4E" w:rsidRDefault="00B5732B" w:rsidP="00754DE2">
      <w:pPr>
        <w:pStyle w:val="af6"/>
        <w:spacing w:before="156" w:after="156"/>
      </w:pPr>
      <w:r>
        <w:rPr>
          <w:rFonts w:hAnsi="黑体" w:hint="eastAsia"/>
          <w:szCs w:val="21"/>
        </w:rPr>
        <w:t>地表金属井盖</w:t>
      </w:r>
      <w:r>
        <w:rPr>
          <w:rFonts w:hint="eastAsia"/>
        </w:rPr>
        <w:t>和</w:t>
      </w:r>
      <w:r>
        <w:rPr>
          <w:rFonts w:hAnsi="黑体" w:hint="eastAsia"/>
          <w:szCs w:val="21"/>
        </w:rPr>
        <w:t>地面钢板</w:t>
      </w:r>
      <w:r>
        <w:rPr>
          <w:rFonts w:hint="eastAsia"/>
        </w:rPr>
        <w:t>探地雷达图像（二维探地雷达）</w:t>
      </w:r>
    </w:p>
    <w:p w:rsidR="00274D4E" w:rsidRDefault="00B5732B">
      <w:pPr>
        <w:snapToGrid w:val="0"/>
        <w:spacing w:line="360" w:lineRule="auto"/>
        <w:jc w:val="center"/>
        <w:rPr>
          <w:rFonts w:cs="Arial"/>
        </w:rPr>
      </w:pPr>
      <w:r>
        <w:rPr>
          <w:rFonts w:cs="Arial"/>
          <w:noProof/>
        </w:rPr>
        <w:drawing>
          <wp:inline distT="0" distB="0" distL="0" distR="0" wp14:anchorId="33D9B829" wp14:editId="427ADB61">
            <wp:extent cx="2522220" cy="1321435"/>
            <wp:effectExtent l="0" t="0" r="11430" b="12065"/>
            <wp:docPr id="1118" name="图片 591"/>
            <wp:cNvGraphicFramePr/>
            <a:graphic xmlns:a="http://schemas.openxmlformats.org/drawingml/2006/main">
              <a:graphicData uri="http://schemas.openxmlformats.org/drawingml/2006/picture">
                <pic:pic xmlns:pic="http://schemas.openxmlformats.org/drawingml/2006/picture">
                  <pic:nvPicPr>
                    <pic:cNvPr id="1118" name="图片 591"/>
                    <pic:cNvPicPr/>
                  </pic:nvPicPr>
                  <pic:blipFill>
                    <a:blip r:embed="rId78" cstate="print"/>
                    <a:srcRect/>
                    <a:stretch>
                      <a:fillRect/>
                    </a:stretch>
                  </pic:blipFill>
                  <pic:spPr>
                    <a:xfrm>
                      <a:off x="0" y="0"/>
                      <a:ext cx="2522220" cy="1321435"/>
                    </a:xfrm>
                    <a:prstGeom prst="rect">
                      <a:avLst/>
                    </a:prstGeom>
                  </pic:spPr>
                </pic:pic>
              </a:graphicData>
            </a:graphic>
          </wp:inline>
        </w:drawing>
      </w:r>
      <w:r>
        <w:rPr>
          <w:rFonts w:cs="Arial"/>
          <w:noProof/>
        </w:rPr>
        <w:drawing>
          <wp:inline distT="0" distB="0" distL="0" distR="0" wp14:anchorId="7E3EF3F2" wp14:editId="502197B4">
            <wp:extent cx="2519680" cy="1329690"/>
            <wp:effectExtent l="0" t="0" r="13970" b="3810"/>
            <wp:docPr id="1119" name="图片 592"/>
            <wp:cNvGraphicFramePr/>
            <a:graphic xmlns:a="http://schemas.openxmlformats.org/drawingml/2006/main">
              <a:graphicData uri="http://schemas.openxmlformats.org/drawingml/2006/picture">
                <pic:pic xmlns:pic="http://schemas.openxmlformats.org/drawingml/2006/picture">
                  <pic:nvPicPr>
                    <pic:cNvPr id="1119" name="图片 592"/>
                    <pic:cNvPicPr/>
                  </pic:nvPicPr>
                  <pic:blipFill>
                    <a:blip r:embed="rId79" cstate="print"/>
                    <a:srcRect/>
                    <a:stretch>
                      <a:fillRect/>
                    </a:stretch>
                  </pic:blipFill>
                  <pic:spPr>
                    <a:xfrm>
                      <a:off x="0" y="0"/>
                      <a:ext cx="2519680" cy="1329690"/>
                    </a:xfrm>
                    <a:prstGeom prst="rect">
                      <a:avLst/>
                    </a:prstGeom>
                  </pic:spPr>
                </pic:pic>
              </a:graphicData>
            </a:graphic>
          </wp:inline>
        </w:drawing>
      </w:r>
    </w:p>
    <w:p w:rsidR="00274D4E" w:rsidRDefault="00B5732B" w:rsidP="00754DE2">
      <w:pPr>
        <w:pStyle w:val="af6"/>
        <w:spacing w:before="156" w:after="156"/>
      </w:pPr>
      <w:r>
        <w:rPr>
          <w:rFonts w:hAnsi="黑体" w:hint="eastAsia"/>
          <w:szCs w:val="21"/>
        </w:rPr>
        <w:t>典型路灯杆干扰</w:t>
      </w:r>
      <w:r>
        <w:rPr>
          <w:rFonts w:hint="eastAsia"/>
        </w:rPr>
        <w:t>和</w:t>
      </w:r>
      <w:r>
        <w:rPr>
          <w:rFonts w:hAnsi="黑体" w:hint="eastAsia"/>
          <w:szCs w:val="21"/>
        </w:rPr>
        <w:t>高空输电线</w:t>
      </w:r>
      <w:r>
        <w:rPr>
          <w:rFonts w:hint="eastAsia"/>
        </w:rPr>
        <w:t>探地雷达图像（二维探地雷达）</w:t>
      </w:r>
    </w:p>
    <w:p w:rsidR="00274D4E" w:rsidRDefault="00B5732B">
      <w:pPr>
        <w:snapToGrid w:val="0"/>
        <w:spacing w:line="360" w:lineRule="auto"/>
        <w:jc w:val="center"/>
        <w:rPr>
          <w:rFonts w:cs="Arial"/>
        </w:rPr>
      </w:pPr>
      <w:r>
        <w:rPr>
          <w:rFonts w:cs="Arial"/>
          <w:noProof/>
        </w:rPr>
        <w:drawing>
          <wp:inline distT="0" distB="0" distL="0" distR="0" wp14:anchorId="33C5B9EB" wp14:editId="437A4AEE">
            <wp:extent cx="2517140" cy="1447800"/>
            <wp:effectExtent l="0" t="0" r="16510" b="0"/>
            <wp:docPr id="1121" name="图片 593"/>
            <wp:cNvGraphicFramePr/>
            <a:graphic xmlns:a="http://schemas.openxmlformats.org/drawingml/2006/main">
              <a:graphicData uri="http://schemas.openxmlformats.org/drawingml/2006/picture">
                <pic:pic xmlns:pic="http://schemas.openxmlformats.org/drawingml/2006/picture">
                  <pic:nvPicPr>
                    <pic:cNvPr id="1121" name="图片 593"/>
                    <pic:cNvPicPr/>
                  </pic:nvPicPr>
                  <pic:blipFill>
                    <a:blip r:embed="rId80" cstate="print"/>
                    <a:srcRect/>
                    <a:stretch>
                      <a:fillRect/>
                    </a:stretch>
                  </pic:blipFill>
                  <pic:spPr>
                    <a:xfrm>
                      <a:off x="0" y="0"/>
                      <a:ext cx="2517140" cy="1447800"/>
                    </a:xfrm>
                    <a:prstGeom prst="rect">
                      <a:avLst/>
                    </a:prstGeom>
                  </pic:spPr>
                </pic:pic>
              </a:graphicData>
            </a:graphic>
          </wp:inline>
        </w:drawing>
      </w:r>
      <w:r>
        <w:rPr>
          <w:rFonts w:cs="Arial"/>
          <w:noProof/>
        </w:rPr>
        <w:drawing>
          <wp:inline distT="0" distB="0" distL="0" distR="0" wp14:anchorId="45996F24" wp14:editId="2A499A63">
            <wp:extent cx="2519680" cy="1438910"/>
            <wp:effectExtent l="0" t="0" r="13970" b="8890"/>
            <wp:docPr id="1122" name="图片 594" descr="D:\1、工程物探\地质雷达\2014物005  2014年地下管线周边土体病害检测（02包）\报告编写相关资料\疑似缺陷截图\干扰或地下构筑物案例数据\T20011  构筑物，同20005.png"/>
            <wp:cNvGraphicFramePr/>
            <a:graphic xmlns:a="http://schemas.openxmlformats.org/drawingml/2006/main">
              <a:graphicData uri="http://schemas.openxmlformats.org/drawingml/2006/picture">
                <pic:pic xmlns:pic="http://schemas.openxmlformats.org/drawingml/2006/picture">
                  <pic:nvPicPr>
                    <pic:cNvPr id="1122" name="图片 594" descr="D:\1、工程物探\地质雷达\2014物005  2014年地下管线周边土体病害检测（02包）\报告编写相关资料\疑似缺陷截图\干扰或地下构筑物案例数据\T20011  构筑物，同20005.png"/>
                    <pic:cNvPicPr/>
                  </pic:nvPicPr>
                  <pic:blipFill>
                    <a:blip r:embed="rId81" cstate="print"/>
                    <a:srcRect/>
                    <a:stretch>
                      <a:fillRect/>
                    </a:stretch>
                  </pic:blipFill>
                  <pic:spPr>
                    <a:xfrm>
                      <a:off x="0" y="0"/>
                      <a:ext cx="2519680" cy="1438910"/>
                    </a:xfrm>
                    <a:prstGeom prst="rect">
                      <a:avLst/>
                    </a:prstGeom>
                    <a:ln>
                      <a:noFill/>
                    </a:ln>
                  </pic:spPr>
                </pic:pic>
              </a:graphicData>
            </a:graphic>
          </wp:inline>
        </w:drawing>
      </w:r>
    </w:p>
    <w:p w:rsidR="00274D4E" w:rsidRDefault="00B5732B" w:rsidP="00754DE2">
      <w:pPr>
        <w:pStyle w:val="af6"/>
        <w:spacing w:before="156" w:after="156"/>
      </w:pPr>
      <w:r>
        <w:rPr>
          <w:rFonts w:hAnsi="黑体" w:hint="eastAsia"/>
          <w:szCs w:val="21"/>
        </w:rPr>
        <w:t>典型地下管线</w:t>
      </w:r>
      <w:r>
        <w:rPr>
          <w:rFonts w:hint="eastAsia"/>
        </w:rPr>
        <w:t>和</w:t>
      </w:r>
      <w:r>
        <w:rPr>
          <w:rFonts w:hAnsi="黑体" w:hint="eastAsia"/>
          <w:szCs w:val="21"/>
        </w:rPr>
        <w:t>地下方形管沟</w:t>
      </w:r>
      <w:r>
        <w:rPr>
          <w:rFonts w:hint="eastAsia"/>
        </w:rPr>
        <w:t>探地雷达图像（二维探地雷达）</w:t>
      </w:r>
    </w:p>
    <w:p w:rsidR="00274D4E" w:rsidRDefault="00B5732B">
      <w:pPr>
        <w:snapToGrid w:val="0"/>
        <w:spacing w:line="360" w:lineRule="auto"/>
        <w:jc w:val="center"/>
        <w:rPr>
          <w:rFonts w:cs="Arial"/>
        </w:rPr>
      </w:pPr>
      <w:r>
        <w:rPr>
          <w:rFonts w:cs="Arial"/>
          <w:noProof/>
        </w:rPr>
        <w:drawing>
          <wp:inline distT="0" distB="0" distL="0" distR="0" wp14:anchorId="64B4876D" wp14:editId="7CBC5B07">
            <wp:extent cx="2519680" cy="1297940"/>
            <wp:effectExtent l="0" t="0" r="13970" b="16510"/>
            <wp:docPr id="1123" name="图片 595"/>
            <wp:cNvGraphicFramePr/>
            <a:graphic xmlns:a="http://schemas.openxmlformats.org/drawingml/2006/main">
              <a:graphicData uri="http://schemas.openxmlformats.org/drawingml/2006/picture">
                <pic:pic xmlns:pic="http://schemas.openxmlformats.org/drawingml/2006/picture">
                  <pic:nvPicPr>
                    <pic:cNvPr id="1123" name="图片 595"/>
                    <pic:cNvPicPr/>
                  </pic:nvPicPr>
                  <pic:blipFill>
                    <a:blip r:embed="rId82" cstate="print"/>
                    <a:srcRect/>
                    <a:stretch>
                      <a:fillRect/>
                    </a:stretch>
                  </pic:blipFill>
                  <pic:spPr>
                    <a:xfrm>
                      <a:off x="0" y="0"/>
                      <a:ext cx="2519680" cy="1297940"/>
                    </a:xfrm>
                    <a:prstGeom prst="rect">
                      <a:avLst/>
                    </a:prstGeom>
                  </pic:spPr>
                </pic:pic>
              </a:graphicData>
            </a:graphic>
          </wp:inline>
        </w:drawing>
      </w:r>
      <w:r>
        <w:rPr>
          <w:rFonts w:cs="Arial"/>
          <w:noProof/>
        </w:rPr>
        <w:drawing>
          <wp:inline distT="0" distB="0" distL="0" distR="0" wp14:anchorId="60FD141A" wp14:editId="67F90D53">
            <wp:extent cx="2522220" cy="1290955"/>
            <wp:effectExtent l="0" t="0" r="11430" b="4445"/>
            <wp:docPr id="1124" name="图片 596"/>
            <wp:cNvGraphicFramePr/>
            <a:graphic xmlns:a="http://schemas.openxmlformats.org/drawingml/2006/main">
              <a:graphicData uri="http://schemas.openxmlformats.org/drawingml/2006/picture">
                <pic:pic xmlns:pic="http://schemas.openxmlformats.org/drawingml/2006/picture">
                  <pic:nvPicPr>
                    <pic:cNvPr id="1124" name="图片 596"/>
                    <pic:cNvPicPr/>
                  </pic:nvPicPr>
                  <pic:blipFill>
                    <a:blip r:embed="rId83" cstate="print"/>
                    <a:srcRect/>
                    <a:stretch>
                      <a:fillRect/>
                    </a:stretch>
                  </pic:blipFill>
                  <pic:spPr>
                    <a:xfrm>
                      <a:off x="0" y="0"/>
                      <a:ext cx="2522220" cy="1290955"/>
                    </a:xfrm>
                    <a:prstGeom prst="rect">
                      <a:avLst/>
                    </a:prstGeom>
                  </pic:spPr>
                </pic:pic>
              </a:graphicData>
            </a:graphic>
          </wp:inline>
        </w:drawing>
      </w:r>
    </w:p>
    <w:p w:rsidR="00274D4E" w:rsidRDefault="00B5732B" w:rsidP="00754DE2">
      <w:pPr>
        <w:pStyle w:val="af6"/>
        <w:spacing w:before="156" w:after="156"/>
      </w:pPr>
      <w:r>
        <w:rPr>
          <w:rFonts w:hAnsi="黑体" w:hint="eastAsia"/>
          <w:szCs w:val="21"/>
        </w:rPr>
        <w:t>浅埋地下过街通道</w:t>
      </w:r>
      <w:r>
        <w:rPr>
          <w:rFonts w:hint="eastAsia"/>
        </w:rPr>
        <w:t>和</w:t>
      </w:r>
      <w:r>
        <w:rPr>
          <w:rFonts w:hAnsi="黑体" w:hint="eastAsia"/>
          <w:szCs w:val="21"/>
        </w:rPr>
        <w:t>地铁过街通道</w:t>
      </w:r>
      <w:r>
        <w:rPr>
          <w:rFonts w:hint="eastAsia"/>
        </w:rPr>
        <w:t>探地雷达图像（二维探地雷达）</w:t>
      </w:r>
    </w:p>
    <w:p w:rsidR="00274D4E" w:rsidRDefault="00B5732B" w:rsidP="00754DE2">
      <w:pPr>
        <w:pStyle w:val="afffffffff6"/>
        <w:ind w:firstLine="360"/>
        <w:jc w:val="center"/>
      </w:pPr>
      <w:r>
        <w:rPr>
          <w:noProof/>
        </w:rPr>
        <w:lastRenderedPageBreak/>
        <w:drawing>
          <wp:inline distT="0" distB="0" distL="114300" distR="114300" wp14:anchorId="588107DC" wp14:editId="69177389">
            <wp:extent cx="4319905" cy="2380615"/>
            <wp:effectExtent l="0" t="0" r="4445" b="63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84"/>
                    <a:stretch>
                      <a:fillRect/>
                    </a:stretch>
                  </pic:blipFill>
                  <pic:spPr>
                    <a:xfrm>
                      <a:off x="0" y="0"/>
                      <a:ext cx="4319905" cy="2380615"/>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典型地下空洞三维探地雷达图像</w:t>
      </w:r>
    </w:p>
    <w:p w:rsidR="00274D4E" w:rsidRDefault="00B5732B" w:rsidP="00754DE2">
      <w:pPr>
        <w:pStyle w:val="afffffffff6"/>
        <w:ind w:firstLine="360"/>
        <w:jc w:val="center"/>
      </w:pPr>
      <w:r>
        <w:rPr>
          <w:noProof/>
        </w:rPr>
        <w:drawing>
          <wp:inline distT="0" distB="0" distL="114300" distR="114300" wp14:anchorId="43B84F32" wp14:editId="10C317BE">
            <wp:extent cx="4319905" cy="2444750"/>
            <wp:effectExtent l="0" t="0" r="4445" b="1270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5"/>
                    <a:stretch>
                      <a:fillRect/>
                    </a:stretch>
                  </pic:blipFill>
                  <pic:spPr>
                    <a:xfrm>
                      <a:off x="0" y="0"/>
                      <a:ext cx="4319905" cy="2444750"/>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典型脱空三维探地雷达图像</w:t>
      </w:r>
    </w:p>
    <w:p w:rsidR="00274D4E" w:rsidRDefault="00B5732B" w:rsidP="00754DE2">
      <w:pPr>
        <w:pStyle w:val="afffffffff6"/>
        <w:ind w:firstLine="360"/>
        <w:jc w:val="center"/>
      </w:pPr>
      <w:r>
        <w:rPr>
          <w:noProof/>
        </w:rPr>
        <w:drawing>
          <wp:inline distT="0" distB="0" distL="114300" distR="114300" wp14:anchorId="2772A10D" wp14:editId="73993F12">
            <wp:extent cx="4319905" cy="2296795"/>
            <wp:effectExtent l="0" t="0" r="4445" b="8255"/>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86"/>
                    <a:stretch>
                      <a:fillRect/>
                    </a:stretch>
                  </pic:blipFill>
                  <pic:spPr>
                    <a:xfrm>
                      <a:off x="0" y="0"/>
                      <a:ext cx="4319905" cy="2296795"/>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典型疏松体三维探地雷达图像</w:t>
      </w:r>
    </w:p>
    <w:p w:rsidR="00274D4E" w:rsidRDefault="00274D4E" w:rsidP="00754DE2">
      <w:pPr>
        <w:pStyle w:val="afffffffff6"/>
        <w:ind w:firstLine="360"/>
        <w:jc w:val="center"/>
      </w:pPr>
    </w:p>
    <w:p w:rsidR="00274D4E" w:rsidRDefault="00274D4E" w:rsidP="00754DE2">
      <w:pPr>
        <w:pStyle w:val="afffff1"/>
        <w:ind w:firstLine="420"/>
      </w:pPr>
    </w:p>
    <w:p w:rsidR="00274D4E" w:rsidRDefault="00B5732B">
      <w:pPr>
        <w:pStyle w:val="Style2"/>
        <w:spacing w:line="240" w:lineRule="auto"/>
        <w:ind w:firstLineChars="0" w:firstLine="0"/>
        <w:jc w:val="center"/>
        <w:rPr>
          <w:color w:val="000000"/>
          <w:sz w:val="21"/>
        </w:rPr>
      </w:pPr>
      <w:r>
        <w:rPr>
          <w:noProof/>
          <w:color w:val="000000"/>
          <w:sz w:val="21"/>
        </w:rPr>
        <mc:AlternateContent>
          <mc:Choice Requires="wps">
            <w:drawing>
              <wp:anchor distT="0" distB="0" distL="114300" distR="114300" simplePos="0" relativeHeight="251664384" behindDoc="0" locked="0" layoutInCell="1" allowOverlap="1" wp14:anchorId="59157D17" wp14:editId="286CB665">
                <wp:simplePos x="0" y="0"/>
                <wp:positionH relativeFrom="column">
                  <wp:posOffset>2254885</wp:posOffset>
                </wp:positionH>
                <wp:positionV relativeFrom="paragraph">
                  <wp:posOffset>1381125</wp:posOffset>
                </wp:positionV>
                <wp:extent cx="1280160" cy="379095"/>
                <wp:effectExtent l="0" t="0" r="15240" b="1905"/>
                <wp:wrapNone/>
                <wp:docPr id="107" name="流程图: 可选过程 107"/>
                <wp:cNvGraphicFramePr/>
                <a:graphic xmlns:a="http://schemas.openxmlformats.org/drawingml/2006/main">
                  <a:graphicData uri="http://schemas.microsoft.com/office/word/2010/wordprocessingShape">
                    <wps:wsp>
                      <wps:cNvSpPr/>
                      <wps:spPr>
                        <a:xfrm>
                          <a:off x="0" y="0"/>
                          <a:ext cx="1280160" cy="379095"/>
                        </a:xfrm>
                        <a:prstGeom prst="flowChartAlternateProcess">
                          <a:avLst/>
                        </a:prstGeom>
                        <a:solidFill>
                          <a:srgbClr val="FFFFFF"/>
                        </a:solidFill>
                        <a:ln w="25400">
                          <a:noFill/>
                        </a:ln>
                      </wps:spPr>
                      <wps:txbx>
                        <w:txbxContent>
                          <w:p w:rsidR="00FA71B5" w:rsidRDefault="00FA71B5">
                            <w:pPr>
                              <w:snapToGrid w:val="0"/>
                              <w:spacing w:line="240" w:lineRule="auto"/>
                              <w:jc w:val="center"/>
                              <w:rPr>
                                <w:color w:val="000000"/>
                              </w:rPr>
                            </w:pPr>
                            <w:r>
                              <w:rPr>
                                <w:rFonts w:hint="eastAsia"/>
                                <w:color w:val="000000"/>
                              </w:rPr>
                              <w:t>地下管线</w:t>
                            </w:r>
                          </w:p>
                        </w:txbxContent>
                      </wps:txbx>
                      <wps:bodyPr anchor="ctr" anchorCtr="0" upright="1"/>
                    </wps:wsp>
                  </a:graphicData>
                </a:graphic>
              </wp:anchor>
            </w:drawing>
          </mc:Choice>
          <mc:Fallback xmlns:wpsCustomData="http://www.wps.cn/officeDocument/2013/wpsCustomData" xmlns:w15="http://schemas.microsoft.com/office/word/2012/wordml">
            <w:pict>
              <v:shape id="_x0000_s1026" o:spid="_x0000_s1026" o:spt="176" type="#_x0000_t176" style="position:absolute;left:0pt;margin-left:177.55pt;margin-top:108.75pt;height:29.85pt;width:100.8pt;z-index:251664384;v-text-anchor:middle;mso-width-relative:page;mso-height-relative:page;" fillcolor="#FFFFFF" filled="t" stroked="f" coordsize="21600,21600" o:gfxdata="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NdJp2QAAAAsBAAAPAAAAAAAAAAEAIAAAACIAAABkcnMvZG93bnJldi54bWxQSwEC&#10;FAAUAAAACACHTuJA3wcqSfMBAAC5AwAADgAAAAAAAAABACAAAAAoAQAAZHJzL2Uyb0RvYy54bWxQ&#10;SwUGAAAAAAYABgBZAQAAjQUAAAAA&#10;">
                <v:fill on="t" focussize="0,0"/>
                <v:stroke on="f" weight="2pt"/>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rPr>
                      </w:pPr>
                      <w:r>
                        <w:rPr>
                          <w:rFonts w:hint="eastAsia"/>
                          <w:color w:val="000000"/>
                        </w:rPr>
                        <w:t>地下管线</w:t>
                      </w:r>
                    </w:p>
                  </w:txbxContent>
                </v:textbox>
              </v:shape>
            </w:pict>
          </mc:Fallback>
        </mc:AlternateContent>
      </w:r>
      <w:r>
        <w:rPr>
          <w:noProof/>
          <w:color w:val="000000"/>
          <w:sz w:val="21"/>
        </w:rPr>
        <mc:AlternateContent>
          <mc:Choice Requires="wps">
            <w:drawing>
              <wp:anchor distT="0" distB="0" distL="114300" distR="114300" simplePos="0" relativeHeight="251666432" behindDoc="0" locked="0" layoutInCell="1" allowOverlap="1" wp14:anchorId="6D9E0EC4" wp14:editId="63A95961">
                <wp:simplePos x="0" y="0"/>
                <wp:positionH relativeFrom="column">
                  <wp:posOffset>2609850</wp:posOffset>
                </wp:positionH>
                <wp:positionV relativeFrom="paragraph">
                  <wp:posOffset>1760220</wp:posOffset>
                </wp:positionV>
                <wp:extent cx="285115" cy="358775"/>
                <wp:effectExtent l="0" t="8890" r="19685" b="13335"/>
                <wp:wrapNone/>
                <wp:docPr id="106" name="直接箭头连接符 106"/>
                <wp:cNvGraphicFramePr/>
                <a:graphic xmlns:a="http://schemas.openxmlformats.org/drawingml/2006/main">
                  <a:graphicData uri="http://schemas.microsoft.com/office/word/2010/wordprocessingShape">
                    <wps:wsp>
                      <wps:cNvCnPr/>
                      <wps:spPr>
                        <a:xfrm flipH="1">
                          <a:off x="0" y="0"/>
                          <a:ext cx="285115" cy="358775"/>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05.5pt;margin-top:138.6pt;height:28.25pt;width:22.45pt;z-index:251666432;mso-width-relative:page;mso-height-relative:page;" filled="f" stroked="t" coordsize="21600,21600" o:gfxdata="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Kufr&#10;2wAAAAsBAAAPAAAAAAAAAAEAIAAAACIAAABkcnMvZG93bnJldi54bWxQSwECFAAUAAAACACHTuJA&#10;LQPOcR4CAAAoBAAADgAAAAAAAAABACAAAAAqAQAAZHJzL2Uyb0RvYy54bWxQSwUGAAAAAAYABgBZ&#10;AQAAugUAAAAA&#10;">
                <v:fill on="f" focussize="0,0"/>
                <v:stroke weight="2.25pt" color="#FFFFFF" joinstyle="round" endarrow="open"/>
                <v:imagedata o:title=""/>
                <o:lock v:ext="edit" aspectratio="f"/>
              </v:shape>
            </w:pict>
          </mc:Fallback>
        </mc:AlternateContent>
      </w:r>
      <w:r>
        <w:rPr>
          <w:noProof/>
          <w:color w:val="000000"/>
          <w:sz w:val="21"/>
        </w:rPr>
        <mc:AlternateContent>
          <mc:Choice Requires="wps">
            <w:drawing>
              <wp:anchor distT="0" distB="0" distL="114300" distR="114300" simplePos="0" relativeHeight="251665408" behindDoc="0" locked="0" layoutInCell="1" allowOverlap="1" wp14:anchorId="72D6D8E5" wp14:editId="374BB04B">
                <wp:simplePos x="0" y="0"/>
                <wp:positionH relativeFrom="column">
                  <wp:posOffset>2894965</wp:posOffset>
                </wp:positionH>
                <wp:positionV relativeFrom="paragraph">
                  <wp:posOffset>426720</wp:posOffset>
                </wp:positionV>
                <wp:extent cx="191135" cy="954405"/>
                <wp:effectExtent l="13970" t="0" r="42545" b="17145"/>
                <wp:wrapNone/>
                <wp:docPr id="109" name="直接箭头连接符 109"/>
                <wp:cNvGraphicFramePr/>
                <a:graphic xmlns:a="http://schemas.openxmlformats.org/drawingml/2006/main">
                  <a:graphicData uri="http://schemas.microsoft.com/office/word/2010/wordprocessingShape">
                    <wps:wsp>
                      <wps:cNvCnPr/>
                      <wps:spPr>
                        <a:xfrm flipV="1">
                          <a:off x="0" y="0"/>
                          <a:ext cx="191135" cy="954405"/>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227.95pt;margin-top:33.6pt;height:75.15pt;width:15.05pt;z-index:251665408;mso-width-relative:page;mso-height-relative:page;" filled="f" stroked="t" coordsize="21600,21600" o:gfxdata="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54vP&#10;2QAAAAoBAAAPAAAAAAAAAAEAIAAAACIAAABkcnMvZG93bnJldi54bWxQSwECFAAUAAAACACHTuJA&#10;eQPp8CACAAAoBAAADgAAAAAAAAABACAAAAAoAQAAZHJzL2Uyb0RvYy54bWxQSwUGAAAAAAYABgBZ&#10;AQAAugUAAAAA&#10;">
                <v:fill on="f" focussize="0,0"/>
                <v:stroke weight="2.25pt" color="#FFFFFF" joinstyle="round" endarrow="open"/>
                <v:imagedata o:title=""/>
                <o:lock v:ext="edit" aspectratio="f"/>
              </v:shape>
            </w:pict>
          </mc:Fallback>
        </mc:AlternateContent>
      </w:r>
      <w:r>
        <w:rPr>
          <w:noProof/>
        </w:rPr>
        <w:drawing>
          <wp:inline distT="0" distB="0" distL="114300" distR="114300" wp14:anchorId="6DB704AF" wp14:editId="213BACCE">
            <wp:extent cx="4402455" cy="2429510"/>
            <wp:effectExtent l="0" t="0" r="17145" b="889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87"/>
                    <a:stretch>
                      <a:fillRect/>
                    </a:stretch>
                  </pic:blipFill>
                  <pic:spPr>
                    <a:xfrm>
                      <a:off x="0" y="0"/>
                      <a:ext cx="4402455" cy="2429510"/>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典型地下管线三维探地雷达图像</w:t>
      </w:r>
    </w:p>
    <w:p w:rsidR="00274D4E" w:rsidRDefault="00B5732B">
      <w:pPr>
        <w:spacing w:line="360" w:lineRule="auto"/>
        <w:jc w:val="center"/>
        <w:rPr>
          <w:color w:val="000000"/>
        </w:rPr>
      </w:pPr>
      <w:r>
        <w:rPr>
          <w:noProof/>
          <w:color w:val="000000"/>
        </w:rPr>
        <mc:AlternateContent>
          <mc:Choice Requires="wps">
            <w:drawing>
              <wp:anchor distT="0" distB="0" distL="114300" distR="114300" simplePos="0" relativeHeight="251661312" behindDoc="0" locked="0" layoutInCell="1" allowOverlap="1" wp14:anchorId="09611ECD" wp14:editId="6DE74848">
                <wp:simplePos x="0" y="0"/>
                <wp:positionH relativeFrom="column">
                  <wp:posOffset>3212465</wp:posOffset>
                </wp:positionH>
                <wp:positionV relativeFrom="paragraph">
                  <wp:posOffset>1290320</wp:posOffset>
                </wp:positionV>
                <wp:extent cx="1280160" cy="320675"/>
                <wp:effectExtent l="0" t="0" r="15240" b="3175"/>
                <wp:wrapNone/>
                <wp:docPr id="110" name="流程图: 可选过程 110"/>
                <wp:cNvGraphicFramePr/>
                <a:graphic xmlns:a="http://schemas.openxmlformats.org/drawingml/2006/main">
                  <a:graphicData uri="http://schemas.microsoft.com/office/word/2010/wordprocessingShape">
                    <wps:wsp>
                      <wps:cNvSpPr/>
                      <wps:spPr>
                        <a:xfrm>
                          <a:off x="0" y="0"/>
                          <a:ext cx="1280160" cy="320675"/>
                        </a:xfrm>
                        <a:prstGeom prst="flowChartAlternateProcess">
                          <a:avLst/>
                        </a:prstGeom>
                        <a:solidFill>
                          <a:srgbClr val="FFFFFF"/>
                        </a:solidFill>
                        <a:ln w="25400">
                          <a:noFill/>
                        </a:ln>
                      </wps:spPr>
                      <wps:txbx>
                        <w:txbxContent>
                          <w:p w:rsidR="00FA71B5" w:rsidRDefault="00FA71B5">
                            <w:pPr>
                              <w:snapToGrid w:val="0"/>
                              <w:spacing w:line="240" w:lineRule="auto"/>
                              <w:jc w:val="center"/>
                              <w:rPr>
                                <w:color w:val="000000"/>
                              </w:rPr>
                            </w:pPr>
                            <w:r>
                              <w:rPr>
                                <w:rFonts w:hint="eastAsia"/>
                                <w:color w:val="000000"/>
                              </w:rPr>
                              <w:t>地下管涵</w:t>
                            </w:r>
                          </w:p>
                        </w:txbxContent>
                      </wps:txbx>
                      <wps:bodyPr anchor="ctr" anchorCtr="0" upright="1"/>
                    </wps:wsp>
                  </a:graphicData>
                </a:graphic>
              </wp:anchor>
            </w:drawing>
          </mc:Choice>
          <mc:Fallback xmlns:wpsCustomData="http://www.wps.cn/officeDocument/2013/wpsCustomData" xmlns:w15="http://schemas.microsoft.com/office/word/2012/wordml">
            <w:pict>
              <v:shape id="_x0000_s1026" o:spid="_x0000_s1026" o:spt="176" type="#_x0000_t176" style="position:absolute;left:0pt;margin-left:252.95pt;margin-top:101.6pt;height:25.25pt;width:100.8pt;z-index:251661312;v-text-anchor:middle;mso-width-relative:page;mso-height-relative:page;" fillcolor="#FFFFFF" filled="t" stroked="f" coordsize="21600,21600" o:gfxdata="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x0HrYAAAACwEAAA8AAAAAAAAAAQAgAAAAIgAAAGRycy9kb3ducmV2LnhtbFBLAQIU&#10;ABQAAAAIAIdO4kCTYkI/8wEAALkDAAAOAAAAAAAAAAEAIAAAACcBAABkcnMvZTJvRG9jLnhtbFBL&#10;BQYAAAAABgAGAFkBAACMBQAAAAA=&#10;">
                <v:fill on="t" focussize="0,0"/>
                <v:stroke on="f" weight="2pt"/>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rPr>
                      </w:pPr>
                      <w:r>
                        <w:rPr>
                          <w:rFonts w:hint="eastAsia"/>
                          <w:color w:val="000000"/>
                        </w:rPr>
                        <w:t>地下管涵</w:t>
                      </w:r>
                    </w:p>
                  </w:txbxContent>
                </v:textbox>
              </v:shape>
            </w:pict>
          </mc:Fallback>
        </mc:AlternateContent>
      </w:r>
      <w:r>
        <w:rPr>
          <w:noProof/>
          <w:color w:val="000000"/>
        </w:rPr>
        <mc:AlternateContent>
          <mc:Choice Requires="wps">
            <w:drawing>
              <wp:anchor distT="0" distB="0" distL="114300" distR="114300" simplePos="0" relativeHeight="251662336" behindDoc="0" locked="0" layoutInCell="1" allowOverlap="1" wp14:anchorId="5CCCD9A1" wp14:editId="39C5EFD9">
                <wp:simplePos x="0" y="0"/>
                <wp:positionH relativeFrom="column">
                  <wp:posOffset>3121025</wp:posOffset>
                </wp:positionH>
                <wp:positionV relativeFrom="paragraph">
                  <wp:posOffset>514350</wp:posOffset>
                </wp:positionV>
                <wp:extent cx="731520" cy="836930"/>
                <wp:effectExtent l="0" t="0" r="11430" b="20320"/>
                <wp:wrapNone/>
                <wp:docPr id="112" name="直接箭头连接符 112"/>
                <wp:cNvGraphicFramePr/>
                <a:graphic xmlns:a="http://schemas.openxmlformats.org/drawingml/2006/main">
                  <a:graphicData uri="http://schemas.microsoft.com/office/word/2010/wordprocessingShape">
                    <wps:wsp>
                      <wps:cNvCnPr/>
                      <wps:spPr>
                        <a:xfrm flipH="1" flipV="1">
                          <a:off x="0" y="0"/>
                          <a:ext cx="731520" cy="836930"/>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 y;margin-left:245.75pt;margin-top:40.5pt;height:65.9pt;width:57.6pt;z-index:251662336;mso-width-relative:page;mso-height-relative:page;" filled="f" stroked="t" coordsize="21600,21600" o:gfxdata="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Qd2FPaAAAACgEA&#10;AA8AAAAAAAAAAQAgAAAAIgAAAGRycy9kb3ducmV2LnhtbFBLAQIUABQAAAAIAIdO4kAczl3zGAIA&#10;AAoEAAAOAAAAAAAAAAEAIAAAACkBAABkcnMvZTJvRG9jLnhtbFBLBQYAAAAABgAGAFkBAACzBQAA&#10;AAA=&#10;">
                <v:fill on="f" focussize="0,0"/>
                <v:stroke weight="2.25pt" color="#FFFFFF" joinstyle="round" endarrow="open"/>
                <v:imagedata o:title=""/>
                <o:lock v:ext="edit" aspectratio="f"/>
              </v:shape>
            </w:pict>
          </mc:Fallback>
        </mc:AlternateContent>
      </w:r>
      <w:r>
        <w:rPr>
          <w:noProof/>
          <w:color w:val="000000"/>
        </w:rPr>
        <mc:AlternateContent>
          <mc:Choice Requires="wps">
            <w:drawing>
              <wp:anchor distT="0" distB="0" distL="114300" distR="114300" simplePos="0" relativeHeight="251663360" behindDoc="0" locked="0" layoutInCell="1" allowOverlap="1" wp14:anchorId="798F230F" wp14:editId="0340DE61">
                <wp:simplePos x="0" y="0"/>
                <wp:positionH relativeFrom="column">
                  <wp:posOffset>2674620</wp:posOffset>
                </wp:positionH>
                <wp:positionV relativeFrom="paragraph">
                  <wp:posOffset>1610995</wp:posOffset>
                </wp:positionV>
                <wp:extent cx="1177925" cy="387985"/>
                <wp:effectExtent l="0" t="13335" r="22225" b="36830"/>
                <wp:wrapNone/>
                <wp:docPr id="113" name="直接箭头连接符 113"/>
                <wp:cNvGraphicFramePr/>
                <a:graphic xmlns:a="http://schemas.openxmlformats.org/drawingml/2006/main">
                  <a:graphicData uri="http://schemas.microsoft.com/office/word/2010/wordprocessingShape">
                    <wps:wsp>
                      <wps:cNvCnPr/>
                      <wps:spPr>
                        <a:xfrm flipH="1">
                          <a:off x="0" y="0"/>
                          <a:ext cx="1177925" cy="387985"/>
                        </a:xfrm>
                        <a:prstGeom prst="straightConnector1">
                          <a:avLst/>
                        </a:prstGeom>
                        <a:ln w="28575" cap="flat" cmpd="sng">
                          <a:solidFill>
                            <a:srgbClr val="FFFFFF"/>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10.6pt;margin-top:126.85pt;height:30.55pt;width:92.75pt;z-index:251663360;mso-width-relative:page;mso-height-relative:page;" filled="f" stroked="t" coordsize="21600,21600" o:gfxdata="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GB&#10;j0HaAAAACwEAAA8AAAAAAAAAAQAgAAAAIgAAAGRycy9kb3ducmV2LnhtbFBLAQIUABQAAAAIAIdO&#10;4kDZIDCsIQIAACkEAAAOAAAAAAAAAAEAIAAAACkBAABkcnMvZTJvRG9jLnhtbFBLBQYAAAAABgAG&#10;AFkBAAC8BQAAAAA=&#10;">
                <v:fill on="f" focussize="0,0"/>
                <v:stroke weight="2.25pt" color="#FFFFFF" joinstyle="round" endarrow="open"/>
                <v:imagedata o:title=""/>
                <o:lock v:ext="edit" aspectratio="f"/>
              </v:shape>
            </w:pict>
          </mc:Fallback>
        </mc:AlternateContent>
      </w:r>
      <w:r>
        <w:rPr>
          <w:noProof/>
        </w:rPr>
        <w:drawing>
          <wp:inline distT="0" distB="0" distL="114300" distR="114300" wp14:anchorId="6A9FE050" wp14:editId="126D5C4C">
            <wp:extent cx="4403090" cy="2426335"/>
            <wp:effectExtent l="0" t="0" r="16510" b="12065"/>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88"/>
                    <a:stretch>
                      <a:fillRect/>
                    </a:stretch>
                  </pic:blipFill>
                  <pic:spPr>
                    <a:xfrm>
                      <a:off x="0" y="0"/>
                      <a:ext cx="4403090" cy="2426335"/>
                    </a:xfrm>
                    <a:prstGeom prst="rect">
                      <a:avLst/>
                    </a:prstGeom>
                    <a:noFill/>
                    <a:ln>
                      <a:noFill/>
                    </a:ln>
                  </pic:spPr>
                </pic:pic>
              </a:graphicData>
            </a:graphic>
          </wp:inline>
        </w:drawing>
      </w:r>
    </w:p>
    <w:p w:rsidR="00274D4E" w:rsidRDefault="00B5732B" w:rsidP="00754DE2">
      <w:pPr>
        <w:pStyle w:val="af6"/>
        <w:spacing w:before="156" w:after="156"/>
      </w:pPr>
      <w:r>
        <w:rPr>
          <w:rFonts w:hint="eastAsia"/>
        </w:rPr>
        <w:t>典型地下管涵三维探地雷达图像</w:t>
      </w:r>
    </w:p>
    <w:p w:rsidR="00274D4E" w:rsidRDefault="00274D4E" w:rsidP="00754DE2">
      <w:pPr>
        <w:pStyle w:val="afffff1"/>
        <w:ind w:firstLine="420"/>
      </w:pPr>
    </w:p>
    <w:p w:rsidR="00274D4E" w:rsidRDefault="00274D4E" w:rsidP="00754DE2">
      <w:pPr>
        <w:pStyle w:val="afffff1"/>
        <w:ind w:firstLine="420"/>
        <w:sectPr w:rsidR="00274D4E">
          <w:pgSz w:w="11906" w:h="16838"/>
          <w:pgMar w:top="1928" w:right="1134" w:bottom="1134" w:left="1134" w:header="1418" w:footer="1134" w:gutter="284"/>
          <w:cols w:space="425"/>
          <w:formProt w:val="0"/>
          <w:docGrid w:type="lines" w:linePitch="312"/>
        </w:sectPr>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（规范性）</w:t>
      </w:r>
      <w:r>
        <w:rPr>
          <w:rFonts w:hint="eastAsia"/>
        </w:rPr>
        <w:br/>
        <w:t>城市道路病害复核验证记录单</w:t>
      </w:r>
    </w:p>
    <w:p w:rsidR="00274D4E" w:rsidRDefault="00B5732B">
      <w:pPr>
        <w:pStyle w:val="afffffffffff6"/>
        <w:jc w:val="left"/>
      </w:pPr>
      <w:r>
        <w:rPr>
          <w:rFonts w:hint="eastAsia"/>
        </w:rPr>
        <w:t>根据本文件规定对初步判定的道路结构层病害或路基土体坍塌病害应进行复核验证，现场记录复核及验证的相关信息，具体内容和格式见图E</w:t>
      </w:r>
      <w:r>
        <w:rPr>
          <w:rFonts w:hAnsi="宋体" w:cs="宋体" w:hint="eastAsia"/>
        </w:rPr>
        <w:t>.1</w:t>
      </w:r>
      <w:r>
        <w:rPr>
          <w:rFonts w:hint="eastAsia"/>
        </w:rPr>
        <w:t>。</w:t>
      </w:r>
    </w:p>
    <w:p w:rsidR="00274D4E" w:rsidRDefault="00274D4E">
      <w:pPr>
        <w:pStyle w:val="afffffffffff6"/>
        <w:jc w:val="left"/>
      </w:pPr>
    </w:p>
    <w:p w:rsidR="00274D4E" w:rsidRDefault="00B5732B" w:rsidP="00754DE2">
      <w:pPr>
        <w:pStyle w:val="afffffffffff6"/>
        <w:spacing w:beforeLines="100" w:before="312"/>
        <w:ind w:firstLineChars="0" w:firstLine="0"/>
        <w:jc w:val="center"/>
        <w:rPr>
          <w:rFonts w:ascii="Times New Roman"/>
          <w:color w:val="000000"/>
          <w:szCs w:val="21"/>
        </w:rPr>
      </w:pPr>
      <w:r>
        <w:rPr>
          <w:noProof/>
        </w:rPr>
        <w:drawing>
          <wp:inline distT="0" distB="0" distL="114300" distR="114300" wp14:anchorId="087A8410" wp14:editId="5F2912FB">
            <wp:extent cx="5725795" cy="5978525"/>
            <wp:effectExtent l="0" t="0" r="8255" b="3175"/>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89"/>
                    <a:stretch>
                      <a:fillRect/>
                    </a:stretch>
                  </pic:blipFill>
                  <pic:spPr>
                    <a:xfrm>
                      <a:off x="0" y="0"/>
                      <a:ext cx="5725795" cy="5978525"/>
                    </a:xfrm>
                    <a:prstGeom prst="rect">
                      <a:avLst/>
                    </a:prstGeom>
                    <a:noFill/>
                    <a:ln>
                      <a:noFill/>
                    </a:ln>
                  </pic:spPr>
                </pic:pic>
              </a:graphicData>
            </a:graphic>
          </wp:inline>
        </w:drawing>
      </w:r>
    </w:p>
    <w:p w:rsidR="00274D4E" w:rsidRDefault="00B5732B" w:rsidP="00754DE2">
      <w:pPr>
        <w:pStyle w:val="af6"/>
        <w:spacing w:before="156" w:after="156"/>
      </w:pPr>
      <w:r>
        <w:rPr>
          <w:rFonts w:hint="eastAsia"/>
        </w:rPr>
        <w:t>现场复核验证记录单</w:t>
      </w:r>
    </w:p>
    <w:p w:rsidR="00274D4E" w:rsidRDefault="00274D4E" w:rsidP="00754DE2">
      <w:pPr>
        <w:pStyle w:val="afffff1"/>
        <w:ind w:firstLine="420"/>
      </w:pPr>
    </w:p>
    <w:p w:rsidR="00274D4E" w:rsidRDefault="00274D4E" w:rsidP="00754DE2">
      <w:pPr>
        <w:pStyle w:val="afffff1"/>
        <w:ind w:firstLine="420"/>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（规范性）</w:t>
      </w:r>
      <w:r>
        <w:rPr>
          <w:rFonts w:hint="eastAsia"/>
        </w:rPr>
        <w:br/>
        <w:t>路面结构层内部病害信息统计表</w:t>
      </w:r>
    </w:p>
    <w:p w:rsidR="00274D4E" w:rsidRDefault="00B5732B">
      <w:pPr>
        <w:pStyle w:val="afffd"/>
        <w:ind w:firstLineChars="200" w:firstLine="420"/>
        <w:jc w:val="left"/>
        <w:rPr>
          <w:rFonts w:ascii="宋体" w:hAnsi="宋体" w:cs="宋体"/>
        </w:rPr>
      </w:pPr>
      <w:r>
        <w:rPr>
          <w:rFonts w:ascii="宋体" w:hAnsi="宋体" w:cs="宋体" w:hint="eastAsia"/>
        </w:rPr>
        <w:t>根据本文件规定，对最终判定的道路结构层病害进行统计，形成病害信息统计表，具体内容包括病害、类型、位置、规模及其他情况，格式见图F.1。</w:t>
      </w:r>
    </w:p>
    <w:p w:rsidR="00274D4E" w:rsidRDefault="00B5732B" w:rsidP="00754DE2">
      <w:pPr>
        <w:pStyle w:val="afffffffff6"/>
        <w:ind w:firstLine="360"/>
      </w:pPr>
      <w:r>
        <w:rPr>
          <w:noProof/>
        </w:rPr>
        <w:drawing>
          <wp:inline distT="0" distB="0" distL="114300" distR="114300" wp14:anchorId="45CA17BA" wp14:editId="74FD0DAA">
            <wp:extent cx="5895975" cy="4114800"/>
            <wp:effectExtent l="0" t="0" r="9525"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90"/>
                    <a:stretch>
                      <a:fillRect/>
                    </a:stretch>
                  </pic:blipFill>
                  <pic:spPr>
                    <a:xfrm>
                      <a:off x="0" y="0"/>
                      <a:ext cx="5895975" cy="4114800"/>
                    </a:xfrm>
                    <a:prstGeom prst="rect">
                      <a:avLst/>
                    </a:prstGeom>
                    <a:noFill/>
                    <a:ln>
                      <a:noFill/>
                    </a:ln>
                  </pic:spPr>
                </pic:pic>
              </a:graphicData>
            </a:graphic>
          </wp:inline>
        </w:drawing>
      </w:r>
    </w:p>
    <w:p w:rsidR="00274D4E" w:rsidRDefault="00B5732B" w:rsidP="00754DE2">
      <w:pPr>
        <w:pStyle w:val="af6"/>
        <w:spacing w:before="156" w:after="156"/>
      </w:pPr>
      <w:r>
        <w:rPr>
          <w:rFonts w:hint="eastAsia"/>
        </w:rPr>
        <w:t>路面结构层内部病害信息统计表</w:t>
      </w: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sectPr w:rsidR="00274D4E">
          <w:pgSz w:w="11906" w:h="16838"/>
          <w:pgMar w:top="1928" w:right="1134" w:bottom="1134" w:left="1134" w:header="1418" w:footer="1134" w:gutter="284"/>
          <w:cols w:space="425"/>
          <w:formProt w:val="0"/>
          <w:docGrid w:type="lines" w:linePitch="312"/>
        </w:sectPr>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（规范性）</w:t>
      </w:r>
      <w:r>
        <w:rPr>
          <w:rFonts w:hint="eastAsia"/>
        </w:rPr>
        <w:br/>
        <w:t>路基土体坍塌病害信息统计表</w:t>
      </w:r>
    </w:p>
    <w:p w:rsidR="00274D4E" w:rsidRDefault="00B5732B">
      <w:pPr>
        <w:pStyle w:val="afffd"/>
        <w:ind w:firstLineChars="200" w:firstLine="420"/>
        <w:jc w:val="left"/>
        <w:rPr>
          <w:rFonts w:ascii="宋体" w:hAnsi="宋体" w:cs="宋体"/>
        </w:rPr>
      </w:pPr>
      <w:r>
        <w:rPr>
          <w:rFonts w:ascii="宋体" w:hAnsi="宋体" w:cs="宋体" w:hint="eastAsia"/>
        </w:rPr>
        <w:t>根据本文件规定，对最终判定的</w:t>
      </w:r>
      <w:r>
        <w:rPr>
          <w:rFonts w:hint="eastAsia"/>
        </w:rPr>
        <w:t>路基土体坍塌病害</w:t>
      </w:r>
      <w:r>
        <w:rPr>
          <w:rFonts w:ascii="宋体" w:hAnsi="宋体" w:cs="宋体" w:hint="eastAsia"/>
        </w:rPr>
        <w:t>进行统计，形成</w:t>
      </w:r>
      <w:r>
        <w:rPr>
          <w:rFonts w:hint="eastAsia"/>
        </w:rPr>
        <w:t>路基土体坍塌病害</w:t>
      </w:r>
      <w:r>
        <w:rPr>
          <w:rFonts w:ascii="宋体" w:hAnsi="宋体" w:cs="宋体" w:hint="eastAsia"/>
        </w:rPr>
        <w:t>信息统计表，具体内容包括隐患编号、类型、位置、规模、风险等级及其他情况，格式见图G.1。</w:t>
      </w:r>
    </w:p>
    <w:p w:rsidR="00274D4E" w:rsidRDefault="00B5732B" w:rsidP="00754DE2">
      <w:pPr>
        <w:pStyle w:val="afffffffff6"/>
        <w:ind w:firstLine="360"/>
      </w:pPr>
      <w:r>
        <w:rPr>
          <w:noProof/>
        </w:rPr>
        <w:drawing>
          <wp:inline distT="0" distB="0" distL="114300" distR="114300" wp14:anchorId="2B021D75" wp14:editId="0B30DE29">
            <wp:extent cx="5730240" cy="2564130"/>
            <wp:effectExtent l="0" t="0" r="3810" b="762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91"/>
                    <a:stretch>
                      <a:fillRect/>
                    </a:stretch>
                  </pic:blipFill>
                  <pic:spPr>
                    <a:xfrm>
                      <a:off x="0" y="0"/>
                      <a:ext cx="5730240" cy="2564130"/>
                    </a:xfrm>
                    <a:prstGeom prst="rect">
                      <a:avLst/>
                    </a:prstGeom>
                    <a:noFill/>
                    <a:ln>
                      <a:noFill/>
                    </a:ln>
                  </pic:spPr>
                </pic:pic>
              </a:graphicData>
            </a:graphic>
          </wp:inline>
        </w:drawing>
      </w:r>
    </w:p>
    <w:p w:rsidR="00274D4E" w:rsidRDefault="00B5732B" w:rsidP="00754DE2">
      <w:pPr>
        <w:pStyle w:val="af6"/>
        <w:spacing w:before="156" w:after="156"/>
      </w:pPr>
      <w:r>
        <w:rPr>
          <w:rFonts w:hint="eastAsia"/>
        </w:rPr>
        <w:t>路基土体坍塌病害信息统计表</w:t>
      </w: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pPr>
    </w:p>
    <w:p w:rsidR="00274D4E" w:rsidRDefault="00274D4E" w:rsidP="00754DE2">
      <w:pPr>
        <w:pStyle w:val="afffff1"/>
        <w:ind w:firstLine="420"/>
        <w:sectPr w:rsidR="00274D4E">
          <w:pgSz w:w="11906" w:h="16838"/>
          <w:pgMar w:top="1928" w:right="1134" w:bottom="1134" w:left="1134" w:header="1418" w:footer="1134" w:gutter="284"/>
          <w:cols w:space="425"/>
          <w:formProt w:val="0"/>
          <w:docGrid w:type="lines" w:linePitch="312"/>
        </w:sectPr>
      </w:pPr>
    </w:p>
    <w:p w:rsidR="00274D4E" w:rsidRDefault="00274D4E">
      <w:pPr>
        <w:pStyle w:val="af5"/>
      </w:pPr>
    </w:p>
    <w:p w:rsidR="00274D4E" w:rsidRDefault="00274D4E">
      <w:pPr>
        <w:pStyle w:val="afe"/>
      </w:pPr>
    </w:p>
    <w:p w:rsidR="00274D4E" w:rsidRDefault="00B5732B" w:rsidP="00754DE2">
      <w:pPr>
        <w:pStyle w:val="aff3"/>
        <w:spacing w:after="156"/>
      </w:pPr>
      <w:r>
        <w:br/>
      </w:r>
      <w:r>
        <w:rPr>
          <w:rFonts w:hint="eastAsia"/>
        </w:rPr>
        <w:t>（规范性）</w:t>
      </w:r>
      <w:r>
        <w:rPr>
          <w:rFonts w:hint="eastAsia"/>
        </w:rPr>
        <w:br/>
        <w:t>路基土体坍塌病害信息卡</w:t>
      </w:r>
    </w:p>
    <w:p w:rsidR="00274D4E" w:rsidRDefault="00B5732B">
      <w:pPr>
        <w:pStyle w:val="afffd"/>
        <w:ind w:firstLineChars="200" w:firstLine="420"/>
        <w:jc w:val="left"/>
        <w:rPr>
          <w:rFonts w:ascii="宋体" w:hAnsi="宋体" w:cs="宋体"/>
        </w:rPr>
      </w:pPr>
      <w:r>
        <w:rPr>
          <w:rFonts w:ascii="宋体" w:hAnsi="宋体" w:cs="宋体" w:hint="eastAsia"/>
        </w:rPr>
        <w:t>对最终判定的</w:t>
      </w:r>
      <w:r>
        <w:rPr>
          <w:rFonts w:hint="eastAsia"/>
        </w:rPr>
        <w:t>路基土体坍塌病害</w:t>
      </w:r>
      <w:r>
        <w:rPr>
          <w:rFonts w:ascii="宋体" w:hAnsi="宋体" w:cs="宋体" w:hint="eastAsia"/>
        </w:rPr>
        <w:t>以单个病害为单位形成</w:t>
      </w:r>
      <w:r>
        <w:rPr>
          <w:rFonts w:hint="eastAsia"/>
        </w:rPr>
        <w:t>路基土体坍塌病害</w:t>
      </w:r>
      <w:r>
        <w:rPr>
          <w:rFonts w:ascii="宋体" w:hAnsi="宋体" w:cs="宋体" w:hint="eastAsia"/>
        </w:rPr>
        <w:t>信息卡，信息卡中包括病害编号、类型、位置、规模、风险等级、雷达图谱、病害成因、病害处置建议及其他情况，格式见图H.1。</w:t>
      </w:r>
    </w:p>
    <w:p w:rsidR="00274D4E" w:rsidRDefault="00B5732B" w:rsidP="00754DE2">
      <w:pPr>
        <w:pStyle w:val="afffffffff6"/>
        <w:ind w:firstLine="360"/>
        <w:jc w:val="center"/>
      </w:pPr>
      <w:r>
        <w:rPr>
          <w:noProof/>
        </w:rPr>
        <w:drawing>
          <wp:inline distT="0" distB="0" distL="114300" distR="114300" wp14:anchorId="6CC77766" wp14:editId="3B3C8036">
            <wp:extent cx="4319905" cy="6034405"/>
            <wp:effectExtent l="0" t="0" r="4445" b="444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92"/>
                    <a:stretch>
                      <a:fillRect/>
                    </a:stretch>
                  </pic:blipFill>
                  <pic:spPr>
                    <a:xfrm>
                      <a:off x="0" y="0"/>
                      <a:ext cx="4319905" cy="6034405"/>
                    </a:xfrm>
                    <a:prstGeom prst="rect">
                      <a:avLst/>
                    </a:prstGeom>
                    <a:noFill/>
                    <a:ln>
                      <a:noFill/>
                    </a:ln>
                  </pic:spPr>
                </pic:pic>
              </a:graphicData>
            </a:graphic>
          </wp:inline>
        </w:drawing>
      </w:r>
    </w:p>
    <w:p w:rsidR="00274D4E" w:rsidRDefault="00B5732B" w:rsidP="00754DE2">
      <w:pPr>
        <w:pStyle w:val="af6"/>
        <w:spacing w:before="156" w:after="156"/>
        <w:rPr>
          <w:rFonts w:hint="eastAsia"/>
        </w:rPr>
      </w:pPr>
      <w:r>
        <w:rPr>
          <w:rFonts w:hint="eastAsia"/>
        </w:rPr>
        <w:t>路基土体坍塌病害信息卡</w:t>
      </w:r>
    </w:p>
    <w:p w:rsidR="00FA71B5" w:rsidRPr="00FA71B5" w:rsidRDefault="00FA71B5" w:rsidP="00FA71B5">
      <w:pPr>
        <w:pStyle w:val="afffff1"/>
        <w:ind w:firstLine="420"/>
      </w:pPr>
      <w:bookmarkStart w:id="210" w:name="_GoBack"/>
      <w:r>
        <w:rPr>
          <w:noProof/>
        </w:rPr>
        <mc:AlternateContent>
          <mc:Choice Requires="wps">
            <w:drawing>
              <wp:anchor distT="0" distB="0" distL="114300" distR="114300" simplePos="0" relativeHeight="251667456" behindDoc="0" locked="0" layoutInCell="1" allowOverlap="1">
                <wp:simplePos x="0" y="0"/>
                <wp:positionH relativeFrom="column">
                  <wp:posOffset>1915922</wp:posOffset>
                </wp:positionH>
                <wp:positionV relativeFrom="paragraph">
                  <wp:posOffset>112471</wp:posOffset>
                </wp:positionV>
                <wp:extent cx="1828800" cy="0"/>
                <wp:effectExtent l="0" t="0" r="19050" b="19050"/>
                <wp:wrapNone/>
                <wp:docPr id="18" name="直接连接符 18"/>
                <wp:cNvGraphicFramePr/>
                <a:graphic xmlns:a="http://schemas.openxmlformats.org/drawingml/2006/main">
                  <a:graphicData uri="http://schemas.microsoft.com/office/word/2010/wordprocessingShape">
                    <wps:wsp>
                      <wps:cNvCnPr/>
                      <wps:spPr bwMode="auto">
                        <a:xfrm>
                          <a:off x="0" y="0"/>
                          <a:ext cx="1828800" cy="0"/>
                        </a:xfrm>
                        <a:prstGeom prst="line">
                          <a:avLst/>
                        </a:prstGeom>
                        <a:noFill/>
                        <a:ln w="12700">
                          <a:solidFill>
                            <a:srgbClr val="000000"/>
                          </a:solidFill>
                          <a:round/>
                        </a:ln>
                      </wps:spPr>
                      <wps:bodyPr/>
                    </wps:wsp>
                  </a:graphicData>
                </a:graphic>
              </wp:anchor>
            </w:drawing>
          </mc:Choice>
          <mc:Fallback>
            <w:pict>
              <v:line id="直接连接符 18"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50.85pt,8.85pt" to="294.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" strokeweight="1pt"/>
            </w:pict>
          </mc:Fallback>
        </mc:AlternateContent>
      </w:r>
      <w:bookmarkEnd w:id="209"/>
      <w:bookmarkEnd w:id="210"/>
    </w:p>
    <w:sectPr w:rsidR="00FA71B5" w:rsidRPr="00FA71B5">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E36" w:rsidRDefault="00872E36">
      <w:pPr>
        <w:spacing w:line="240" w:lineRule="auto"/>
      </w:pPr>
      <w:r>
        <w:separator/>
      </w:r>
    </w:p>
  </w:endnote>
  <w:endnote w:type="continuationSeparator" w:id="0">
    <w:p w:rsidR="00872E36" w:rsidRDefault="00872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e"/>
    </w:pPr>
    <w:r>
      <w:fldChar w:fldCharType="begin"/>
    </w:r>
    <w:r>
      <w:instrText>PAGE   \* MERGEFORMAT</w:instrText>
    </w:r>
    <w:r>
      <w:fldChar w:fldCharType="separate"/>
    </w:r>
    <w:r w:rsidR="007D5F1A" w:rsidRPr="007D5F1A">
      <w:rPr>
        <w:noProof/>
        <w:lang w:val="zh-CN"/>
      </w:rPr>
      <w:t>47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d"/>
    </w:pPr>
    <w:r>
      <w:fldChar w:fldCharType="begin"/>
    </w:r>
    <w:r>
      <w:instrText xml:space="preserve"> PAGE   \* MERGEFORMAT \* MERGEFORMAT </w:instrText>
    </w:r>
    <w:r>
      <w:fldChar w:fldCharType="separate"/>
    </w:r>
    <w:r>
      <w:rPr>
        <w:noProof/>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e"/>
    </w:pPr>
    <w:r>
      <w:fldChar w:fldCharType="begin"/>
    </w:r>
    <w:r>
      <w:instrText>PAGE   \* MERGEFORMAT</w:instrText>
    </w:r>
    <w:r>
      <w:fldChar w:fldCharType="separate"/>
    </w:r>
    <w:r w:rsidRPr="00D21478">
      <w:rPr>
        <w:noProof/>
        <w:lang w:val="zh-CN"/>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d"/>
    </w:pPr>
    <w:r>
      <w:fldChar w:fldCharType="begin"/>
    </w:r>
    <w:r>
      <w:instrText xml:space="preserve"> PAGE   \* MERGEFORMAT \* MERGEFORMAT </w:instrText>
    </w:r>
    <w:r>
      <w:fldChar w:fldCharType="separate"/>
    </w:r>
    <w: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e"/>
    </w:pPr>
    <w:r>
      <w:fldChar w:fldCharType="begin"/>
    </w:r>
    <w:r>
      <w:instrText>PAGE   \* MERGEFORMAT</w:instrText>
    </w:r>
    <w:r>
      <w:fldChar w:fldCharType="separate"/>
    </w:r>
    <w:r w:rsidRPr="00D21478">
      <w:rPr>
        <w:noProof/>
        <w:lang w:val="zh-CN"/>
      </w:rPr>
      <w:t>III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d"/>
    </w:pPr>
    <w:r>
      <w:fldChar w:fldCharType="begin"/>
    </w:r>
    <w:r>
      <w:instrText xml:space="preserve"> PAGE   \* MERGEFORMAT \* MERGEFORMAT </w:instrText>
    </w:r>
    <w:r>
      <w:fldChar w:fldCharType="separate"/>
    </w:r>
    <w:r>
      <w:rPr>
        <w:noProof/>
      </w:rPr>
      <w:t>IV</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e"/>
    </w:pPr>
    <w:r>
      <w:fldChar w:fldCharType="begin"/>
    </w:r>
    <w:r>
      <w:instrText>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d"/>
    </w:pPr>
    <w:r>
      <w:fldChar w:fldCharType="begin"/>
    </w:r>
    <w:r>
      <w:instrText xml:space="preserve"> PAGE   \* MERGEFORMAT \* MERGEFORMAT </w:instrText>
    </w:r>
    <w:r>
      <w:fldChar w:fldCharType="separate"/>
    </w:r>
    <w:r>
      <w:rPr>
        <w:noProof/>
      </w:rPr>
      <w:t>48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E36" w:rsidRDefault="00872E36">
      <w:pPr>
        <w:spacing w:line="240" w:lineRule="auto"/>
      </w:pPr>
      <w:r>
        <w:separator/>
      </w:r>
    </w:p>
  </w:footnote>
  <w:footnote w:type="continuationSeparator" w:id="0">
    <w:p w:rsidR="00872E36" w:rsidRDefault="00872E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6"/>
    </w:pPr>
    <w:r>
      <w:fldChar w:fldCharType="begin"/>
    </w:r>
    <w:r>
      <w:instrText xml:space="preserve"> STYLEREF  标准文件_文件编号  \* MERGEFORMAT </w:instrText>
    </w:r>
    <w:r>
      <w:fldChar w:fldCharType="separate"/>
    </w:r>
    <w:r w:rsidR="007D5F1A">
      <w:rPr>
        <w:noProof/>
      </w:rPr>
      <w:t>DB XX/T XXXX</w:t>
    </w:r>
    <w:r w:rsidR="007D5F1A">
      <w:rPr>
        <w:noProof/>
      </w:rPr>
      <w:t>—</w:t>
    </w:r>
    <w:r w:rsidR="007D5F1A">
      <w:rPr>
        <w:noProof/>
      </w:rPr>
      <w:t>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7"/>
      <w:rPr>
        <w:lang w:val="fr-FR"/>
      </w:rPr>
    </w:pPr>
    <w:r>
      <w:fldChar w:fldCharType="begin"/>
    </w:r>
    <w:r>
      <w:instrText xml:space="preserve"> STYLEREF  标准文件_文件编号 \* MERGEFORMAT </w:instrText>
    </w:r>
    <w:r>
      <w:fldChar w:fldCharType="separate"/>
    </w:r>
    <w:r>
      <w:rPr>
        <w:noProof/>
      </w:rPr>
      <w:t>DB XX/T XXXX</w:t>
    </w:r>
    <w:r>
      <w:rPr>
        <w:noProof/>
      </w:rPr>
      <w:t>—</w:t>
    </w:r>
    <w:r>
      <w:rPr>
        <w:noProof/>
      </w:rPr>
      <w:t>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6"/>
    </w:pPr>
    <w:r>
      <w:fldChar w:fldCharType="begin"/>
    </w:r>
    <w:r>
      <w:instrText xml:space="preserve"> STYLEREF  标准文件_文件编号  \* MERGEFORMAT </w:instrText>
    </w:r>
    <w:r>
      <w:fldChar w:fldCharType="separate"/>
    </w:r>
    <w:r>
      <w:rPr>
        <w:noProof/>
      </w:rPr>
      <w:t>DB XX/T XXXX</w:t>
    </w:r>
    <w:r>
      <w:rPr>
        <w:noProof/>
      </w:rPr>
      <w:t>—</w:t>
    </w:r>
    <w:r>
      <w:rPr>
        <w:noProof/>
      </w:rP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7"/>
      <w:rPr>
        <w:lang w:val="fr-FR"/>
      </w:rPr>
    </w:pPr>
    <w:r>
      <w:fldChar w:fldCharType="begin"/>
    </w:r>
    <w:r>
      <w:instrText xml:space="preserve"> STYLEREF  标准文件_文件编号 \* MERGEFORMAT </w:instrText>
    </w:r>
    <w:r>
      <w:fldChar w:fldCharType="separate"/>
    </w:r>
    <w:r>
      <w:t>DB XX/T XXXX</w:t>
    </w:r>
    <w:r>
      <w:t>—</w:t>
    </w:r>
    <w:r>
      <w:t>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6"/>
    </w:pPr>
    <w:r>
      <w:fldChar w:fldCharType="begin"/>
    </w:r>
    <w:r>
      <w:instrText xml:space="preserve"> STYLEREF  标准文件_文件编号  \* MERGEFORMAT </w:instrText>
    </w:r>
    <w:r>
      <w:fldChar w:fldCharType="separate"/>
    </w:r>
    <w:r>
      <w:rPr>
        <w:noProof/>
      </w:rPr>
      <w:t>DB XX/T XXXX</w:t>
    </w:r>
    <w:r>
      <w:rPr>
        <w:noProof/>
      </w:rPr>
      <w:t>—</w:t>
    </w:r>
    <w:r>
      <w:rPr>
        <w:noProof/>
      </w:rPr>
      <w:t>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7"/>
      <w:rPr>
        <w:lang w:val="fr-FR"/>
      </w:rPr>
    </w:pPr>
    <w:r>
      <w:fldChar w:fldCharType="begin"/>
    </w:r>
    <w:r>
      <w:instrText xml:space="preserve"> STYLEREF  标准文件_文件编号 \* MERGEFORMAT </w:instrText>
    </w:r>
    <w:r>
      <w:fldChar w:fldCharType="separate"/>
    </w:r>
    <w:r>
      <w:rPr>
        <w:noProof/>
      </w:rPr>
      <w:t>DB XX/T XXXX</w:t>
    </w:r>
    <w:r>
      <w:rPr>
        <w:noProof/>
      </w:rPr>
      <w:t>—</w:t>
    </w:r>
    <w:r>
      <w:rPr>
        <w:noProof/>
      </w:rPr>
      <w:t>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6"/>
    </w:pPr>
    <w:r>
      <w:fldChar w:fldCharType="begin"/>
    </w:r>
    <w:r>
      <w:instrText xml:space="preserve"> STYLEREF  标准文件_文件编号  \* MERGEFORMAT </w:instrText>
    </w:r>
    <w:r>
      <w:fldChar w:fldCharType="separate"/>
    </w:r>
    <w:r>
      <w:t>DB XX/T XXXX</w:t>
    </w:r>
    <w:r>
      <w:t>—</w:t>
    </w:r>
    <w:r>
      <w:t>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B5" w:rsidRDefault="00FA71B5">
    <w:pPr>
      <w:pStyle w:val="afffff7"/>
      <w:rPr>
        <w:lang w:val="fr-FR"/>
      </w:rPr>
    </w:pPr>
    <w:r>
      <w:fldChar w:fldCharType="begin"/>
    </w:r>
    <w:r>
      <w:instrText xml:space="preserve"> STYLEREF  标准文件_文件编号 \* MERGEFORMAT </w:instrText>
    </w:r>
    <w:r>
      <w:fldChar w:fldCharType="separate"/>
    </w:r>
    <w:r>
      <w:rPr>
        <w:noProof/>
      </w:rPr>
      <w:t>DB XX/T XXXX</w:t>
    </w:r>
    <w:r>
      <w:rPr>
        <w:noProof/>
      </w:rPr>
      <w:t>—</w:t>
    </w:r>
    <w:r>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424EE1"/>
    <w:multiLevelType w:val="multilevel"/>
    <w:tmpl w:val="82424EE1"/>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
    <w:nsid w:val="8303784E"/>
    <w:multiLevelType w:val="multilevel"/>
    <w:tmpl w:val="8303784E"/>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
    <w:nsid w:val="8CFCADEC"/>
    <w:multiLevelType w:val="multilevel"/>
    <w:tmpl w:val="8CFCADE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
    <w:nsid w:val="8E90D477"/>
    <w:multiLevelType w:val="multilevel"/>
    <w:tmpl w:val="8E90D477"/>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
    <w:nsid w:val="8F15625A"/>
    <w:multiLevelType w:val="multilevel"/>
    <w:tmpl w:val="8F15625A"/>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
    <w:nsid w:val="926EE132"/>
    <w:multiLevelType w:val="multilevel"/>
    <w:tmpl w:val="926EE132"/>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
    <w:nsid w:val="954838E1"/>
    <w:multiLevelType w:val="multilevel"/>
    <w:tmpl w:val="954838E1"/>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7">
    <w:nsid w:val="9A88F86C"/>
    <w:multiLevelType w:val="multilevel"/>
    <w:tmpl w:val="9A88F86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8">
    <w:nsid w:val="9D32B65B"/>
    <w:multiLevelType w:val="multilevel"/>
    <w:tmpl w:val="9D32B65B"/>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nsid w:val="A6573393"/>
    <w:multiLevelType w:val="multilevel"/>
    <w:tmpl w:val="A6573393"/>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nsid w:val="A8171683"/>
    <w:multiLevelType w:val="multilevel"/>
    <w:tmpl w:val="A8171683"/>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1">
    <w:nsid w:val="AD38932C"/>
    <w:multiLevelType w:val="multilevel"/>
    <w:tmpl w:val="AD38932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2">
    <w:nsid w:val="ADCCF711"/>
    <w:multiLevelType w:val="multilevel"/>
    <w:tmpl w:val="ADCCF711"/>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BB627268"/>
    <w:multiLevelType w:val="multilevel"/>
    <w:tmpl w:val="BB627268"/>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nsid w:val="C3224B42"/>
    <w:multiLevelType w:val="multilevel"/>
    <w:tmpl w:val="C3224B42"/>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5">
    <w:nsid w:val="CCECF76F"/>
    <w:multiLevelType w:val="multilevel"/>
    <w:tmpl w:val="CCECF76F"/>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6">
    <w:nsid w:val="D1D13DFC"/>
    <w:multiLevelType w:val="multilevel"/>
    <w:tmpl w:val="D1D13DF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7">
    <w:nsid w:val="D35E2C8E"/>
    <w:multiLevelType w:val="multilevel"/>
    <w:tmpl w:val="D35E2C8E"/>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8">
    <w:nsid w:val="DFD2D928"/>
    <w:multiLevelType w:val="multilevel"/>
    <w:tmpl w:val="DFD2D928"/>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9">
    <w:nsid w:val="E4CB9842"/>
    <w:multiLevelType w:val="multilevel"/>
    <w:tmpl w:val="E4CB9842"/>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0">
    <w:nsid w:val="E8B5AA65"/>
    <w:multiLevelType w:val="multilevel"/>
    <w:tmpl w:val="E8B5AA65"/>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1">
    <w:nsid w:val="F5F9C530"/>
    <w:multiLevelType w:val="multilevel"/>
    <w:tmpl w:val="F5F9C530"/>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2">
    <w:nsid w:val="FDC2BD9F"/>
    <w:multiLevelType w:val="multilevel"/>
    <w:tmpl w:val="FDC2BD9F"/>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3">
    <w:nsid w:val="006C6A68"/>
    <w:multiLevelType w:val="multilevel"/>
    <w:tmpl w:val="006C6A68"/>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4">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25">
    <w:nsid w:val="03253336"/>
    <w:multiLevelType w:val="multilevel"/>
    <w:tmpl w:val="03253336"/>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6">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7">
    <w:nsid w:val="07ED3FEA"/>
    <w:multiLevelType w:val="multilevel"/>
    <w:tmpl w:val="07ED3FEA"/>
    <w:lvl w:ilvl="0">
      <w:start w:val="1"/>
      <w:numFmt w:val="none"/>
      <w:pStyle w:val="a5"/>
      <w:lvlText w:val="%1"/>
      <w:lvlJc w:val="left"/>
      <w:pPr>
        <w:ind w:left="425" w:hanging="425"/>
      </w:pPr>
      <w:rPr>
        <w:rFonts w:hint="eastAsia"/>
      </w:rPr>
    </w:lvl>
    <w:lvl w:ilvl="1">
      <w:start w:val="1"/>
      <w:numFmt w:val="decimal"/>
      <w:pStyle w:val="a6"/>
      <w:suff w:val="nothing"/>
      <w:lvlText w:val="%10.%2 "/>
      <w:lvlJc w:val="left"/>
      <w:pPr>
        <w:ind w:left="0" w:firstLine="0"/>
      </w:pPr>
      <w:rPr>
        <w:rFonts w:ascii="黑体" w:eastAsia="黑体" w:hAnsiTheme="minorHAnsi" w:hint="eastAsia"/>
        <w:b w:val="0"/>
        <w:i w:val="0"/>
        <w:sz w:val="21"/>
      </w:rPr>
    </w:lvl>
    <w:lvl w:ilvl="2">
      <w:start w:val="1"/>
      <w:numFmt w:val="decimal"/>
      <w:pStyle w:val="a7"/>
      <w:suff w:val="nothing"/>
      <w:lvlText w:val="%10.%2.%3 "/>
      <w:lvlJc w:val="left"/>
      <w:pPr>
        <w:ind w:left="0" w:firstLine="0"/>
      </w:pPr>
      <w:rPr>
        <w:rFonts w:ascii="黑体" w:eastAsia="黑体" w:hAnsiTheme="minorHAnsi" w:hint="eastAsia"/>
        <w:b w:val="0"/>
        <w:i w:val="0"/>
        <w:sz w:val="21"/>
      </w:rPr>
    </w:lvl>
    <w:lvl w:ilvl="3">
      <w:start w:val="1"/>
      <w:numFmt w:val="decimal"/>
      <w:pStyle w:val="a8"/>
      <w:suff w:val="nothing"/>
      <w:lvlText w:val="%10.%2.%3.%4 "/>
      <w:lvlJc w:val="left"/>
      <w:pPr>
        <w:ind w:left="0" w:firstLine="0"/>
      </w:pPr>
      <w:rPr>
        <w:rFonts w:ascii="黑体" w:eastAsia="黑体" w:hAnsiTheme="minorHAnsi" w:hint="eastAsia"/>
        <w:b w:val="0"/>
        <w:i w:val="0"/>
        <w:sz w:val="21"/>
      </w:rPr>
    </w:lvl>
    <w:lvl w:ilvl="4">
      <w:start w:val="1"/>
      <w:numFmt w:val="decimal"/>
      <w:pStyle w:val="a9"/>
      <w:suff w:val="nothing"/>
      <w:lvlText w:val="%10.%2.%3.%4.%5 "/>
      <w:lvlJc w:val="left"/>
      <w:pPr>
        <w:ind w:left="0" w:firstLine="0"/>
      </w:pPr>
      <w:rPr>
        <w:rFonts w:ascii="黑体" w:eastAsia="黑体" w:hAnsiTheme="minorHAnsi" w:hint="eastAsia"/>
        <w:b w:val="0"/>
        <w:i w:val="0"/>
        <w:sz w:val="21"/>
      </w:rPr>
    </w:lvl>
    <w:lvl w:ilvl="5">
      <w:start w:val="1"/>
      <w:numFmt w:val="decimal"/>
      <w:pStyle w:val="aa"/>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0AE367E9"/>
    <w:multiLevelType w:val="multilevel"/>
    <w:tmpl w:val="0AE367E9"/>
    <w:lvl w:ilvl="0">
      <w:start w:val="1"/>
      <w:numFmt w:val="none"/>
      <w:pStyle w:val="ab"/>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9">
    <w:nsid w:val="0BDC1670"/>
    <w:multiLevelType w:val="multilevel"/>
    <w:tmpl w:val="0BDC1670"/>
    <w:lvl w:ilvl="0">
      <w:start w:val="1"/>
      <w:numFmt w:val="decimal"/>
      <w:pStyle w:val="ac"/>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0D051F45"/>
    <w:multiLevelType w:val="multilevel"/>
    <w:tmpl w:val="0D051F45"/>
    <w:lvl w:ilvl="0">
      <w:start w:val="1"/>
      <w:numFmt w:val="lowerRoman"/>
      <w:pStyle w:val="ad"/>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31">
    <w:nsid w:val="128A4FD7"/>
    <w:multiLevelType w:val="multilevel"/>
    <w:tmpl w:val="128A4FD7"/>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2">
    <w:nsid w:val="166D7C86"/>
    <w:multiLevelType w:val="multilevel"/>
    <w:tmpl w:val="166D7C86"/>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33">
    <w:nsid w:val="1AD20F90"/>
    <w:multiLevelType w:val="multilevel"/>
    <w:tmpl w:val="1AD20F90"/>
    <w:lvl w:ilvl="0">
      <w:start w:val="1"/>
      <w:numFmt w:val="none"/>
      <w:pStyle w:val="ae"/>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nsid w:val="1AF15012"/>
    <w:multiLevelType w:val="multilevel"/>
    <w:tmpl w:val="1AF15012"/>
    <w:lvl w:ilvl="0">
      <w:start w:val="1"/>
      <w:numFmt w:val="upperLetter"/>
      <w:pStyle w:val="af"/>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5">
    <w:nsid w:val="1EAA1992"/>
    <w:multiLevelType w:val="multilevel"/>
    <w:tmpl w:val="1EAA1992"/>
    <w:lvl w:ilvl="0">
      <w:start w:val="1"/>
      <w:numFmt w:val="none"/>
      <w:pStyle w:val="af0"/>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36">
    <w:nsid w:val="2AC85135"/>
    <w:multiLevelType w:val="multilevel"/>
    <w:tmpl w:val="2AC85135"/>
    <w:lvl w:ilvl="0">
      <w:start w:val="1"/>
      <w:numFmt w:val="decimal"/>
      <w:pStyle w:val="af1"/>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7">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38">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9">
    <w:nsid w:val="35F475CB"/>
    <w:multiLevelType w:val="multilevel"/>
    <w:tmpl w:val="35F475CB"/>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0">
    <w:nsid w:val="372116B2"/>
    <w:multiLevelType w:val="multilevel"/>
    <w:tmpl w:val="372116B2"/>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1">
    <w:nsid w:val="3798062E"/>
    <w:multiLevelType w:val="multilevel"/>
    <w:tmpl w:val="3798062E"/>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2">
    <w:nsid w:val="39354011"/>
    <w:multiLevelType w:val="multilevel"/>
    <w:tmpl w:val="39354011"/>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3">
    <w:nsid w:val="3ABDBB38"/>
    <w:multiLevelType w:val="multilevel"/>
    <w:tmpl w:val="3ABDBB38"/>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4">
    <w:nsid w:val="3C699165"/>
    <w:multiLevelType w:val="multilevel"/>
    <w:tmpl w:val="3C699165"/>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5">
    <w:nsid w:val="48585920"/>
    <w:multiLevelType w:val="multilevel"/>
    <w:tmpl w:val="48585920"/>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6">
    <w:nsid w:val="48802D1C"/>
    <w:multiLevelType w:val="multilevel"/>
    <w:tmpl w:val="48802D1C"/>
    <w:lvl w:ilvl="0">
      <w:start w:val="1"/>
      <w:numFmt w:val="upperLetter"/>
      <w:pStyle w:val="af5"/>
      <w:lvlText w:val="%1"/>
      <w:lvlJc w:val="left"/>
      <w:pPr>
        <w:ind w:left="420" w:hanging="420"/>
      </w:pPr>
      <w:rPr>
        <w:rFonts w:hint="eastAsia"/>
      </w:rPr>
    </w:lvl>
    <w:lvl w:ilvl="1">
      <w:start w:val="1"/>
      <w:numFmt w:val="decimal"/>
      <w:pStyle w:val="af6"/>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4B733A5F"/>
    <w:multiLevelType w:val="multilevel"/>
    <w:tmpl w:val="4B733A5F"/>
    <w:lvl w:ilvl="0">
      <w:start w:val="1"/>
      <w:numFmt w:val="decimal"/>
      <w:pStyle w:val="af7"/>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8">
    <w:nsid w:val="4C2A24BE"/>
    <w:multiLevelType w:val="multilevel"/>
    <w:tmpl w:val="4C2A24BE"/>
    <w:lvl w:ilvl="0">
      <w:start w:val="1"/>
      <w:numFmt w:val="lowerLetter"/>
      <w:pStyle w:val="af8"/>
      <w:lvlText w:val="%1)"/>
      <w:lvlJc w:val="left"/>
      <w:pPr>
        <w:tabs>
          <w:tab w:val="left" w:pos="851"/>
        </w:tabs>
        <w:ind w:left="851" w:hanging="426"/>
      </w:pPr>
      <w:rPr>
        <w:rFonts w:ascii="宋体" w:eastAsia="宋体" w:hAnsi="Times New Roman" w:hint="eastAsia"/>
        <w:sz w:val="21"/>
      </w:rPr>
    </w:lvl>
    <w:lvl w:ilvl="1">
      <w:start w:val="1"/>
      <w:numFmt w:val="decimal"/>
      <w:pStyle w:val="af9"/>
      <w:lvlText w:val="%2)"/>
      <w:lvlJc w:val="left"/>
      <w:pPr>
        <w:tabs>
          <w:tab w:val="left" w:pos="1276"/>
        </w:tabs>
        <w:ind w:left="1276" w:hanging="425"/>
      </w:pPr>
      <w:rPr>
        <w:rFonts w:ascii="宋体" w:eastAsia="宋体" w:hAnsi="Times New Roman" w:hint="eastAsia"/>
        <w:sz w:val="21"/>
      </w:rPr>
    </w:lvl>
    <w:lvl w:ilvl="2">
      <w:start w:val="1"/>
      <w:numFmt w:val="decimal"/>
      <w:pStyle w:val="afa"/>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9">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51">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2">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562FCC2E"/>
    <w:multiLevelType w:val="multilevel"/>
    <w:tmpl w:val="562FCC2E"/>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4">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59405FCC"/>
    <w:multiLevelType w:val="multilevel"/>
    <w:tmpl w:val="59405FC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6">
    <w:nsid w:val="5BB043EC"/>
    <w:multiLevelType w:val="multilevel"/>
    <w:tmpl w:val="5BB043E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7">
    <w:nsid w:val="5D522729"/>
    <w:multiLevelType w:val="multilevel"/>
    <w:tmpl w:val="5D522729"/>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8">
    <w:nsid w:val="640AC5A9"/>
    <w:multiLevelType w:val="multilevel"/>
    <w:tmpl w:val="640AC5A9"/>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9">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6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1">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3">
    <w:nsid w:val="68D7E335"/>
    <w:multiLevelType w:val="multilevel"/>
    <w:tmpl w:val="68D7E335"/>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65">
    <w:nsid w:val="6AEE5C8C"/>
    <w:multiLevelType w:val="multilevel"/>
    <w:tmpl w:val="6AEE5C8C"/>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6">
    <w:nsid w:val="6C3D293F"/>
    <w:multiLevelType w:val="multilevel"/>
    <w:tmpl w:val="6C3D293F"/>
    <w:lvl w:ilvl="0">
      <w:start w:val="1"/>
      <w:numFmt w:val="lowerLetter"/>
      <w:pStyle w:val="aff9"/>
      <w:lvlText w:val="%1)"/>
      <w:lvlJc w:val="left"/>
      <w:pPr>
        <w:tabs>
          <w:tab w:val="left" w:pos="846"/>
        </w:tabs>
        <w:ind w:left="845" w:hanging="419"/>
      </w:pPr>
      <w:rPr>
        <w:rFonts w:ascii="Times New Roman" w:eastAsia="宋体" w:hAnsi="Times New Roman" w:cs="Times New Roman" w:hint="default"/>
        <w:b w:val="0"/>
        <w:i w:val="0"/>
        <w:sz w:val="21"/>
        <w:szCs w:val="21"/>
      </w:rPr>
    </w:lvl>
    <w:lvl w:ilvl="1">
      <w:start w:val="1"/>
      <w:numFmt w:val="decimal"/>
      <w:lvlText w:val="%2)"/>
      <w:lvlJc w:val="left"/>
      <w:pPr>
        <w:tabs>
          <w:tab w:val="left" w:pos="1260"/>
        </w:tabs>
        <w:ind w:left="1259" w:hanging="419"/>
      </w:pPr>
      <w:rPr>
        <w:rFonts w:ascii="Times New Roman"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7">
    <w:nsid w:val="6CA41985"/>
    <w:multiLevelType w:val="multilevel"/>
    <w:tmpl w:val="6CA41985"/>
    <w:lvl w:ilvl="0">
      <w:start w:val="1"/>
      <w:numFmt w:val="decimal"/>
      <w:pStyle w:val="affa"/>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8">
    <w:nsid w:val="6CE42AC1"/>
    <w:multiLevelType w:val="multilevel"/>
    <w:tmpl w:val="6CE42AC1"/>
    <w:lvl w:ilvl="0">
      <w:start w:val="1"/>
      <w:numFmt w:val="lowerLetter"/>
      <w:pStyle w:val="affb"/>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6CEA2025"/>
    <w:multiLevelType w:val="multilevel"/>
    <w:tmpl w:val="6CEA2025"/>
    <w:lvl w:ilvl="0">
      <w:start w:val="1"/>
      <w:numFmt w:val="none"/>
      <w:pStyle w:val="affc"/>
      <w:suff w:val="nothing"/>
      <w:lvlText w:val="%1"/>
      <w:lvlJc w:val="left"/>
      <w:pPr>
        <w:ind w:left="0" w:firstLine="0"/>
      </w:pPr>
      <w:rPr>
        <w:rFonts w:hint="eastAsia"/>
      </w:rPr>
    </w:lvl>
    <w:lvl w:ilvl="1">
      <w:start w:val="1"/>
      <w:numFmt w:val="decimal"/>
      <w:pStyle w:val="affd"/>
      <w:suff w:val="nothing"/>
      <w:lvlText w:val="%1%2　"/>
      <w:lvlJc w:val="left"/>
      <w:pPr>
        <w:ind w:left="0" w:firstLine="0"/>
      </w:pPr>
      <w:rPr>
        <w:rFonts w:ascii="黑体" w:eastAsia="黑体" w:hint="eastAsia"/>
        <w:b w:val="0"/>
        <w:i w:val="0"/>
        <w:sz w:val="21"/>
      </w:rPr>
    </w:lvl>
    <w:lvl w:ilvl="2">
      <w:start w:val="1"/>
      <w:numFmt w:val="decimal"/>
      <w:pStyle w:val="affe"/>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
      <w:suff w:val="nothing"/>
      <w:lvlText w:val="%1%2.%3.%4　"/>
      <w:lvlJc w:val="left"/>
      <w:pPr>
        <w:ind w:left="0" w:firstLine="0"/>
      </w:pPr>
      <w:rPr>
        <w:rFonts w:ascii="黑体" w:eastAsia="黑体" w:hint="eastAsia"/>
        <w:b w:val="0"/>
        <w:i w:val="0"/>
        <w:sz w:val="21"/>
      </w:rPr>
    </w:lvl>
    <w:lvl w:ilvl="4">
      <w:start w:val="1"/>
      <w:numFmt w:val="decimal"/>
      <w:pStyle w:val="afff0"/>
      <w:suff w:val="nothing"/>
      <w:lvlText w:val="%1%2.%3.%4.%5　"/>
      <w:lvlJc w:val="left"/>
      <w:pPr>
        <w:ind w:left="0" w:firstLine="0"/>
      </w:pPr>
      <w:rPr>
        <w:rFonts w:ascii="黑体" w:eastAsia="黑体" w:hint="eastAsia"/>
        <w:b w:val="0"/>
        <w:i w:val="0"/>
        <w:sz w:val="21"/>
      </w:rPr>
    </w:lvl>
    <w:lvl w:ilvl="5">
      <w:start w:val="1"/>
      <w:numFmt w:val="decimal"/>
      <w:pStyle w:val="afff1"/>
      <w:suff w:val="nothing"/>
      <w:lvlText w:val="%1%2.%3.%4.%5.%6　"/>
      <w:lvlJc w:val="left"/>
      <w:pPr>
        <w:ind w:left="0" w:firstLine="0"/>
      </w:pPr>
      <w:rPr>
        <w:rFonts w:ascii="黑体" w:eastAsia="黑体" w:hint="eastAsia"/>
        <w:b w:val="0"/>
        <w:i w:val="0"/>
        <w:sz w:val="21"/>
      </w:rPr>
    </w:lvl>
    <w:lvl w:ilvl="6">
      <w:start w:val="1"/>
      <w:numFmt w:val="decimal"/>
      <w:pStyle w:val="afff2"/>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0">
    <w:nsid w:val="6DBF04F4"/>
    <w:multiLevelType w:val="multilevel"/>
    <w:tmpl w:val="6DBF04F4"/>
    <w:lvl w:ilvl="0">
      <w:start w:val="1"/>
      <w:numFmt w:val="none"/>
      <w:pStyle w:val="afff3"/>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71">
    <w:nsid w:val="6DF35F19"/>
    <w:multiLevelType w:val="multilevel"/>
    <w:tmpl w:val="6DF35F19"/>
    <w:lvl w:ilvl="0">
      <w:start w:val="1"/>
      <w:numFmt w:val="decimal"/>
      <w:pStyle w:val="afff4"/>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72">
    <w:nsid w:val="75814B8F"/>
    <w:multiLevelType w:val="multilevel"/>
    <w:tmpl w:val="75814B8F"/>
    <w:lvl w:ilvl="0">
      <w:start w:val="1"/>
      <w:numFmt w:val="lowerLetter"/>
      <w:pStyle w:val="abc"/>
      <w:suff w:val="nothing"/>
      <w:lvlText w:val="%1）"/>
      <w:lvlJc w:val="left"/>
      <w:pPr>
        <w:tabs>
          <w:tab w:val="left" w:pos="0"/>
        </w:tabs>
        <w:ind w:left="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3">
    <w:nsid w:val="76933334"/>
    <w:multiLevelType w:val="multilevel"/>
    <w:tmpl w:val="76933334"/>
    <w:lvl w:ilvl="0">
      <w:start w:val="1"/>
      <w:numFmt w:val="none"/>
      <w:pStyle w:val="afff5"/>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4">
    <w:nsid w:val="79917978"/>
    <w:multiLevelType w:val="multilevel"/>
    <w:tmpl w:val="79917978"/>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abstractNumId w:val="24"/>
  </w:num>
  <w:num w:numId="2">
    <w:abstractNumId w:val="69"/>
  </w:num>
  <w:num w:numId="3">
    <w:abstractNumId w:val="29"/>
  </w:num>
  <w:num w:numId="4">
    <w:abstractNumId w:val="62"/>
  </w:num>
  <w:num w:numId="5">
    <w:abstractNumId w:val="52"/>
  </w:num>
  <w:num w:numId="6">
    <w:abstractNumId w:val="46"/>
  </w:num>
  <w:num w:numId="7">
    <w:abstractNumId w:val="34"/>
  </w:num>
  <w:num w:numId="8">
    <w:abstractNumId w:val="27"/>
  </w:num>
  <w:num w:numId="9">
    <w:abstractNumId w:val="35"/>
  </w:num>
  <w:num w:numId="10">
    <w:abstractNumId w:val="50"/>
  </w:num>
  <w:num w:numId="11">
    <w:abstractNumId w:val="67"/>
  </w:num>
  <w:num w:numId="12">
    <w:abstractNumId w:val="38"/>
  </w:num>
  <w:num w:numId="13">
    <w:abstractNumId w:val="48"/>
  </w:num>
  <w:num w:numId="14">
    <w:abstractNumId w:val="33"/>
  </w:num>
  <w:num w:numId="15">
    <w:abstractNumId w:val="54"/>
  </w:num>
  <w:num w:numId="16">
    <w:abstractNumId w:val="60"/>
  </w:num>
  <w:num w:numId="17">
    <w:abstractNumId w:val="51"/>
  </w:num>
  <w:num w:numId="18">
    <w:abstractNumId w:val="71"/>
  </w:num>
  <w:num w:numId="19">
    <w:abstractNumId w:val="49"/>
  </w:num>
  <w:num w:numId="20">
    <w:abstractNumId w:val="26"/>
  </w:num>
  <w:num w:numId="21">
    <w:abstractNumId w:val="37"/>
  </w:num>
  <w:num w:numId="22">
    <w:abstractNumId w:val="73"/>
  </w:num>
  <w:num w:numId="23">
    <w:abstractNumId w:val="59"/>
  </w:num>
  <w:num w:numId="24">
    <w:abstractNumId w:val="30"/>
  </w:num>
  <w:num w:numId="25">
    <w:abstractNumId w:val="68"/>
  </w:num>
  <w:num w:numId="26">
    <w:abstractNumId w:val="70"/>
  </w:num>
  <w:num w:numId="27">
    <w:abstractNumId w:val="36"/>
  </w:num>
  <w:num w:numId="28">
    <w:abstractNumId w:val="28"/>
  </w:num>
  <w:num w:numId="29">
    <w:abstractNumId w:val="47"/>
  </w:num>
  <w:num w:numId="30">
    <w:abstractNumId w:val="64"/>
  </w:num>
  <w:num w:numId="31">
    <w:abstractNumId w:val="61"/>
  </w:num>
  <w:num w:numId="32">
    <w:abstractNumId w:val="72"/>
  </w:num>
  <w:num w:numId="33">
    <w:abstractNumId w:val="66"/>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num>
  <w:num w:numId="75">
    <w:abstractNumId w:val="32"/>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372ED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0599"/>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4D4E"/>
    <w:rsid w:val="002771AC"/>
    <w:rsid w:val="00281BB8"/>
    <w:rsid w:val="00281E9E"/>
    <w:rsid w:val="00282405"/>
    <w:rsid w:val="00285170"/>
    <w:rsid w:val="00285361"/>
    <w:rsid w:val="002878A2"/>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175A"/>
    <w:rsid w:val="00313B85"/>
    <w:rsid w:val="00317988"/>
    <w:rsid w:val="00320CFF"/>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2EAB"/>
    <w:rsid w:val="005836A8"/>
    <w:rsid w:val="0058409C"/>
    <w:rsid w:val="00584262"/>
    <w:rsid w:val="00586630"/>
    <w:rsid w:val="005873AB"/>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4DE2"/>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3A0C"/>
    <w:rsid w:val="007D5F1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72E36"/>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5732B"/>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294F"/>
    <w:rsid w:val="00CE30EA"/>
    <w:rsid w:val="00CF048A"/>
    <w:rsid w:val="00CF155A"/>
    <w:rsid w:val="00CF2947"/>
    <w:rsid w:val="00CF686F"/>
    <w:rsid w:val="00CF6E60"/>
    <w:rsid w:val="00CF7BCA"/>
    <w:rsid w:val="00D008FD"/>
    <w:rsid w:val="00D0321C"/>
    <w:rsid w:val="00D035EC"/>
    <w:rsid w:val="00D06AB1"/>
    <w:rsid w:val="00D072ED"/>
    <w:rsid w:val="00D07A16"/>
    <w:rsid w:val="00D07F02"/>
    <w:rsid w:val="00D1067E"/>
    <w:rsid w:val="00D10F50"/>
    <w:rsid w:val="00D11272"/>
    <w:rsid w:val="00D126F5"/>
    <w:rsid w:val="00D1489E"/>
    <w:rsid w:val="00D20737"/>
    <w:rsid w:val="00D21478"/>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1B5"/>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46D7C52"/>
    <w:rsid w:val="078B519A"/>
    <w:rsid w:val="07957F15"/>
    <w:rsid w:val="0FAB2C0B"/>
    <w:rsid w:val="1D4045A2"/>
    <w:rsid w:val="1E911BEF"/>
    <w:rsid w:val="21372EDE"/>
    <w:rsid w:val="24FB0428"/>
    <w:rsid w:val="29A73627"/>
    <w:rsid w:val="2A8E7DB9"/>
    <w:rsid w:val="2F030296"/>
    <w:rsid w:val="34D348B8"/>
    <w:rsid w:val="37EB5B66"/>
    <w:rsid w:val="39F41558"/>
    <w:rsid w:val="3CA8649C"/>
    <w:rsid w:val="42854612"/>
    <w:rsid w:val="430945C0"/>
    <w:rsid w:val="448A699B"/>
    <w:rsid w:val="550B7314"/>
    <w:rsid w:val="57B23B57"/>
    <w:rsid w:val="63CC5F76"/>
    <w:rsid w:val="670447D2"/>
    <w:rsid w:val="6B8518C4"/>
    <w:rsid w:val="6C7E1287"/>
    <w:rsid w:val="6DA8714C"/>
    <w:rsid w:val="735529E2"/>
    <w:rsid w:val="79C055DF"/>
    <w:rsid w:val="7DCE7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0"/>
    <w:lsdException w:name="toc 9" w:semiHidden="1" w:uiPriority="0"/>
    <w:lsdException w:name="Normal Indent" w:uiPriority="0" w:unhideWhenUsed="0" w:qFormat="1"/>
    <w:lsdException w:name="footnote text" w:semiHidden="1" w:uiPriority="0" w:unhideWhenUsed="0" w:qFormat="1"/>
    <w:lsdException w:name="annotation text" w:qFormat="1"/>
    <w:lsdException w:name="header" w:unhideWhenUsed="0" w:qFormat="1"/>
    <w:lsdException w:name="footer" w:unhideWhenUsed="0" w:qFormat="1"/>
    <w:lsdException w:name="index heading" w:semiHidden="1"/>
    <w:lsdException w:name="caption" w:semiHidden="1" w:uiPriority="0" w:qFormat="1"/>
    <w:lsdException w:name="table of figures" w:semiHidden="1" w:uiPriority="0" w:unhideWhenUsed="0" w:qFormat="1"/>
    <w:lsdException w:name="envelope address" w:semiHidden="1"/>
    <w:lsdException w:name="envelope return" w:semiHidden="1"/>
    <w:lsdException w:name="footnote reference" w:semiHidden="1" w:uiPriority="0" w:unhideWhenUsed="0" w:qFormat="1"/>
    <w:lsdException w:name="annotation reference" w:semiHidden="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ff6">
    <w:name w:val="Normal"/>
    <w:qFormat/>
    <w:pPr>
      <w:widowControl w:val="0"/>
      <w:adjustRightInd w:val="0"/>
      <w:spacing w:line="400" w:lineRule="exact"/>
      <w:jc w:val="both"/>
    </w:pPr>
    <w:rPr>
      <w:kern w:val="2"/>
      <w:sz w:val="21"/>
      <w:szCs w:val="21"/>
    </w:rPr>
  </w:style>
  <w:style w:type="paragraph" w:styleId="1">
    <w:name w:val="heading 1"/>
    <w:basedOn w:val="afff6"/>
    <w:next w:val="afff6"/>
    <w:link w:val="1Char"/>
    <w:qFormat/>
    <w:pPr>
      <w:keepNext/>
      <w:keepLines/>
      <w:spacing w:before="340" w:after="330" w:line="578" w:lineRule="auto"/>
      <w:outlineLvl w:val="0"/>
    </w:pPr>
    <w:rPr>
      <w:b/>
      <w:bCs/>
      <w:kern w:val="44"/>
      <w:sz w:val="44"/>
      <w:szCs w:val="44"/>
    </w:rPr>
  </w:style>
  <w:style w:type="paragraph" w:styleId="22">
    <w:name w:val="heading 2"/>
    <w:basedOn w:val="afff6"/>
    <w:next w:val="afff6"/>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6"/>
    <w:next w:val="afff6"/>
    <w:link w:val="3Char"/>
    <w:autoRedefine/>
    <w:qFormat/>
    <w:pPr>
      <w:keepNext/>
      <w:keepLines/>
      <w:spacing w:before="260" w:after="260" w:line="416" w:lineRule="auto"/>
      <w:outlineLvl w:val="2"/>
    </w:pPr>
    <w:rPr>
      <w:b/>
      <w:bCs/>
      <w:sz w:val="32"/>
      <w:szCs w:val="32"/>
    </w:rPr>
  </w:style>
  <w:style w:type="paragraph" w:styleId="4">
    <w:name w:val="heading 4"/>
    <w:basedOn w:val="afff6"/>
    <w:next w:val="afff6"/>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6"/>
    <w:next w:val="afff6"/>
    <w:link w:val="5Char"/>
    <w:qFormat/>
    <w:pPr>
      <w:keepNext/>
      <w:keepLines/>
      <w:adjustRightInd/>
      <w:spacing w:before="280" w:after="290" w:line="376" w:lineRule="auto"/>
      <w:outlineLvl w:val="4"/>
    </w:pPr>
    <w:rPr>
      <w:b/>
      <w:bCs/>
      <w:sz w:val="28"/>
      <w:szCs w:val="28"/>
    </w:rPr>
  </w:style>
  <w:style w:type="paragraph" w:styleId="6">
    <w:name w:val="heading 6"/>
    <w:basedOn w:val="afff6"/>
    <w:next w:val="afff6"/>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6"/>
    <w:next w:val="afff6"/>
    <w:link w:val="7Char"/>
    <w:qFormat/>
    <w:pPr>
      <w:keepNext/>
      <w:keepLines/>
      <w:adjustRightInd/>
      <w:spacing w:before="240" w:after="64" w:line="320" w:lineRule="auto"/>
      <w:outlineLvl w:val="6"/>
    </w:pPr>
    <w:rPr>
      <w:b/>
      <w:bCs/>
      <w:sz w:val="24"/>
      <w:szCs w:val="24"/>
    </w:rPr>
  </w:style>
  <w:style w:type="paragraph" w:styleId="8">
    <w:name w:val="heading 8"/>
    <w:basedOn w:val="afff6"/>
    <w:next w:val="afff6"/>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6"/>
    <w:next w:val="afff6"/>
    <w:link w:val="9Char"/>
    <w:qFormat/>
    <w:pPr>
      <w:keepNext/>
      <w:keepLines/>
      <w:adjustRightInd/>
      <w:spacing w:before="240" w:after="64" w:line="320" w:lineRule="auto"/>
      <w:outlineLvl w:val="8"/>
    </w:pPr>
    <w:rPr>
      <w:rFonts w:ascii="Arial" w:eastAsia="黑体" w:hAnsi="Arial"/>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paragraph" w:styleId="70">
    <w:name w:val="toc 7"/>
    <w:basedOn w:val="afff6"/>
    <w:next w:val="afff6"/>
    <w:autoRedefine/>
    <w:uiPriority w:val="39"/>
    <w:unhideWhenUsed/>
    <w:qFormat/>
    <w:pPr>
      <w:tabs>
        <w:tab w:val="right" w:leader="dot" w:pos="9344"/>
      </w:tabs>
      <w:spacing w:line="300" w:lineRule="exact"/>
      <w:ind w:left="1259"/>
    </w:pPr>
    <w:rPr>
      <w:rFonts w:ascii="宋体"/>
    </w:rPr>
  </w:style>
  <w:style w:type="paragraph" w:styleId="afffa">
    <w:name w:val="Normal Indent"/>
    <w:basedOn w:val="afff6"/>
    <w:qFormat/>
    <w:pPr>
      <w:ind w:firstLine="420"/>
    </w:pPr>
  </w:style>
  <w:style w:type="paragraph" w:styleId="afffb">
    <w:name w:val="caption"/>
    <w:basedOn w:val="afff6"/>
    <w:next w:val="afff6"/>
    <w:semiHidden/>
    <w:unhideWhenUsed/>
    <w:qFormat/>
    <w:rPr>
      <w:rFonts w:ascii="Arial" w:eastAsia="黑体" w:hAnsi="Arial"/>
      <w:sz w:val="20"/>
    </w:rPr>
  </w:style>
  <w:style w:type="paragraph" w:styleId="afffc">
    <w:name w:val="annotation text"/>
    <w:basedOn w:val="afff6"/>
    <w:uiPriority w:val="99"/>
    <w:unhideWhenUsed/>
    <w:qFormat/>
    <w:pPr>
      <w:jc w:val="left"/>
    </w:pPr>
  </w:style>
  <w:style w:type="paragraph" w:styleId="afffd">
    <w:name w:val="Body Text"/>
    <w:basedOn w:val="afff6"/>
    <w:next w:val="Style2"/>
    <w:link w:val="Char"/>
    <w:qFormat/>
    <w:pPr>
      <w:spacing w:after="120"/>
    </w:pPr>
  </w:style>
  <w:style w:type="paragraph" w:customStyle="1" w:styleId="Style2">
    <w:name w:val="_Style 2"/>
    <w:basedOn w:val="afff6"/>
    <w:qFormat/>
    <w:pPr>
      <w:ind w:firstLineChars="200" w:firstLine="200"/>
    </w:pPr>
    <w:rPr>
      <w:sz w:val="28"/>
    </w:rPr>
  </w:style>
  <w:style w:type="paragraph" w:styleId="50">
    <w:name w:val="toc 5"/>
    <w:basedOn w:val="afff6"/>
    <w:next w:val="afff6"/>
    <w:autoRedefine/>
    <w:uiPriority w:val="39"/>
    <w:unhideWhenUsed/>
    <w:qFormat/>
    <w:pPr>
      <w:ind w:left="839"/>
    </w:pPr>
    <w:rPr>
      <w:rFonts w:ascii="宋体"/>
    </w:rPr>
  </w:style>
  <w:style w:type="paragraph" w:styleId="30">
    <w:name w:val="toc 3"/>
    <w:basedOn w:val="afff6"/>
    <w:next w:val="afff6"/>
    <w:autoRedefine/>
    <w:uiPriority w:val="39"/>
    <w:unhideWhenUsed/>
    <w:qFormat/>
    <w:pPr>
      <w:spacing w:line="300" w:lineRule="exact"/>
      <w:ind w:left="420"/>
    </w:pPr>
    <w:rPr>
      <w:rFonts w:ascii="宋体"/>
    </w:rPr>
  </w:style>
  <w:style w:type="paragraph" w:styleId="afffe">
    <w:name w:val="Balloon Text"/>
    <w:basedOn w:val="afff6"/>
    <w:link w:val="Char0"/>
    <w:autoRedefine/>
    <w:uiPriority w:val="99"/>
    <w:semiHidden/>
    <w:unhideWhenUsed/>
    <w:qFormat/>
    <w:rPr>
      <w:sz w:val="18"/>
      <w:szCs w:val="18"/>
    </w:rPr>
  </w:style>
  <w:style w:type="paragraph" w:styleId="affff">
    <w:name w:val="footer"/>
    <w:basedOn w:val="afff6"/>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6"/>
    <w:link w:val="Char2"/>
    <w:uiPriority w:val="99"/>
    <w:qFormat/>
    <w:pPr>
      <w:tabs>
        <w:tab w:val="center" w:pos="4153"/>
        <w:tab w:val="right" w:pos="8306"/>
      </w:tabs>
      <w:adjustRightInd/>
      <w:snapToGrid w:val="0"/>
      <w:jc w:val="center"/>
    </w:pPr>
    <w:rPr>
      <w:sz w:val="18"/>
      <w:szCs w:val="18"/>
    </w:rPr>
  </w:style>
  <w:style w:type="paragraph" w:styleId="10">
    <w:name w:val="toc 1"/>
    <w:basedOn w:val="afff6"/>
    <w:next w:val="afff6"/>
    <w:autoRedefine/>
    <w:uiPriority w:val="39"/>
    <w:unhideWhenUsed/>
    <w:qFormat/>
    <w:rPr>
      <w:rFonts w:ascii="宋体"/>
    </w:rPr>
  </w:style>
  <w:style w:type="paragraph" w:styleId="40">
    <w:name w:val="toc 4"/>
    <w:basedOn w:val="afff6"/>
    <w:next w:val="afff6"/>
    <w:autoRedefine/>
    <w:uiPriority w:val="39"/>
    <w:unhideWhenUsed/>
    <w:qFormat/>
    <w:pPr>
      <w:tabs>
        <w:tab w:val="right" w:leader="dot" w:pos="9344"/>
      </w:tabs>
      <w:spacing w:line="300" w:lineRule="exact"/>
      <w:ind w:left="629"/>
    </w:pPr>
    <w:rPr>
      <w:rFonts w:ascii="宋体"/>
    </w:rPr>
  </w:style>
  <w:style w:type="paragraph" w:styleId="affff1">
    <w:name w:val="footnote text"/>
    <w:basedOn w:val="afff6"/>
    <w:next w:val="afff6"/>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6"/>
    <w:next w:val="afff6"/>
    <w:autoRedefine/>
    <w:uiPriority w:val="39"/>
    <w:unhideWhenUsed/>
    <w:qFormat/>
    <w:pPr>
      <w:spacing w:line="300" w:lineRule="exact"/>
      <w:ind w:left="1049"/>
    </w:pPr>
    <w:rPr>
      <w:rFonts w:ascii="宋体"/>
    </w:rPr>
  </w:style>
  <w:style w:type="paragraph" w:styleId="affff2">
    <w:name w:val="table of figures"/>
    <w:basedOn w:val="afff6"/>
    <w:next w:val="afff6"/>
    <w:semiHidden/>
    <w:qFormat/>
    <w:pPr>
      <w:adjustRightInd/>
      <w:spacing w:line="240" w:lineRule="auto"/>
      <w:jc w:val="left"/>
    </w:pPr>
    <w:rPr>
      <w:szCs w:val="24"/>
    </w:rPr>
  </w:style>
  <w:style w:type="paragraph" w:styleId="23">
    <w:name w:val="toc 2"/>
    <w:basedOn w:val="afff6"/>
    <w:next w:val="afff6"/>
    <w:autoRedefine/>
    <w:uiPriority w:val="39"/>
    <w:unhideWhenUsed/>
    <w:qFormat/>
    <w:pPr>
      <w:tabs>
        <w:tab w:val="right" w:leader="dot" w:pos="9344"/>
      </w:tabs>
      <w:spacing w:line="300" w:lineRule="exact"/>
      <w:ind w:left="210"/>
    </w:pPr>
    <w:rPr>
      <w:rFonts w:ascii="宋体"/>
    </w:rPr>
  </w:style>
  <w:style w:type="paragraph" w:styleId="affff3">
    <w:name w:val="Title"/>
    <w:basedOn w:val="afff6"/>
    <w:link w:val="Char4"/>
    <w:qFormat/>
    <w:pPr>
      <w:spacing w:before="240" w:after="60"/>
      <w:jc w:val="center"/>
      <w:outlineLvl w:val="0"/>
    </w:pPr>
    <w:rPr>
      <w:rFonts w:ascii="Arial" w:hAnsi="Arial" w:cs="Arial"/>
      <w:b/>
      <w:bCs/>
      <w:sz w:val="32"/>
      <w:szCs w:val="32"/>
    </w:rPr>
  </w:style>
  <w:style w:type="table" w:styleId="affff4">
    <w:name w:val="Table Grid"/>
    <w:basedOn w:val="afff8"/>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Strong"/>
    <w:uiPriority w:val="22"/>
    <w:qFormat/>
    <w:rPr>
      <w:b/>
      <w:bCs/>
    </w:rPr>
  </w:style>
  <w:style w:type="character" w:styleId="affff6">
    <w:name w:val="page number"/>
    <w:autoRedefine/>
    <w:qFormat/>
    <w:rPr>
      <w:rFonts w:ascii="宋体" w:eastAsia="宋体" w:hAnsi="Times New Roman"/>
      <w:sz w:val="18"/>
    </w:rPr>
  </w:style>
  <w:style w:type="character" w:styleId="affff7">
    <w:name w:val="Emphasis"/>
    <w:uiPriority w:val="20"/>
    <w:qFormat/>
    <w:rPr>
      <w:i/>
      <w:iCs/>
    </w:rPr>
  </w:style>
  <w:style w:type="character" w:styleId="affff8">
    <w:name w:val="Hyperlink"/>
    <w:uiPriority w:val="99"/>
    <w:qFormat/>
    <w:rPr>
      <w:rFonts w:ascii="宋体" w:eastAsia="宋体" w:hAnsi="Times New Roman"/>
      <w:color w:val="auto"/>
      <w:spacing w:val="0"/>
      <w:w w:val="100"/>
      <w:position w:val="0"/>
      <w:sz w:val="21"/>
      <w:u w:val="none"/>
      <w:vertAlign w:val="baseline"/>
    </w:rPr>
  </w:style>
  <w:style w:type="character" w:styleId="affff9">
    <w:name w:val="footnote reference"/>
    <w:semiHidden/>
    <w:qFormat/>
    <w:rPr>
      <w:rFonts w:ascii="宋体" w:eastAsia="宋体" w:hAnsi="宋体" w:cs="Times New Roman"/>
      <w:spacing w:val="0"/>
      <w:sz w:val="18"/>
      <w:vertAlign w:val="superscript"/>
    </w:rPr>
  </w:style>
  <w:style w:type="character" w:customStyle="1" w:styleId="1Char">
    <w:name w:val="标题 1 Char"/>
    <w:link w:val="1"/>
    <w:autoRedefine/>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autoRedefine/>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autoRedefine/>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f0"/>
    <w:uiPriority w:val="99"/>
    <w:qFormat/>
    <w:rPr>
      <w:kern w:val="2"/>
      <w:sz w:val="18"/>
      <w:szCs w:val="18"/>
    </w:rPr>
  </w:style>
  <w:style w:type="character" w:customStyle="1" w:styleId="Char1">
    <w:name w:val="页脚 Char"/>
    <w:link w:val="affff"/>
    <w:uiPriority w:val="99"/>
    <w:qFormat/>
    <w:rPr>
      <w:rFonts w:ascii="宋体"/>
      <w:kern w:val="2"/>
      <w:sz w:val="18"/>
      <w:szCs w:val="18"/>
    </w:rPr>
  </w:style>
  <w:style w:type="character" w:customStyle="1" w:styleId="Char0">
    <w:name w:val="批注框文本 Char"/>
    <w:link w:val="afffe"/>
    <w:uiPriority w:val="99"/>
    <w:semiHidden/>
    <w:qFormat/>
    <w:rPr>
      <w:kern w:val="2"/>
      <w:sz w:val="18"/>
      <w:szCs w:val="18"/>
    </w:rPr>
  </w:style>
  <w:style w:type="paragraph" w:styleId="affffa">
    <w:name w:val="Quote"/>
    <w:basedOn w:val="afff6"/>
    <w:next w:val="afff6"/>
    <w:link w:val="Char5"/>
    <w:uiPriority w:val="29"/>
    <w:qFormat/>
    <w:rPr>
      <w:i/>
      <w:iCs/>
      <w:color w:val="000000"/>
    </w:rPr>
  </w:style>
  <w:style w:type="character" w:customStyle="1" w:styleId="Char5">
    <w:name w:val="引用 Char"/>
    <w:link w:val="affffa"/>
    <w:uiPriority w:val="29"/>
    <w:qFormat/>
    <w:rPr>
      <w:i/>
      <w:iCs/>
      <w:color w:val="000000"/>
      <w:kern w:val="2"/>
      <w:sz w:val="21"/>
      <w:szCs w:val="21"/>
    </w:rPr>
  </w:style>
  <w:style w:type="character" w:customStyle="1" w:styleId="Char4">
    <w:name w:val="标题 Char"/>
    <w:link w:val="affff3"/>
    <w:qFormat/>
    <w:rPr>
      <w:rFonts w:ascii="Arial" w:hAnsi="Arial" w:cs="Arial"/>
      <w:b/>
      <w:bCs/>
      <w:kern w:val="2"/>
      <w:sz w:val="32"/>
      <w:szCs w:val="32"/>
    </w:rPr>
  </w:style>
  <w:style w:type="paragraph" w:customStyle="1" w:styleId="affffb">
    <w:name w:val="标准标志"/>
    <w:next w:val="afff6"/>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c">
    <w:name w:val="标准称谓"/>
    <w:next w:val="afff6"/>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d">
    <w:name w:val="标准文件_页脚偶数页"/>
    <w:qFormat/>
    <w:pPr>
      <w:ind w:left="198"/>
    </w:pPr>
    <w:rPr>
      <w:rFonts w:ascii="宋体" w:hAnsi="Times New Roman"/>
      <w:sz w:val="18"/>
    </w:rPr>
  </w:style>
  <w:style w:type="paragraph" w:customStyle="1" w:styleId="affffe">
    <w:name w:val="标准文件_页脚奇数页"/>
    <w:qFormat/>
    <w:pPr>
      <w:ind w:right="227"/>
      <w:jc w:val="right"/>
    </w:pPr>
    <w:rPr>
      <w:rFonts w:ascii="宋体" w:hAnsi="Times New Roman"/>
      <w:sz w:val="18"/>
    </w:rPr>
  </w:style>
  <w:style w:type="paragraph" w:customStyle="1" w:styleId="afffff">
    <w:name w:val="标准书眉一"/>
    <w:qFormat/>
    <w:pPr>
      <w:jc w:val="both"/>
    </w:pPr>
    <w:rPr>
      <w:rFonts w:ascii="Times New Roman" w:hAnsi="Times New Roman"/>
    </w:rPr>
  </w:style>
  <w:style w:type="paragraph" w:customStyle="1" w:styleId="ICS">
    <w:name w:val="标准文件_ICS"/>
    <w:basedOn w:val="afff6"/>
    <w:qFormat/>
    <w:pPr>
      <w:spacing w:line="0" w:lineRule="atLeast"/>
    </w:pPr>
    <w:rPr>
      <w:rFonts w:ascii="黑体" w:eastAsia="黑体" w:hAnsi="宋体"/>
    </w:rPr>
  </w:style>
  <w:style w:type="paragraph" w:customStyle="1" w:styleId="afffff0">
    <w:name w:val="标准文件_标准正文"/>
    <w:basedOn w:val="afff6"/>
    <w:next w:val="afffff1"/>
    <w:qFormat/>
    <w:pPr>
      <w:snapToGrid w:val="0"/>
      <w:ind w:firstLineChars="200" w:firstLine="200"/>
    </w:pPr>
    <w:rPr>
      <w:kern w:val="0"/>
    </w:rPr>
  </w:style>
  <w:style w:type="paragraph" w:customStyle="1" w:styleId="afffff1">
    <w:name w:val="标准文件_段"/>
    <w:link w:val="Char6"/>
    <w:qFormat/>
    <w:pPr>
      <w:autoSpaceDE w:val="0"/>
      <w:autoSpaceDN w:val="0"/>
      <w:ind w:firstLineChars="200" w:firstLine="200"/>
      <w:jc w:val="both"/>
    </w:pPr>
    <w:rPr>
      <w:rFonts w:ascii="宋体" w:hAnsi="Times New Roman"/>
      <w:sz w:val="21"/>
    </w:rPr>
  </w:style>
  <w:style w:type="paragraph" w:customStyle="1" w:styleId="afffff2">
    <w:name w:val="标准文件_版本"/>
    <w:basedOn w:val="afffff0"/>
    <w:qFormat/>
    <w:pPr>
      <w:adjustRightInd/>
      <w:snapToGrid/>
      <w:ind w:firstLineChars="0" w:firstLine="0"/>
    </w:pPr>
    <w:rPr>
      <w:rFonts w:ascii="宋体" w:hAnsi="宋体"/>
      <w:kern w:val="2"/>
    </w:rPr>
  </w:style>
  <w:style w:type="paragraph" w:customStyle="1" w:styleId="afffff3">
    <w:name w:val="标准文件_标准部门"/>
    <w:basedOn w:val="afff6"/>
    <w:qFormat/>
    <w:pPr>
      <w:jc w:val="center"/>
    </w:pPr>
    <w:rPr>
      <w:rFonts w:ascii="黑体" w:eastAsia="黑体"/>
      <w:kern w:val="0"/>
      <w:sz w:val="44"/>
    </w:rPr>
  </w:style>
  <w:style w:type="paragraph" w:customStyle="1" w:styleId="afffff4">
    <w:name w:val="标准文件_标准代替"/>
    <w:basedOn w:val="afff6"/>
    <w:next w:val="afff6"/>
    <w:qFormat/>
    <w:pPr>
      <w:spacing w:line="310" w:lineRule="exact"/>
      <w:jc w:val="right"/>
    </w:pPr>
    <w:rPr>
      <w:rFonts w:ascii="宋体" w:hAnsi="宋体"/>
      <w:kern w:val="0"/>
    </w:rPr>
  </w:style>
  <w:style w:type="paragraph" w:customStyle="1" w:styleId="afffff5">
    <w:name w:val="标准文件_标准名称标题"/>
    <w:basedOn w:val="afff6"/>
    <w:next w:val="afff6"/>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6"/>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6"/>
    <w:qFormat/>
    <w:pPr>
      <w:jc w:val="left"/>
    </w:pPr>
  </w:style>
  <w:style w:type="paragraph" w:customStyle="1" w:styleId="afffff8">
    <w:name w:val="标准文件_参考文献标题"/>
    <w:basedOn w:val="afff6"/>
    <w:next w:val="afff6"/>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
    <w:name w:val="标准文件_二级条标题"/>
    <w:next w:val="afffff1"/>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9">
    <w:name w:val="标准文件_发布"/>
    <w:qFormat/>
    <w:rPr>
      <w:rFonts w:ascii="黑体" w:eastAsia="黑体"/>
      <w:spacing w:val="0"/>
      <w:w w:val="100"/>
      <w:position w:val="3"/>
      <w:sz w:val="28"/>
    </w:rPr>
  </w:style>
  <w:style w:type="paragraph" w:customStyle="1" w:styleId="ac">
    <w:name w:val="标准文件_方框数字列项"/>
    <w:basedOn w:val="afffff1"/>
    <w:qFormat/>
    <w:pPr>
      <w:numPr>
        <w:numId w:val="3"/>
      </w:numPr>
      <w:ind w:firstLineChars="0" w:firstLine="0"/>
    </w:pPr>
  </w:style>
  <w:style w:type="paragraph" w:customStyle="1" w:styleId="afffffa">
    <w:name w:val="标准文件_封面标准编号"/>
    <w:basedOn w:val="afff6"/>
    <w:next w:val="afffff4"/>
    <w:qFormat/>
    <w:pPr>
      <w:spacing w:line="310" w:lineRule="exact"/>
      <w:jc w:val="right"/>
    </w:pPr>
    <w:rPr>
      <w:rFonts w:ascii="黑体" w:eastAsia="黑体"/>
      <w:kern w:val="0"/>
      <w:sz w:val="28"/>
    </w:rPr>
  </w:style>
  <w:style w:type="paragraph" w:customStyle="1" w:styleId="afffffb">
    <w:name w:val="标准文件_封面标准分类号"/>
    <w:basedOn w:val="afff6"/>
    <w:qFormat/>
    <w:rPr>
      <w:rFonts w:ascii="黑体" w:eastAsia="黑体"/>
      <w:b/>
      <w:kern w:val="0"/>
      <w:sz w:val="28"/>
    </w:rPr>
  </w:style>
  <w:style w:type="paragraph" w:customStyle="1" w:styleId="afffffc">
    <w:name w:val="标准文件_封面标准名称"/>
    <w:basedOn w:val="afff6"/>
    <w:qFormat/>
    <w:pPr>
      <w:spacing w:line="240" w:lineRule="auto"/>
      <w:jc w:val="center"/>
    </w:pPr>
    <w:rPr>
      <w:rFonts w:ascii="黑体" w:eastAsia="黑体"/>
      <w:kern w:val="0"/>
      <w:sz w:val="52"/>
    </w:rPr>
  </w:style>
  <w:style w:type="paragraph" w:customStyle="1" w:styleId="afffffd">
    <w:name w:val="标准文件_封面标准英文名称"/>
    <w:basedOn w:val="afff6"/>
    <w:qFormat/>
    <w:pPr>
      <w:spacing w:line="240" w:lineRule="auto"/>
      <w:jc w:val="center"/>
    </w:pPr>
    <w:rPr>
      <w:rFonts w:ascii="黑体" w:eastAsia="黑体"/>
      <w:b/>
      <w:sz w:val="28"/>
    </w:rPr>
  </w:style>
  <w:style w:type="paragraph" w:customStyle="1" w:styleId="afffffe">
    <w:name w:val="标准文件_封面发布日期"/>
    <w:basedOn w:val="afff6"/>
    <w:qFormat/>
    <w:pPr>
      <w:spacing w:line="310" w:lineRule="exact"/>
    </w:pPr>
    <w:rPr>
      <w:rFonts w:ascii="黑体" w:eastAsia="黑体"/>
      <w:kern w:val="0"/>
      <w:sz w:val="28"/>
    </w:rPr>
  </w:style>
  <w:style w:type="paragraph" w:customStyle="1" w:styleId="affffff">
    <w:name w:val="标准文件_封面密级"/>
    <w:basedOn w:val="afff6"/>
    <w:qFormat/>
    <w:rPr>
      <w:rFonts w:eastAsia="黑体"/>
      <w:sz w:val="32"/>
    </w:rPr>
  </w:style>
  <w:style w:type="paragraph" w:customStyle="1" w:styleId="affffff0">
    <w:name w:val="标准文件_封面实施日期"/>
    <w:basedOn w:val="afff6"/>
    <w:qFormat/>
    <w:pPr>
      <w:spacing w:line="310" w:lineRule="exact"/>
      <w:jc w:val="right"/>
    </w:pPr>
    <w:rPr>
      <w:rFonts w:ascii="黑体" w:eastAsia="黑体"/>
      <w:sz w:val="28"/>
    </w:rPr>
  </w:style>
  <w:style w:type="paragraph" w:customStyle="1" w:styleId="affffff1">
    <w:name w:val="标准文件_封面抬头"/>
    <w:basedOn w:val="afffff1"/>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1"/>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1"/>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1"/>
    <w:qFormat/>
    <w:pPr>
      <w:widowControl/>
      <w:numPr>
        <w:ilvl w:val="2"/>
      </w:numPr>
      <w:wordWrap w:val="0"/>
      <w:overflowPunct w:val="0"/>
      <w:autoSpaceDE w:val="0"/>
      <w:autoSpaceDN w:val="0"/>
      <w:textAlignment w:val="baseline"/>
      <w:outlineLvl w:val="3"/>
    </w:pPr>
  </w:style>
  <w:style w:type="paragraph" w:customStyle="1" w:styleId="affffff2">
    <w:name w:val="标准文件_附录公式"/>
    <w:basedOn w:val="afffff0"/>
    <w:next w:val="afffff0"/>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1"/>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6">
    <w:name w:val="标准文件_附录图标题"/>
    <w:next w:val="afffff1"/>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1"/>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
    <w:name w:val="标准文件_附录英文标识"/>
    <w:next w:val="afffd"/>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d"/>
    <w:qFormat/>
    <w:rPr>
      <w:kern w:val="2"/>
      <w:sz w:val="21"/>
      <w:szCs w:val="21"/>
    </w:rPr>
  </w:style>
  <w:style w:type="paragraph" w:customStyle="1" w:styleId="affffff3">
    <w:name w:val="标准文件_附录章标题"/>
    <w:next w:val="afffff1"/>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4">
    <w:name w:val="标准文件_公式后的破折号"/>
    <w:basedOn w:val="afffff1"/>
    <w:next w:val="afffff1"/>
    <w:qFormat/>
    <w:pPr>
      <w:ind w:leftChars="200" w:left="488" w:hangingChars="290" w:hanging="289"/>
    </w:pPr>
  </w:style>
  <w:style w:type="paragraph" w:customStyle="1" w:styleId="a5">
    <w:name w:val="标准文件_前言、引言标题"/>
    <w:next w:val="afff6"/>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5">
    <w:name w:val="标准文件_目次、标准名称标题"/>
    <w:basedOn w:val="a5"/>
    <w:next w:val="afffff1"/>
    <w:qFormat/>
    <w:pPr>
      <w:spacing w:line="460" w:lineRule="exact"/>
      <w:ind w:left="0" w:firstLine="0"/>
    </w:pPr>
  </w:style>
  <w:style w:type="paragraph" w:customStyle="1" w:styleId="affffff6">
    <w:name w:val="标准文件_目录标题"/>
    <w:basedOn w:val="afff6"/>
    <w:qFormat/>
    <w:pPr>
      <w:spacing w:before="480" w:afterLines="150" w:after="150" w:line="240" w:lineRule="auto"/>
      <w:jc w:val="center"/>
    </w:pPr>
    <w:rPr>
      <w:rFonts w:ascii="黑体" w:eastAsia="黑体"/>
      <w:sz w:val="32"/>
    </w:rPr>
  </w:style>
  <w:style w:type="paragraph" w:customStyle="1" w:styleId="af0">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0"/>
    <w:qFormat/>
    <w:pPr>
      <w:numPr>
        <w:numId w:val="10"/>
      </w:numPr>
    </w:pPr>
  </w:style>
  <w:style w:type="paragraph" w:customStyle="1" w:styleId="afff0">
    <w:name w:val="标准文件_三级条标题"/>
    <w:basedOn w:val="afff"/>
    <w:next w:val="afffff1"/>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7">
    <w:name w:val="标准文件_示例后续"/>
    <w:basedOn w:val="afff6"/>
    <w:qFormat/>
    <w:pPr>
      <w:adjustRightInd/>
      <w:spacing w:line="240" w:lineRule="auto"/>
      <w:ind w:firstLineChars="200" w:firstLine="200"/>
    </w:pPr>
    <w:rPr>
      <w:sz w:val="18"/>
      <w:szCs w:val="24"/>
    </w:rPr>
  </w:style>
  <w:style w:type="paragraph" w:customStyle="1" w:styleId="affa">
    <w:name w:val="标准文件_数字编号列项"/>
    <w:qFormat/>
    <w:pPr>
      <w:numPr>
        <w:numId w:val="11"/>
      </w:numPr>
      <w:jc w:val="both"/>
    </w:pPr>
    <w:rPr>
      <w:rFonts w:ascii="宋体" w:hAnsi="宋体"/>
      <w:sz w:val="21"/>
    </w:rPr>
  </w:style>
  <w:style w:type="paragraph" w:customStyle="1" w:styleId="afff1">
    <w:name w:val="标准文件_四级条标题"/>
    <w:next w:val="afffff1"/>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f1"/>
    <w:semiHidden/>
    <w:qFormat/>
    <w:rPr>
      <w:rFonts w:ascii="宋体"/>
      <w:kern w:val="2"/>
      <w:sz w:val="18"/>
      <w:szCs w:val="18"/>
    </w:rPr>
  </w:style>
  <w:style w:type="paragraph" w:customStyle="1" w:styleId="affffff8">
    <w:name w:val="标准文件_条文脚注"/>
    <w:basedOn w:val="affff1"/>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6"/>
    <w:next w:val="afffff1"/>
    <w:qFormat/>
    <w:pPr>
      <w:numPr>
        <w:numId w:val="12"/>
      </w:numPr>
      <w:spacing w:line="240" w:lineRule="auto"/>
      <w:jc w:val="left"/>
    </w:pPr>
    <w:rPr>
      <w:rFonts w:ascii="宋体" w:hAnsi="宋体"/>
      <w:sz w:val="18"/>
    </w:rPr>
  </w:style>
  <w:style w:type="character" w:customStyle="1" w:styleId="affffff9">
    <w:name w:val="标准文件_图表脚注内容"/>
    <w:qFormat/>
    <w:rPr>
      <w:rFonts w:ascii="宋体" w:eastAsia="宋体" w:hAnsi="宋体" w:cs="Times New Roman"/>
      <w:spacing w:val="0"/>
      <w:sz w:val="18"/>
      <w:vertAlign w:val="superscript"/>
    </w:rPr>
  </w:style>
  <w:style w:type="paragraph" w:customStyle="1" w:styleId="afff2">
    <w:name w:val="标准文件_五级条标题"/>
    <w:next w:val="afffff1"/>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d">
    <w:name w:val="标准文件_章标题"/>
    <w:next w:val="afffff1"/>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e">
    <w:name w:val="标准文件_一级条标题"/>
    <w:basedOn w:val="affd"/>
    <w:next w:val="afffff1"/>
    <w:qFormat/>
    <w:pPr>
      <w:numPr>
        <w:ilvl w:val="2"/>
      </w:numPr>
      <w:spacing w:beforeLines="50" w:before="50" w:afterLines="50" w:after="50"/>
      <w:outlineLvl w:val="1"/>
    </w:pPr>
  </w:style>
  <w:style w:type="paragraph" w:customStyle="1" w:styleId="affffffa">
    <w:name w:val="标准文件_一致程度"/>
    <w:basedOn w:val="afff6"/>
    <w:qFormat/>
    <w:pPr>
      <w:spacing w:line="440" w:lineRule="exact"/>
      <w:jc w:val="center"/>
    </w:pPr>
    <w:rPr>
      <w:sz w:val="28"/>
    </w:rPr>
  </w:style>
  <w:style w:type="paragraph" w:customStyle="1" w:styleId="affffffb">
    <w:name w:val="标准文件_引言标题"/>
    <w:next w:val="afff6"/>
    <w:qFormat/>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f0"/>
    <w:qFormat/>
    <w:pPr>
      <w:widowControl/>
      <w:adjustRightInd/>
      <w:snapToGrid/>
      <w:spacing w:line="240" w:lineRule="auto"/>
      <w:ind w:left="79" w:hangingChars="80" w:hanging="79"/>
    </w:pPr>
    <w:rPr>
      <w:rFonts w:ascii="宋体" w:hAnsi="宋体"/>
    </w:rPr>
  </w:style>
  <w:style w:type="paragraph" w:customStyle="1" w:styleId="af9">
    <w:name w:val="标准文件_数字编号列项（二级）"/>
    <w:qFormat/>
    <w:pPr>
      <w:numPr>
        <w:ilvl w:val="1"/>
        <w:numId w:val="13"/>
      </w:numPr>
      <w:jc w:val="both"/>
    </w:pPr>
    <w:rPr>
      <w:rFonts w:ascii="宋体" w:hAnsi="Times New Roman"/>
      <w:sz w:val="21"/>
    </w:rPr>
  </w:style>
  <w:style w:type="paragraph" w:customStyle="1" w:styleId="ae">
    <w:name w:val="标准文件_英文注："/>
    <w:basedOn w:val="afff6"/>
    <w:next w:val="afffff1"/>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6"/>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6"/>
    <w:next w:val="afffff0"/>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qFormat/>
    <w:pPr>
      <w:numPr>
        <w:numId w:val="17"/>
      </w:numPr>
      <w:spacing w:beforeLines="50" w:before="50" w:afterLines="50" w:after="50"/>
      <w:jc w:val="center"/>
    </w:pPr>
    <w:rPr>
      <w:rFonts w:ascii="黑体" w:eastAsia="黑体" w:hAnsi="Times New Roman"/>
      <w:sz w:val="21"/>
    </w:rPr>
  </w:style>
  <w:style w:type="paragraph" w:customStyle="1" w:styleId="afff4">
    <w:name w:val="标准文件_正文英文表标题"/>
    <w:next w:val="afffff1"/>
    <w:qFormat/>
    <w:pPr>
      <w:numPr>
        <w:numId w:val="18"/>
      </w:numPr>
      <w:jc w:val="center"/>
    </w:pPr>
    <w:rPr>
      <w:rFonts w:ascii="黑体" w:eastAsia="黑体" w:hAnsi="Times New Roman"/>
      <w:sz w:val="21"/>
    </w:rPr>
  </w:style>
  <w:style w:type="paragraph" w:customStyle="1" w:styleId="afb">
    <w:name w:val="标准文件_正文英文图标题"/>
    <w:next w:val="afffff1"/>
    <w:qFormat/>
    <w:pPr>
      <w:numPr>
        <w:numId w:val="19"/>
      </w:numPr>
      <w:jc w:val="center"/>
    </w:pPr>
    <w:rPr>
      <w:rFonts w:ascii="黑体" w:eastAsia="黑体" w:hAnsi="Times New Roman"/>
      <w:sz w:val="21"/>
    </w:rPr>
  </w:style>
  <w:style w:type="paragraph" w:customStyle="1" w:styleId="afa">
    <w:name w:val="标准文件_编号列项（三级）"/>
    <w:qFormat/>
    <w:pPr>
      <w:numPr>
        <w:ilvl w:val="2"/>
        <w:numId w:val="13"/>
      </w:numPr>
    </w:pPr>
    <w:rPr>
      <w:rFonts w:ascii="宋体" w:hAnsi="Times New Roman"/>
      <w:sz w:val="21"/>
    </w:rPr>
  </w:style>
  <w:style w:type="paragraph" w:customStyle="1" w:styleId="a1">
    <w:name w:val="二级无标题条"/>
    <w:basedOn w:val="afff6"/>
    <w:qFormat/>
    <w:pPr>
      <w:numPr>
        <w:ilvl w:val="3"/>
        <w:numId w:val="20"/>
      </w:numPr>
      <w:adjustRightInd/>
      <w:spacing w:line="240" w:lineRule="auto"/>
    </w:pPr>
    <w:rPr>
      <w:rFonts w:ascii="宋体" w:hAnsi="宋体"/>
      <w:szCs w:val="24"/>
    </w:rPr>
  </w:style>
  <w:style w:type="paragraph" w:customStyle="1" w:styleId="affffffe">
    <w:name w:val="发布部门"/>
    <w:next w:val="afffff1"/>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0">
    <w:name w:val="封面标准代替信息"/>
    <w:basedOn w:val="afff6"/>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2">
    <w:name w:val="封面标准文稿编辑信息"/>
    <w:qFormat/>
    <w:pPr>
      <w:spacing w:before="180" w:line="180" w:lineRule="exact"/>
      <w:jc w:val="center"/>
    </w:pPr>
    <w:rPr>
      <w:rFonts w:ascii="宋体" w:hAnsi="Times New Roman"/>
      <w:sz w:val="21"/>
    </w:rPr>
  </w:style>
  <w:style w:type="paragraph" w:customStyle="1" w:styleId="afffffff3">
    <w:name w:val="封面标准文稿类别"/>
    <w:qFormat/>
    <w:pPr>
      <w:spacing w:before="440" w:line="400" w:lineRule="exact"/>
      <w:jc w:val="center"/>
    </w:pPr>
    <w:rPr>
      <w:rFonts w:ascii="宋体" w:hAnsi="Times New Roman"/>
      <w:sz w:val="24"/>
    </w:rPr>
  </w:style>
  <w:style w:type="paragraph" w:customStyle="1" w:styleId="afffffff4">
    <w:name w:val="封面标准英文名称"/>
    <w:qFormat/>
    <w:pPr>
      <w:widowControl w:val="0"/>
      <w:spacing w:line="360" w:lineRule="exact"/>
      <w:jc w:val="center"/>
    </w:pPr>
    <w:rPr>
      <w:rFonts w:ascii="Times New Roman" w:hAnsi="Times New Roman"/>
      <w:sz w:val="28"/>
    </w:rPr>
  </w:style>
  <w:style w:type="paragraph" w:customStyle="1" w:styleId="afffffff5">
    <w:name w:val="封面一致性程度标识"/>
    <w:qFormat/>
    <w:pPr>
      <w:spacing w:before="440" w:line="440" w:lineRule="exact"/>
      <w:jc w:val="center"/>
    </w:pPr>
    <w:rPr>
      <w:rFonts w:ascii="Times New Roman" w:hAnsi="Times New Roman"/>
      <w:sz w:val="28"/>
    </w:rPr>
  </w:style>
  <w:style w:type="paragraph" w:customStyle="1" w:styleId="afffffff6">
    <w:name w:val="封面正文"/>
    <w:qFormat/>
    <w:pPr>
      <w:jc w:val="both"/>
    </w:pPr>
    <w:rPr>
      <w:rFonts w:ascii="Times New Roman" w:hAnsi="Times New Roman"/>
    </w:rPr>
  </w:style>
  <w:style w:type="paragraph" w:customStyle="1" w:styleId="afffffff7">
    <w:name w:val="附录二级无标题条"/>
    <w:basedOn w:val="afff6"/>
    <w:next w:val="afffff1"/>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qFormat/>
    <w:pPr>
      <w:outlineLvl w:val="4"/>
    </w:pPr>
  </w:style>
  <w:style w:type="paragraph" w:customStyle="1" w:styleId="afffffff9">
    <w:name w:val="附录四级无标题条"/>
    <w:basedOn w:val="afffffff8"/>
    <w:next w:val="afffff1"/>
    <w:qFormat/>
    <w:pPr>
      <w:outlineLvl w:val="5"/>
    </w:pPr>
  </w:style>
  <w:style w:type="paragraph" w:customStyle="1" w:styleId="afffffffa">
    <w:name w:val="附录图"/>
    <w:next w:val="afffff1"/>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b">
    <w:name w:val="附录五级无标题条"/>
    <w:basedOn w:val="afffffff9"/>
    <w:next w:val="afffff1"/>
    <w:qFormat/>
    <w:pPr>
      <w:outlineLvl w:val="6"/>
    </w:pPr>
  </w:style>
  <w:style w:type="paragraph" w:customStyle="1" w:styleId="afffffffc">
    <w:name w:val="附录性质"/>
    <w:basedOn w:val="afff6"/>
    <w:qFormat/>
    <w:pPr>
      <w:widowControl/>
      <w:adjustRightInd/>
      <w:jc w:val="center"/>
    </w:pPr>
    <w:rPr>
      <w:rFonts w:ascii="黑体" w:eastAsia="黑体"/>
    </w:rPr>
  </w:style>
  <w:style w:type="paragraph" w:customStyle="1" w:styleId="afffffffd">
    <w:name w:val="附录一级无标题条"/>
    <w:basedOn w:val="affffff3"/>
    <w:next w:val="afffff1"/>
    <w:qFormat/>
    <w:pPr>
      <w:autoSpaceDN w:val="0"/>
      <w:outlineLvl w:val="2"/>
    </w:pPr>
    <w:rPr>
      <w:rFonts w:ascii="宋体" w:eastAsia="宋体" w:hAnsi="宋体"/>
    </w:rPr>
  </w:style>
  <w:style w:type="character" w:customStyle="1" w:styleId="afffffffe">
    <w:name w:val="个人答复风格"/>
    <w:qFormat/>
    <w:rPr>
      <w:rFonts w:ascii="Arial" w:eastAsia="宋体" w:hAnsi="Arial" w:cs="Arial"/>
      <w:color w:val="auto"/>
      <w:spacing w:val="0"/>
      <w:sz w:val="20"/>
    </w:rPr>
  </w:style>
  <w:style w:type="character" w:customStyle="1" w:styleId="affffffff">
    <w:name w:val="个人撰写风格"/>
    <w:qFormat/>
    <w:rPr>
      <w:rFonts w:ascii="Arial" w:eastAsia="宋体" w:hAnsi="Arial" w:cs="Arial"/>
      <w:color w:val="auto"/>
      <w:spacing w:val="0"/>
      <w:sz w:val="20"/>
    </w:rPr>
  </w:style>
  <w:style w:type="paragraph" w:customStyle="1" w:styleId="affffffff0">
    <w:name w:val="脚注后续"/>
    <w:qFormat/>
    <w:pPr>
      <w:ind w:leftChars="350" w:left="350"/>
      <w:jc w:val="both"/>
    </w:pPr>
    <w:rPr>
      <w:rFonts w:ascii="宋体" w:hAnsi="Times New Roman"/>
      <w:sz w:val="18"/>
    </w:rPr>
  </w:style>
  <w:style w:type="paragraph" w:customStyle="1" w:styleId="afff5">
    <w:name w:val="列项——"/>
    <w:qFormat/>
    <w:pPr>
      <w:widowControl w:val="0"/>
      <w:numPr>
        <w:numId w:val="22"/>
      </w:numPr>
      <w:jc w:val="both"/>
    </w:pPr>
    <w:rPr>
      <w:rFonts w:ascii="宋体" w:hAnsi="宋体"/>
      <w:sz w:val="21"/>
    </w:rPr>
  </w:style>
  <w:style w:type="paragraph" w:customStyle="1" w:styleId="affffffff1">
    <w:name w:val="列项·"/>
    <w:basedOn w:val="afffff1"/>
    <w:qFormat/>
    <w:pPr>
      <w:tabs>
        <w:tab w:val="left" w:pos="840"/>
      </w:tabs>
    </w:pPr>
  </w:style>
  <w:style w:type="paragraph" w:customStyle="1" w:styleId="affffffff2">
    <w:name w:val="目次、索引正文"/>
    <w:qFormat/>
    <w:pPr>
      <w:spacing w:line="320" w:lineRule="exact"/>
      <w:jc w:val="both"/>
    </w:pPr>
    <w:rPr>
      <w:rFonts w:ascii="宋体" w:hAnsi="Times New Roman"/>
      <w:sz w:val="21"/>
    </w:rPr>
  </w:style>
  <w:style w:type="paragraph" w:customStyle="1" w:styleId="210">
    <w:name w:val="目录 21"/>
    <w:basedOn w:val="afff6"/>
    <w:next w:val="afff6"/>
    <w:autoRedefine/>
    <w:semiHidden/>
    <w:qFormat/>
    <w:pPr>
      <w:adjustRightInd/>
      <w:spacing w:line="240" w:lineRule="auto"/>
      <w:jc w:val="left"/>
    </w:pPr>
    <w:rPr>
      <w:bCs/>
      <w:iCs/>
    </w:rPr>
  </w:style>
  <w:style w:type="paragraph" w:customStyle="1" w:styleId="31">
    <w:name w:val="目录 31"/>
    <w:basedOn w:val="afff6"/>
    <w:next w:val="afff6"/>
    <w:autoRedefine/>
    <w:semiHidden/>
    <w:qFormat/>
    <w:pPr>
      <w:spacing w:line="240" w:lineRule="auto"/>
    </w:pPr>
    <w:rPr>
      <w:rFonts w:ascii="宋体" w:hAnsi="宋体"/>
      <w:iCs/>
    </w:rPr>
  </w:style>
  <w:style w:type="paragraph" w:customStyle="1" w:styleId="41">
    <w:name w:val="目录 41"/>
    <w:basedOn w:val="afff6"/>
    <w:next w:val="afff6"/>
    <w:autoRedefine/>
    <w:semiHidden/>
    <w:qFormat/>
    <w:pPr>
      <w:adjustRightInd/>
      <w:spacing w:line="240" w:lineRule="auto"/>
      <w:jc w:val="left"/>
    </w:pPr>
  </w:style>
  <w:style w:type="paragraph" w:customStyle="1" w:styleId="51">
    <w:name w:val="目录 51"/>
    <w:basedOn w:val="afff6"/>
    <w:next w:val="afff6"/>
    <w:autoRedefine/>
    <w:semiHidden/>
    <w:qFormat/>
    <w:pPr>
      <w:spacing w:line="240" w:lineRule="auto"/>
    </w:pPr>
    <w:rPr>
      <w:rFonts w:ascii="宋体" w:hAnsi="宋体"/>
    </w:rPr>
  </w:style>
  <w:style w:type="paragraph" w:customStyle="1" w:styleId="61">
    <w:name w:val="目录 61"/>
    <w:basedOn w:val="afff6"/>
    <w:next w:val="afff6"/>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3">
    <w:name w:val="其他标准称谓"/>
    <w:qFormat/>
    <w:pPr>
      <w:spacing w:line="0" w:lineRule="atLeast"/>
      <w:jc w:val="distribute"/>
    </w:pPr>
    <w:rPr>
      <w:rFonts w:ascii="黑体" w:eastAsia="黑体" w:hAnsi="宋体"/>
      <w:sz w:val="52"/>
    </w:rPr>
  </w:style>
  <w:style w:type="paragraph" w:customStyle="1" w:styleId="affffffff4">
    <w:name w:val="其他发布部门"/>
    <w:basedOn w:val="affffffe"/>
    <w:qFormat/>
    <w:pPr>
      <w:framePr w:wrap="around"/>
      <w:spacing w:line="0" w:lineRule="atLeast"/>
    </w:pPr>
    <w:rPr>
      <w:rFonts w:ascii="黑体" w:eastAsia="黑体"/>
      <w:b w:val="0"/>
    </w:rPr>
  </w:style>
  <w:style w:type="paragraph" w:customStyle="1" w:styleId="affc">
    <w:name w:val="前言标题"/>
    <w:next w:val="afff6"/>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6"/>
    <w:qFormat/>
    <w:pPr>
      <w:numPr>
        <w:ilvl w:val="4"/>
        <w:numId w:val="20"/>
      </w:numPr>
      <w:adjustRightInd/>
      <w:spacing w:line="240" w:lineRule="auto"/>
    </w:pPr>
    <w:rPr>
      <w:rFonts w:ascii="宋体" w:hAnsi="宋体"/>
      <w:szCs w:val="24"/>
    </w:rPr>
  </w:style>
  <w:style w:type="paragraph" w:customStyle="1" w:styleId="affffffff5">
    <w:name w:val="实施日期"/>
    <w:basedOn w:val="afffffff"/>
    <w:qFormat/>
    <w:pPr>
      <w:framePr w:hSpace="0" w:wrap="around" w:xAlign="right"/>
      <w:jc w:val="right"/>
    </w:pPr>
  </w:style>
  <w:style w:type="paragraph" w:customStyle="1" w:styleId="a3">
    <w:name w:val="四级无标题条"/>
    <w:basedOn w:val="afff6"/>
    <w:qFormat/>
    <w:pPr>
      <w:numPr>
        <w:ilvl w:val="5"/>
        <w:numId w:val="20"/>
      </w:numPr>
      <w:adjustRightInd/>
      <w:spacing w:line="240" w:lineRule="auto"/>
    </w:pPr>
    <w:rPr>
      <w:rFonts w:ascii="宋体" w:hAnsi="宋体"/>
      <w:szCs w:val="24"/>
    </w:rPr>
  </w:style>
  <w:style w:type="paragraph" w:customStyle="1" w:styleId="affffffff6">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7">
    <w:name w:val="无标题条"/>
    <w:next w:val="afffff1"/>
    <w:autoRedefine/>
    <w:qFormat/>
    <w:pPr>
      <w:jc w:val="both"/>
    </w:pPr>
    <w:rPr>
      <w:rFonts w:ascii="宋体" w:hAnsi="宋体"/>
      <w:sz w:val="21"/>
    </w:rPr>
  </w:style>
  <w:style w:type="paragraph" w:customStyle="1" w:styleId="a4">
    <w:name w:val="五级无标题条"/>
    <w:basedOn w:val="afff6"/>
    <w:autoRedefine/>
    <w:qFormat/>
    <w:pPr>
      <w:numPr>
        <w:ilvl w:val="6"/>
        <w:numId w:val="20"/>
      </w:numPr>
      <w:adjustRightInd/>
    </w:pPr>
    <w:rPr>
      <w:szCs w:val="24"/>
    </w:rPr>
  </w:style>
  <w:style w:type="paragraph" w:customStyle="1" w:styleId="a0">
    <w:name w:val="一级无标题条"/>
    <w:basedOn w:val="afff6"/>
    <w:qFormat/>
    <w:pPr>
      <w:numPr>
        <w:ilvl w:val="2"/>
        <w:numId w:val="20"/>
      </w:numPr>
      <w:adjustRightInd/>
      <w:spacing w:before="10" w:after="10" w:line="240" w:lineRule="auto"/>
    </w:pPr>
    <w:rPr>
      <w:rFonts w:ascii="宋体" w:hAnsi="宋体"/>
      <w:szCs w:val="24"/>
    </w:rPr>
  </w:style>
  <w:style w:type="paragraph" w:customStyle="1" w:styleId="affffffff8">
    <w:name w:val="注:后续"/>
    <w:qFormat/>
    <w:pPr>
      <w:spacing w:line="300" w:lineRule="exact"/>
      <w:ind w:leftChars="400" w:left="600" w:hangingChars="200" w:hanging="200"/>
      <w:jc w:val="both"/>
    </w:pPr>
    <w:rPr>
      <w:rFonts w:ascii="宋体" w:hAnsi="Times New Roman"/>
      <w:sz w:val="18"/>
    </w:rPr>
  </w:style>
  <w:style w:type="paragraph" w:customStyle="1" w:styleId="affffffff9">
    <w:name w:val="注×:后续"/>
    <w:basedOn w:val="affffffff8"/>
    <w:qFormat/>
    <w:pPr>
      <w:ind w:leftChars="0" w:left="1406" w:firstLineChars="0" w:hanging="499"/>
    </w:pPr>
  </w:style>
  <w:style w:type="paragraph" w:customStyle="1" w:styleId="affffffffa">
    <w:name w:val="标准文件_一级无标题"/>
    <w:basedOn w:val="affe"/>
    <w:qFormat/>
    <w:pPr>
      <w:spacing w:beforeLines="0" w:before="0" w:afterLines="0" w:after="0"/>
      <w:outlineLvl w:val="9"/>
    </w:pPr>
    <w:rPr>
      <w:rFonts w:ascii="宋体" w:eastAsia="宋体"/>
    </w:rPr>
  </w:style>
  <w:style w:type="paragraph" w:customStyle="1" w:styleId="affffffffb">
    <w:name w:val="标准文件_五级无标题"/>
    <w:basedOn w:val="afff2"/>
    <w:qFormat/>
    <w:pPr>
      <w:spacing w:beforeLines="0" w:before="0" w:afterLines="0" w:after="0"/>
      <w:outlineLvl w:val="9"/>
    </w:pPr>
    <w:rPr>
      <w:rFonts w:ascii="宋体" w:eastAsia="宋体"/>
    </w:rPr>
  </w:style>
  <w:style w:type="paragraph" w:customStyle="1" w:styleId="affffffffc">
    <w:name w:val="标准文件_三级无标题"/>
    <w:basedOn w:val="afff0"/>
    <w:qFormat/>
    <w:pPr>
      <w:spacing w:beforeLines="0" w:before="0" w:afterLines="0" w:after="0"/>
      <w:outlineLvl w:val="9"/>
    </w:pPr>
    <w:rPr>
      <w:rFonts w:ascii="宋体" w:eastAsia="宋体"/>
    </w:rPr>
  </w:style>
  <w:style w:type="paragraph" w:customStyle="1" w:styleId="affffffffd">
    <w:name w:val="标准文件_二级无标题"/>
    <w:basedOn w:val="afff"/>
    <w:qFormat/>
    <w:pPr>
      <w:spacing w:beforeLines="0" w:before="0" w:afterLines="0" w:after="0"/>
      <w:outlineLvl w:val="9"/>
    </w:pPr>
    <w:rPr>
      <w:rFonts w:ascii="宋体" w:eastAsia="宋体"/>
    </w:rPr>
  </w:style>
  <w:style w:type="paragraph" w:customStyle="1" w:styleId="affffffffe">
    <w:name w:val="标准_四级无标题"/>
    <w:basedOn w:val="afff1"/>
    <w:next w:val="afffff1"/>
    <w:qFormat/>
    <w:rPr>
      <w:rFonts w:eastAsia="宋体"/>
    </w:rPr>
  </w:style>
  <w:style w:type="paragraph" w:customStyle="1" w:styleId="afffffffff">
    <w:name w:val="标准文件_四级无标题"/>
    <w:basedOn w:val="afff1"/>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qFormat/>
    <w:pPr>
      <w:numPr>
        <w:numId w:val="23"/>
      </w:numPr>
      <w:ind w:firstLineChars="0" w:firstLine="0"/>
    </w:pPr>
    <w:rPr>
      <w:rFonts w:ascii="Times New Roman" w:cs="Arial"/>
      <w:szCs w:val="28"/>
    </w:rPr>
  </w:style>
  <w:style w:type="paragraph" w:customStyle="1" w:styleId="ad">
    <w:name w:val="标准文件_小写罗马数字编号列项"/>
    <w:basedOn w:val="afffff1"/>
    <w:qFormat/>
    <w:pPr>
      <w:numPr>
        <w:numId w:val="24"/>
      </w:numPr>
      <w:ind w:firstLineChars="0" w:firstLine="0"/>
    </w:pPr>
    <w:rPr>
      <w:rFonts w:cs="Arial"/>
      <w:szCs w:val="28"/>
    </w:rPr>
  </w:style>
  <w:style w:type="paragraph" w:customStyle="1" w:styleId="afffffffff0">
    <w:name w:val="标准文件_附录标题"/>
    <w:basedOn w:val="aff3"/>
    <w:qFormat/>
    <w:pPr>
      <w:numPr>
        <w:numId w:val="0"/>
      </w:numPr>
      <w:spacing w:after="280"/>
      <w:outlineLvl w:val="9"/>
    </w:pPr>
  </w:style>
  <w:style w:type="paragraph" w:customStyle="1" w:styleId="afffffffff1">
    <w:name w:val="标准文件_二级项"/>
    <w:qFormat/>
    <w:rPr>
      <w:rFonts w:ascii="宋体" w:hAnsi="Times New Roman"/>
      <w:sz w:val="21"/>
    </w:rPr>
  </w:style>
  <w:style w:type="paragraph" w:customStyle="1" w:styleId="af3">
    <w:name w:val="标准文件_三级项"/>
    <w:basedOn w:val="afff6"/>
    <w:qFormat/>
    <w:pPr>
      <w:numPr>
        <w:ilvl w:val="2"/>
        <w:numId w:val="21"/>
      </w:numPr>
      <w:spacing w:line="-300" w:lineRule="auto"/>
    </w:pPr>
    <w:rPr>
      <w:rFonts w:ascii="Times New Roman" w:hAnsi="Times New Roman"/>
    </w:rPr>
  </w:style>
  <w:style w:type="paragraph" w:customStyle="1" w:styleId="affb">
    <w:name w:val="图表脚注说明"/>
    <w:basedOn w:val="afff6"/>
    <w:next w:val="afffff1"/>
    <w:qFormat/>
    <w:pPr>
      <w:numPr>
        <w:numId w:val="25"/>
      </w:numPr>
      <w:adjustRightInd/>
      <w:spacing w:line="240" w:lineRule="auto"/>
    </w:pPr>
    <w:rPr>
      <w:rFonts w:ascii="宋体" w:hAnsi="Times New Roman"/>
      <w:sz w:val="18"/>
      <w:szCs w:val="18"/>
    </w:rPr>
  </w:style>
  <w:style w:type="paragraph" w:customStyle="1" w:styleId="af8">
    <w:name w:val="标准文件_字母编号列项（一级）"/>
    <w:qFormat/>
    <w:pPr>
      <w:numPr>
        <w:numId w:val="13"/>
      </w:numPr>
      <w:jc w:val="both"/>
    </w:pPr>
    <w:rPr>
      <w:rFonts w:ascii="宋体" w:hAnsi="Times New Roman"/>
      <w:sz w:val="21"/>
    </w:rPr>
  </w:style>
  <w:style w:type="paragraph" w:customStyle="1" w:styleId="afffffffff2">
    <w:name w:val="标准文件_索引字母"/>
    <w:next w:val="afffff1"/>
    <w:qFormat/>
    <w:pPr>
      <w:jc w:val="center"/>
    </w:pPr>
    <w:rPr>
      <w:rFonts w:ascii="宋体" w:eastAsia="Times New Roman" w:hAnsi="宋体"/>
      <w:b/>
      <w:kern w:val="2"/>
      <w:sz w:val="21"/>
    </w:rPr>
  </w:style>
  <w:style w:type="paragraph" w:customStyle="1" w:styleId="afffffffff3">
    <w:name w:val="标准文件_附录前"/>
    <w:next w:val="afffff1"/>
    <w:qFormat/>
    <w:pPr>
      <w:spacing w:line="20" w:lineRule="atLeast"/>
      <w:ind w:firstLine="200"/>
    </w:pPr>
    <w:rPr>
      <w:rFonts w:ascii="宋体" w:hAnsi="宋体"/>
      <w:kern w:val="2"/>
      <w:sz w:val="10"/>
    </w:rPr>
  </w:style>
  <w:style w:type="paragraph" w:customStyle="1" w:styleId="afffffffff4">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5">
    <w:name w:val="标准文件_表格"/>
    <w:basedOn w:val="afffff1"/>
    <w:qFormat/>
    <w:pPr>
      <w:ind w:firstLineChars="0" w:firstLine="0"/>
      <w:jc w:val="center"/>
    </w:pPr>
    <w:rPr>
      <w:sz w:val="18"/>
    </w:rPr>
  </w:style>
  <w:style w:type="paragraph" w:customStyle="1" w:styleId="afff3">
    <w:name w:val="标准文件_注："/>
    <w:next w:val="afffff1"/>
    <w:qFormat/>
    <w:pPr>
      <w:widowControl w:val="0"/>
      <w:numPr>
        <w:numId w:val="26"/>
      </w:numPr>
      <w:autoSpaceDE w:val="0"/>
      <w:autoSpaceDN w:val="0"/>
      <w:jc w:val="both"/>
    </w:pPr>
    <w:rPr>
      <w:rFonts w:ascii="宋体" w:hAnsi="Times New Roman"/>
      <w:sz w:val="18"/>
      <w:szCs w:val="18"/>
    </w:rPr>
  </w:style>
  <w:style w:type="paragraph" w:customStyle="1" w:styleId="af1">
    <w:name w:val="标准文件_注×："/>
    <w:qFormat/>
    <w:pPr>
      <w:widowControl w:val="0"/>
      <w:numPr>
        <w:numId w:val="27"/>
      </w:numPr>
      <w:autoSpaceDE w:val="0"/>
      <w:autoSpaceDN w:val="0"/>
      <w:jc w:val="both"/>
    </w:pPr>
    <w:rPr>
      <w:rFonts w:ascii="宋体" w:hAnsi="Times New Roman"/>
      <w:sz w:val="18"/>
      <w:szCs w:val="18"/>
    </w:rPr>
  </w:style>
  <w:style w:type="paragraph" w:customStyle="1" w:styleId="ab">
    <w:name w:val="标准文件_示例："/>
    <w:next w:val="afffffffff6"/>
    <w:qFormat/>
    <w:pPr>
      <w:widowControl w:val="0"/>
      <w:numPr>
        <w:numId w:val="28"/>
      </w:numPr>
      <w:jc w:val="both"/>
    </w:pPr>
    <w:rPr>
      <w:rFonts w:ascii="宋体" w:hAnsi="Times New Roman"/>
      <w:sz w:val="18"/>
      <w:szCs w:val="18"/>
    </w:rPr>
  </w:style>
  <w:style w:type="paragraph" w:customStyle="1" w:styleId="afffffffff6">
    <w:name w:val="标准文件_示例内容"/>
    <w:basedOn w:val="afffff1"/>
    <w:qFormat/>
    <w:pPr>
      <w:ind w:firstLine="420"/>
    </w:pPr>
    <w:rPr>
      <w:sz w:val="18"/>
    </w:rPr>
  </w:style>
  <w:style w:type="paragraph" w:customStyle="1" w:styleId="af7">
    <w:name w:val="标准文件_示例×："/>
    <w:basedOn w:val="afff6"/>
    <w:next w:val="afffffffff6"/>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f1"/>
    <w:qFormat/>
    <w:rPr>
      <w:rFonts w:ascii="宋体" w:hAnsi="Times New Roman"/>
      <w:sz w:val="21"/>
    </w:rPr>
  </w:style>
  <w:style w:type="paragraph" w:customStyle="1" w:styleId="afffffffff7">
    <w:name w:val="标准文件_表格续"/>
    <w:basedOn w:val="afffff1"/>
    <w:next w:val="afffff1"/>
    <w:qFormat/>
    <w:pPr>
      <w:jc w:val="center"/>
    </w:pPr>
    <w:rPr>
      <w:rFonts w:ascii="黑体" w:eastAsia="黑体" w:hAnsi="黑体"/>
    </w:rPr>
  </w:style>
  <w:style w:type="character" w:styleId="afffffffff8">
    <w:name w:val="Placeholder Text"/>
    <w:basedOn w:val="afff7"/>
    <w:uiPriority w:val="99"/>
    <w:semiHidden/>
    <w:qFormat/>
    <w:rPr>
      <w:color w:val="808080"/>
    </w:rPr>
  </w:style>
  <w:style w:type="paragraph" w:customStyle="1" w:styleId="2">
    <w:name w:val="标准文件_二级项2"/>
    <w:basedOn w:val="afffff1"/>
    <w:qFormat/>
    <w:pPr>
      <w:numPr>
        <w:ilvl w:val="1"/>
        <w:numId w:val="21"/>
      </w:numPr>
      <w:ind w:firstLineChars="0" w:firstLine="0"/>
    </w:pPr>
  </w:style>
  <w:style w:type="paragraph" w:customStyle="1" w:styleId="21">
    <w:name w:val="标准文件_三级项2"/>
    <w:basedOn w:val="afffff1"/>
    <w:qFormat/>
    <w:pPr>
      <w:numPr>
        <w:numId w:val="30"/>
      </w:numPr>
      <w:spacing w:line="300" w:lineRule="exact"/>
      <w:ind w:firstLineChars="0"/>
    </w:pPr>
    <w:rPr>
      <w:rFonts w:ascii="Times New Roman"/>
    </w:rPr>
  </w:style>
  <w:style w:type="paragraph" w:customStyle="1" w:styleId="20">
    <w:name w:val="标准文件_一级项2"/>
    <w:basedOn w:val="afffff1"/>
    <w:qFormat/>
    <w:pPr>
      <w:numPr>
        <w:numId w:val="31"/>
      </w:numPr>
      <w:spacing w:line="300" w:lineRule="exact"/>
      <w:ind w:firstLineChars="0"/>
    </w:pPr>
    <w:rPr>
      <w:rFonts w:ascii="Times New Roman"/>
    </w:rPr>
  </w:style>
  <w:style w:type="paragraph" w:customStyle="1" w:styleId="afffffffff9">
    <w:name w:val="标准文件_提示"/>
    <w:basedOn w:val="afffff1"/>
    <w:next w:val="afffff1"/>
    <w:qFormat/>
    <w:pPr>
      <w:ind w:firstLine="420"/>
    </w:pPr>
    <w:rPr>
      <w:rFonts w:ascii="黑体" w:eastAsia="黑体"/>
    </w:rPr>
  </w:style>
  <w:style w:type="character" w:customStyle="1" w:styleId="afffffffffa">
    <w:name w:val="标准文件_来源"/>
    <w:basedOn w:val="afff7"/>
    <w:uiPriority w:val="1"/>
    <w:qFormat/>
    <w:rPr>
      <w:rFonts w:eastAsia="宋体"/>
      <w:sz w:val="21"/>
    </w:rPr>
  </w:style>
  <w:style w:type="paragraph" w:customStyle="1" w:styleId="afffffffffb">
    <w:name w:val="标准文件_图表说明"/>
    <w:qFormat/>
    <w:pPr>
      <w:spacing w:line="276" w:lineRule="auto"/>
      <w:ind w:firstLine="420"/>
    </w:pPr>
    <w:rPr>
      <w:rFonts w:ascii="宋体" w:hAnsi="宋体"/>
      <w:kern w:val="2"/>
      <w:sz w:val="18"/>
    </w:rPr>
  </w:style>
  <w:style w:type="paragraph" w:customStyle="1" w:styleId="afffffffffc">
    <w:name w:val="其他发布日期"/>
    <w:basedOn w:val="afffffff"/>
    <w:qFormat/>
    <w:pPr>
      <w:framePr w:w="3997" w:h="471" w:hRule="exact" w:hSpace="0" w:vSpace="181" w:wrap="around" w:vAnchor="page" w:hAnchor="page" w:x="1419" w:y="14097"/>
    </w:pPr>
  </w:style>
  <w:style w:type="paragraph" w:customStyle="1" w:styleId="afffffffffd">
    <w:name w:val="其他实施日期"/>
    <w:basedOn w:val="affffffff5"/>
    <w:qFormat/>
    <w:pPr>
      <w:framePr w:w="3997" w:h="471" w:hRule="exact" w:vSpace="181" w:wrap="around" w:vAnchor="page" w:hAnchor="page" w:x="7089" w:y="14097"/>
    </w:pPr>
  </w:style>
  <w:style w:type="paragraph" w:customStyle="1" w:styleId="afffffffffe">
    <w:name w:val="标准文件_文件编号"/>
    <w:basedOn w:val="afffff1"/>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qFormat/>
    <w:pPr>
      <w:framePr w:wrap="auto"/>
      <w:spacing w:before="57"/>
    </w:pPr>
    <w:rPr>
      <w:sz w:val="21"/>
    </w:rPr>
  </w:style>
  <w:style w:type="paragraph" w:customStyle="1" w:styleId="affffffffff0">
    <w:name w:val="标准文件_文件名称"/>
    <w:basedOn w:val="afffff1"/>
    <w:next w:val="afffff1"/>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5">
    <w:name w:val="标准文件_附录图标号"/>
    <w:basedOn w:val="afffff1"/>
    <w:next w:val="afffff1"/>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qFormat/>
    <w:pPr>
      <w:numPr>
        <w:numId w:val="5"/>
      </w:numPr>
      <w:spacing w:line="14" w:lineRule="exact"/>
      <w:ind w:firstLineChars="0" w:firstLine="0"/>
      <w:jc w:val="center"/>
    </w:pPr>
    <w:rPr>
      <w:rFonts w:eastAsia="黑体"/>
      <w:vanish/>
      <w:sz w:val="2"/>
    </w:rPr>
  </w:style>
  <w:style w:type="paragraph" w:customStyle="1" w:styleId="a6">
    <w:name w:val="标准文件_引言一级条标题"/>
    <w:basedOn w:val="afffff1"/>
    <w:next w:val="afffff1"/>
    <w:qFormat/>
    <w:pPr>
      <w:numPr>
        <w:ilvl w:val="1"/>
        <w:numId w:val="8"/>
      </w:numPr>
      <w:spacing w:beforeLines="50" w:before="50" w:afterLines="50" w:after="50"/>
      <w:ind w:firstLineChars="0"/>
    </w:pPr>
    <w:rPr>
      <w:rFonts w:ascii="黑体" w:eastAsia="黑体"/>
    </w:rPr>
  </w:style>
  <w:style w:type="paragraph" w:customStyle="1" w:styleId="a7">
    <w:name w:val="标准文件_引言二级条标题"/>
    <w:basedOn w:val="afffff1"/>
    <w:next w:val="afffff1"/>
    <w:qFormat/>
    <w:pPr>
      <w:numPr>
        <w:ilvl w:val="2"/>
        <w:numId w:val="8"/>
      </w:numPr>
      <w:spacing w:beforeLines="50" w:before="50" w:afterLines="50" w:after="50"/>
      <w:ind w:firstLineChars="0"/>
    </w:pPr>
    <w:rPr>
      <w:rFonts w:ascii="黑体" w:eastAsia="黑体"/>
    </w:rPr>
  </w:style>
  <w:style w:type="paragraph" w:customStyle="1" w:styleId="a8">
    <w:name w:val="标准文件_引言三级条标题"/>
    <w:basedOn w:val="afffff1"/>
    <w:next w:val="afffff1"/>
    <w:qFormat/>
    <w:pPr>
      <w:numPr>
        <w:ilvl w:val="3"/>
        <w:numId w:val="8"/>
      </w:numPr>
      <w:spacing w:beforeLines="50" w:before="50" w:afterLines="50" w:after="50"/>
      <w:ind w:firstLineChars="0"/>
    </w:pPr>
    <w:rPr>
      <w:rFonts w:ascii="黑体" w:eastAsia="黑体"/>
    </w:rPr>
  </w:style>
  <w:style w:type="paragraph" w:customStyle="1" w:styleId="a9">
    <w:name w:val="标准文件_引言四级条标题"/>
    <w:basedOn w:val="afffff1"/>
    <w:next w:val="afffff1"/>
    <w:qFormat/>
    <w:pPr>
      <w:numPr>
        <w:ilvl w:val="4"/>
        <w:numId w:val="8"/>
      </w:numPr>
      <w:spacing w:beforeLines="50" w:before="50" w:afterLines="50" w:after="50"/>
      <w:ind w:firstLineChars="0"/>
    </w:pPr>
    <w:rPr>
      <w:rFonts w:ascii="黑体" w:eastAsia="黑体"/>
    </w:rPr>
  </w:style>
  <w:style w:type="paragraph" w:customStyle="1" w:styleId="aa">
    <w:name w:val="标准文件_引言五级条标题"/>
    <w:basedOn w:val="afffff1"/>
    <w:next w:val="afffff1"/>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qFormat/>
    <w:pPr>
      <w:ind w:left="811" w:firstLineChars="0" w:firstLine="0"/>
    </w:pPr>
    <w:rPr>
      <w:sz w:val="18"/>
    </w:rPr>
  </w:style>
  <w:style w:type="paragraph" w:customStyle="1" w:styleId="X">
    <w:name w:val="标准文件_注X后"/>
    <w:basedOn w:val="afffff1"/>
    <w:qFormat/>
    <w:pPr>
      <w:ind w:left="811" w:firstLineChars="0" w:firstLine="0"/>
    </w:pPr>
    <w:rPr>
      <w:sz w:val="18"/>
    </w:rPr>
  </w:style>
  <w:style w:type="paragraph" w:customStyle="1" w:styleId="affffffffff2">
    <w:name w:val="标准文件_示例后"/>
    <w:basedOn w:val="afffff1"/>
    <w:qFormat/>
    <w:pPr>
      <w:ind w:left="964" w:firstLineChars="0" w:firstLine="0"/>
    </w:pPr>
    <w:rPr>
      <w:sz w:val="18"/>
    </w:rPr>
  </w:style>
  <w:style w:type="paragraph" w:customStyle="1" w:styleId="X0">
    <w:name w:val="标准文件_示例X后"/>
    <w:basedOn w:val="afffff1"/>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3">
    <w:name w:val="标准文件_索引项"/>
    <w:basedOn w:val="afffff1"/>
    <w:next w:val="afffff1"/>
    <w:qFormat/>
    <w:pPr>
      <w:tabs>
        <w:tab w:val="right" w:leader="dot" w:pos="9356"/>
      </w:tabs>
      <w:ind w:left="210" w:firstLineChars="0" w:hanging="210"/>
      <w:jc w:val="left"/>
    </w:pPr>
  </w:style>
  <w:style w:type="paragraph" w:customStyle="1" w:styleId="affffffffff4">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6"/>
    <w:next w:val="afffff1"/>
    <w:qFormat/>
    <w:pPr>
      <w:spacing w:beforeLines="0" w:before="0" w:afterLines="0" w:after="0" w:line="276" w:lineRule="auto"/>
    </w:pPr>
    <w:rPr>
      <w:rFonts w:ascii="宋体" w:eastAsia="宋体"/>
    </w:rPr>
  </w:style>
  <w:style w:type="paragraph" w:customStyle="1" w:styleId="affffffffffa">
    <w:name w:val="标准文件_引言二级无标题"/>
    <w:basedOn w:val="a7"/>
    <w:next w:val="afffff1"/>
    <w:qFormat/>
    <w:pPr>
      <w:spacing w:beforeLines="0" w:before="0" w:afterLines="0" w:after="0" w:line="276" w:lineRule="auto"/>
    </w:pPr>
    <w:rPr>
      <w:rFonts w:ascii="宋体" w:eastAsia="宋体"/>
    </w:rPr>
  </w:style>
  <w:style w:type="paragraph" w:customStyle="1" w:styleId="affffffffffb">
    <w:name w:val="标准文件_引言三级无标题"/>
    <w:basedOn w:val="a8"/>
    <w:qFormat/>
    <w:pPr>
      <w:spacing w:beforeLines="0" w:before="0" w:afterLines="0" w:after="0" w:line="276" w:lineRule="auto"/>
    </w:pPr>
    <w:rPr>
      <w:rFonts w:ascii="宋体" w:eastAsia="宋体"/>
    </w:rPr>
  </w:style>
  <w:style w:type="paragraph" w:customStyle="1" w:styleId="affffffffffc">
    <w:name w:val="标准文件_引言四级无标题"/>
    <w:basedOn w:val="a9"/>
    <w:next w:val="afffff1"/>
    <w:qFormat/>
    <w:pPr>
      <w:spacing w:beforeLines="0" w:before="0" w:afterLines="0" w:after="0" w:line="276" w:lineRule="auto"/>
    </w:pPr>
    <w:rPr>
      <w:rFonts w:ascii="宋体" w:eastAsia="宋体"/>
    </w:rPr>
  </w:style>
  <w:style w:type="paragraph" w:customStyle="1" w:styleId="affffffffffd">
    <w:name w:val="标准文件_引言五级无标题"/>
    <w:basedOn w:val="aa"/>
    <w:next w:val="afffff1"/>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qFormat/>
    <w:rPr>
      <w:rFonts w:hAnsi="黑体"/>
    </w:rPr>
  </w:style>
  <w:style w:type="paragraph" w:customStyle="1" w:styleId="afffffffffff">
    <w:name w:val="标准文件_脚注内容"/>
    <w:basedOn w:val="afffff1"/>
    <w:qFormat/>
    <w:pPr>
      <w:ind w:leftChars="200" w:left="400" w:hangingChars="200" w:hanging="200"/>
    </w:pPr>
    <w:rPr>
      <w:sz w:val="15"/>
    </w:rPr>
  </w:style>
  <w:style w:type="paragraph" w:customStyle="1" w:styleId="afffffffffff0">
    <w:name w:val="标准文件_术语条一"/>
    <w:basedOn w:val="affffffffa"/>
    <w:next w:val="afffff1"/>
    <w:qFormat/>
  </w:style>
  <w:style w:type="paragraph" w:customStyle="1" w:styleId="afffffffffff1">
    <w:name w:val="标准文件_术语条二"/>
    <w:basedOn w:val="affffffffd"/>
    <w:next w:val="afffff1"/>
    <w:qFormat/>
  </w:style>
  <w:style w:type="paragraph" w:customStyle="1" w:styleId="afffffffffff2">
    <w:name w:val="标准文件_术语条三"/>
    <w:basedOn w:val="affffffffc"/>
    <w:next w:val="afffff1"/>
    <w:qFormat/>
  </w:style>
  <w:style w:type="paragraph" w:customStyle="1" w:styleId="afffffffffff3">
    <w:name w:val="标准文件_术语条四"/>
    <w:basedOn w:val="afffffffff"/>
    <w:next w:val="afffff1"/>
    <w:qFormat/>
  </w:style>
  <w:style w:type="paragraph" w:customStyle="1" w:styleId="afffffffffff4">
    <w:name w:val="标准文件_术语条五"/>
    <w:basedOn w:val="affffffffb"/>
    <w:next w:val="afffff1"/>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5">
    <w:name w:val="发布"/>
    <w:basedOn w:val="afff7"/>
    <w:qFormat/>
    <w:rPr>
      <w:rFonts w:ascii="黑体" w:eastAsia="黑体"/>
      <w:spacing w:val="85"/>
      <w:w w:val="100"/>
      <w:position w:val="3"/>
      <w:sz w:val="28"/>
      <w:szCs w:val="28"/>
    </w:rPr>
  </w:style>
  <w:style w:type="paragraph" w:customStyle="1" w:styleId="afffffffffff6">
    <w:name w:val="段"/>
    <w:qFormat/>
    <w:pPr>
      <w:tabs>
        <w:tab w:val="center" w:pos="4201"/>
        <w:tab w:val="right" w:leader="dot" w:pos="9298"/>
      </w:tabs>
      <w:autoSpaceDE w:val="0"/>
      <w:autoSpaceDN w:val="0"/>
      <w:ind w:firstLineChars="200" w:firstLine="420"/>
      <w:jc w:val="both"/>
    </w:pPr>
    <w:rPr>
      <w:rFonts w:ascii="宋体" w:hAnsi="Times New Roman"/>
      <w:sz w:val="21"/>
    </w:rPr>
  </w:style>
  <w:style w:type="paragraph" w:customStyle="1" w:styleId="afffffffffff7">
    <w:name w:val="一级条标题"/>
    <w:next w:val="afffffffffff6"/>
    <w:qFormat/>
    <w:pPr>
      <w:numPr>
        <w:ilvl w:val="1"/>
      </w:numPr>
      <w:spacing w:beforeLines="50" w:before="50" w:afterLines="50" w:after="50"/>
      <w:outlineLvl w:val="2"/>
    </w:pPr>
    <w:rPr>
      <w:rFonts w:ascii="黑体" w:eastAsia="黑体" w:hAnsi="黑体"/>
      <w:sz w:val="21"/>
      <w:szCs w:val="21"/>
    </w:rPr>
  </w:style>
  <w:style w:type="paragraph" w:customStyle="1" w:styleId="abc">
    <w:name w:val="abc"/>
    <w:basedOn w:val="afff6"/>
    <w:qFormat/>
    <w:pPr>
      <w:numPr>
        <w:numId w:val="32"/>
      </w:numPr>
      <w:tabs>
        <w:tab w:val="left" w:pos="210"/>
        <w:tab w:val="left" w:pos="312"/>
      </w:tabs>
      <w:spacing w:line="360" w:lineRule="auto"/>
      <w:ind w:firstLineChars="200" w:firstLine="480"/>
    </w:pPr>
    <w:rPr>
      <w:rFonts w:ascii="宋体" w:hAnsi="宋体" w:cs="宋体" w:hint="eastAsia"/>
      <w:kern w:val="0"/>
    </w:rPr>
  </w:style>
  <w:style w:type="paragraph" w:customStyle="1" w:styleId="aff9">
    <w:name w:val="字母编号列项（一级）"/>
    <w:qFormat/>
    <w:pPr>
      <w:numPr>
        <w:numId w:val="33"/>
      </w:numPr>
      <w:jc w:val="both"/>
    </w:pPr>
    <w:rPr>
      <w:rFonts w:ascii="宋体" w:hAnsi="Times New Roman"/>
      <w:sz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fff6"/>
    <w:semiHidden/>
    <w:qFormat/>
    <w:rPr>
      <w:rFonts w:ascii="宋体" w:hAnsi="宋体" w:cs="宋体"/>
      <w:sz w:val="24"/>
      <w:szCs w:val="24"/>
      <w:lang w:eastAsia="en-US"/>
    </w:rPr>
  </w:style>
  <w:style w:type="character" w:customStyle="1" w:styleId="NormalCharacter">
    <w:name w:val="NormalCharacter"/>
    <w:semiHidden/>
    <w:qFormat/>
  </w:style>
  <w:style w:type="paragraph" w:customStyle="1" w:styleId="afffffffffff8">
    <w:name w:val="正文条款内容"/>
    <w:basedOn w:val="afff6"/>
    <w:link w:val="Char7"/>
    <w:qFormat/>
    <w:pPr>
      <w:spacing w:line="288" w:lineRule="auto"/>
      <w:ind w:left="28"/>
    </w:pPr>
    <w:rPr>
      <w:iCs/>
      <w:spacing w:val="-1"/>
      <w:szCs w:val="24"/>
    </w:rPr>
  </w:style>
  <w:style w:type="paragraph" w:customStyle="1" w:styleId="afffffffffff9">
    <w:name w:val="章标题"/>
    <w:next w:val="afffffffffff6"/>
    <w:qFormat/>
    <w:pPr>
      <w:spacing w:beforeLines="100" w:before="100" w:afterLines="100" w:after="100"/>
      <w:jc w:val="both"/>
      <w:outlineLvl w:val="1"/>
    </w:pPr>
    <w:rPr>
      <w:rFonts w:ascii="黑体" w:eastAsia="黑体" w:hAnsi="黑体"/>
      <w:sz w:val="21"/>
    </w:rPr>
  </w:style>
  <w:style w:type="paragraph" w:styleId="afffffffffffa">
    <w:name w:val="List Paragraph"/>
    <w:basedOn w:val="afff6"/>
    <w:uiPriority w:val="34"/>
    <w:qFormat/>
    <w:pPr>
      <w:ind w:firstLineChars="200" w:firstLine="420"/>
    </w:pPr>
    <w:rPr>
      <w:rFonts w:cs="Calibri"/>
    </w:rPr>
  </w:style>
  <w:style w:type="paragraph" w:customStyle="1" w:styleId="TableParagraph">
    <w:name w:val="Table Paragraph"/>
    <w:basedOn w:val="afff6"/>
    <w:uiPriority w:val="1"/>
    <w:qFormat/>
    <w:rPr>
      <w:rFonts w:ascii="宋体" w:hAnsi="宋体" w:cs="宋体"/>
      <w:lang w:eastAsia="en-US" w:bidi="en-US"/>
    </w:rPr>
  </w:style>
  <w:style w:type="character" w:customStyle="1" w:styleId="Char7">
    <w:name w:val="正文条款内容 Char"/>
    <w:link w:val="afffffffffff8"/>
    <w:qFormat/>
    <w:rPr>
      <w:rFonts w:cs="Times New Roman"/>
      <w:iCs/>
      <w:spacing w:val="-1"/>
      <w:szCs w:val="24"/>
    </w:rPr>
  </w:style>
  <w:style w:type="paragraph" w:customStyle="1" w:styleId="afffffffffffb">
    <w:name w:val="表格文本"/>
    <w:basedOn w:val="afff6"/>
    <w:qFormat/>
    <w:pPr>
      <w:topLinePunct/>
      <w:spacing w:beforeLines="40" w:before="40" w:afterLines="40" w:after="40" w:line="288" w:lineRule="auto"/>
    </w:pPr>
    <w:rPr>
      <w:rFonts w:cs="宋体" w:hint="eastAsia"/>
      <w:spacing w:val="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0"/>
    <w:lsdException w:name="toc 9" w:semiHidden="1" w:uiPriority="0"/>
    <w:lsdException w:name="Normal Indent" w:uiPriority="0" w:unhideWhenUsed="0" w:qFormat="1"/>
    <w:lsdException w:name="footnote text" w:semiHidden="1" w:uiPriority="0" w:unhideWhenUsed="0" w:qFormat="1"/>
    <w:lsdException w:name="annotation text" w:qFormat="1"/>
    <w:lsdException w:name="header" w:unhideWhenUsed="0" w:qFormat="1"/>
    <w:lsdException w:name="footer" w:unhideWhenUsed="0" w:qFormat="1"/>
    <w:lsdException w:name="index heading" w:semiHidden="1"/>
    <w:lsdException w:name="caption" w:semiHidden="1" w:uiPriority="0" w:qFormat="1"/>
    <w:lsdException w:name="table of figures" w:semiHidden="1" w:uiPriority="0" w:unhideWhenUsed="0" w:qFormat="1"/>
    <w:lsdException w:name="envelope address" w:semiHidden="1"/>
    <w:lsdException w:name="envelope return" w:semiHidden="1"/>
    <w:lsdException w:name="footnote reference" w:semiHidden="1" w:uiPriority="0" w:unhideWhenUsed="0" w:qFormat="1"/>
    <w:lsdException w:name="annotation reference" w:semiHidden="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ff6">
    <w:name w:val="Normal"/>
    <w:qFormat/>
    <w:pPr>
      <w:widowControl w:val="0"/>
      <w:adjustRightInd w:val="0"/>
      <w:spacing w:line="400" w:lineRule="exact"/>
      <w:jc w:val="both"/>
    </w:pPr>
    <w:rPr>
      <w:kern w:val="2"/>
      <w:sz w:val="21"/>
      <w:szCs w:val="21"/>
    </w:rPr>
  </w:style>
  <w:style w:type="paragraph" w:styleId="1">
    <w:name w:val="heading 1"/>
    <w:basedOn w:val="afff6"/>
    <w:next w:val="afff6"/>
    <w:link w:val="1Char"/>
    <w:qFormat/>
    <w:pPr>
      <w:keepNext/>
      <w:keepLines/>
      <w:spacing w:before="340" w:after="330" w:line="578" w:lineRule="auto"/>
      <w:outlineLvl w:val="0"/>
    </w:pPr>
    <w:rPr>
      <w:b/>
      <w:bCs/>
      <w:kern w:val="44"/>
      <w:sz w:val="44"/>
      <w:szCs w:val="44"/>
    </w:rPr>
  </w:style>
  <w:style w:type="paragraph" w:styleId="22">
    <w:name w:val="heading 2"/>
    <w:basedOn w:val="afff6"/>
    <w:next w:val="afff6"/>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6"/>
    <w:next w:val="afff6"/>
    <w:link w:val="3Char"/>
    <w:autoRedefine/>
    <w:qFormat/>
    <w:pPr>
      <w:keepNext/>
      <w:keepLines/>
      <w:spacing w:before="260" w:after="260" w:line="416" w:lineRule="auto"/>
      <w:outlineLvl w:val="2"/>
    </w:pPr>
    <w:rPr>
      <w:b/>
      <w:bCs/>
      <w:sz w:val="32"/>
      <w:szCs w:val="32"/>
    </w:rPr>
  </w:style>
  <w:style w:type="paragraph" w:styleId="4">
    <w:name w:val="heading 4"/>
    <w:basedOn w:val="afff6"/>
    <w:next w:val="afff6"/>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6"/>
    <w:next w:val="afff6"/>
    <w:link w:val="5Char"/>
    <w:qFormat/>
    <w:pPr>
      <w:keepNext/>
      <w:keepLines/>
      <w:adjustRightInd/>
      <w:spacing w:before="280" w:after="290" w:line="376" w:lineRule="auto"/>
      <w:outlineLvl w:val="4"/>
    </w:pPr>
    <w:rPr>
      <w:b/>
      <w:bCs/>
      <w:sz w:val="28"/>
      <w:szCs w:val="28"/>
    </w:rPr>
  </w:style>
  <w:style w:type="paragraph" w:styleId="6">
    <w:name w:val="heading 6"/>
    <w:basedOn w:val="afff6"/>
    <w:next w:val="afff6"/>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6"/>
    <w:next w:val="afff6"/>
    <w:link w:val="7Char"/>
    <w:qFormat/>
    <w:pPr>
      <w:keepNext/>
      <w:keepLines/>
      <w:adjustRightInd/>
      <w:spacing w:before="240" w:after="64" w:line="320" w:lineRule="auto"/>
      <w:outlineLvl w:val="6"/>
    </w:pPr>
    <w:rPr>
      <w:b/>
      <w:bCs/>
      <w:sz w:val="24"/>
      <w:szCs w:val="24"/>
    </w:rPr>
  </w:style>
  <w:style w:type="paragraph" w:styleId="8">
    <w:name w:val="heading 8"/>
    <w:basedOn w:val="afff6"/>
    <w:next w:val="afff6"/>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6"/>
    <w:next w:val="afff6"/>
    <w:link w:val="9Char"/>
    <w:qFormat/>
    <w:pPr>
      <w:keepNext/>
      <w:keepLines/>
      <w:adjustRightInd/>
      <w:spacing w:before="240" w:after="64" w:line="320" w:lineRule="auto"/>
      <w:outlineLvl w:val="8"/>
    </w:pPr>
    <w:rPr>
      <w:rFonts w:ascii="Arial" w:eastAsia="黑体" w:hAnsi="Arial"/>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paragraph" w:styleId="70">
    <w:name w:val="toc 7"/>
    <w:basedOn w:val="afff6"/>
    <w:next w:val="afff6"/>
    <w:autoRedefine/>
    <w:uiPriority w:val="39"/>
    <w:unhideWhenUsed/>
    <w:qFormat/>
    <w:pPr>
      <w:tabs>
        <w:tab w:val="right" w:leader="dot" w:pos="9344"/>
      </w:tabs>
      <w:spacing w:line="300" w:lineRule="exact"/>
      <w:ind w:left="1259"/>
    </w:pPr>
    <w:rPr>
      <w:rFonts w:ascii="宋体"/>
    </w:rPr>
  </w:style>
  <w:style w:type="paragraph" w:styleId="afffa">
    <w:name w:val="Normal Indent"/>
    <w:basedOn w:val="afff6"/>
    <w:qFormat/>
    <w:pPr>
      <w:ind w:firstLine="420"/>
    </w:pPr>
  </w:style>
  <w:style w:type="paragraph" w:styleId="afffb">
    <w:name w:val="caption"/>
    <w:basedOn w:val="afff6"/>
    <w:next w:val="afff6"/>
    <w:semiHidden/>
    <w:unhideWhenUsed/>
    <w:qFormat/>
    <w:rPr>
      <w:rFonts w:ascii="Arial" w:eastAsia="黑体" w:hAnsi="Arial"/>
      <w:sz w:val="20"/>
    </w:rPr>
  </w:style>
  <w:style w:type="paragraph" w:styleId="afffc">
    <w:name w:val="annotation text"/>
    <w:basedOn w:val="afff6"/>
    <w:uiPriority w:val="99"/>
    <w:unhideWhenUsed/>
    <w:qFormat/>
    <w:pPr>
      <w:jc w:val="left"/>
    </w:pPr>
  </w:style>
  <w:style w:type="paragraph" w:styleId="afffd">
    <w:name w:val="Body Text"/>
    <w:basedOn w:val="afff6"/>
    <w:next w:val="Style2"/>
    <w:link w:val="Char"/>
    <w:qFormat/>
    <w:pPr>
      <w:spacing w:after="120"/>
    </w:pPr>
  </w:style>
  <w:style w:type="paragraph" w:customStyle="1" w:styleId="Style2">
    <w:name w:val="_Style 2"/>
    <w:basedOn w:val="afff6"/>
    <w:qFormat/>
    <w:pPr>
      <w:ind w:firstLineChars="200" w:firstLine="200"/>
    </w:pPr>
    <w:rPr>
      <w:sz w:val="28"/>
    </w:rPr>
  </w:style>
  <w:style w:type="paragraph" w:styleId="50">
    <w:name w:val="toc 5"/>
    <w:basedOn w:val="afff6"/>
    <w:next w:val="afff6"/>
    <w:autoRedefine/>
    <w:uiPriority w:val="39"/>
    <w:unhideWhenUsed/>
    <w:qFormat/>
    <w:pPr>
      <w:ind w:left="839"/>
    </w:pPr>
    <w:rPr>
      <w:rFonts w:ascii="宋体"/>
    </w:rPr>
  </w:style>
  <w:style w:type="paragraph" w:styleId="30">
    <w:name w:val="toc 3"/>
    <w:basedOn w:val="afff6"/>
    <w:next w:val="afff6"/>
    <w:autoRedefine/>
    <w:uiPriority w:val="39"/>
    <w:unhideWhenUsed/>
    <w:qFormat/>
    <w:pPr>
      <w:spacing w:line="300" w:lineRule="exact"/>
      <w:ind w:left="420"/>
    </w:pPr>
    <w:rPr>
      <w:rFonts w:ascii="宋体"/>
    </w:rPr>
  </w:style>
  <w:style w:type="paragraph" w:styleId="afffe">
    <w:name w:val="Balloon Text"/>
    <w:basedOn w:val="afff6"/>
    <w:link w:val="Char0"/>
    <w:autoRedefine/>
    <w:uiPriority w:val="99"/>
    <w:semiHidden/>
    <w:unhideWhenUsed/>
    <w:qFormat/>
    <w:rPr>
      <w:sz w:val="18"/>
      <w:szCs w:val="18"/>
    </w:rPr>
  </w:style>
  <w:style w:type="paragraph" w:styleId="affff">
    <w:name w:val="footer"/>
    <w:basedOn w:val="afff6"/>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6"/>
    <w:link w:val="Char2"/>
    <w:uiPriority w:val="99"/>
    <w:qFormat/>
    <w:pPr>
      <w:tabs>
        <w:tab w:val="center" w:pos="4153"/>
        <w:tab w:val="right" w:pos="8306"/>
      </w:tabs>
      <w:adjustRightInd/>
      <w:snapToGrid w:val="0"/>
      <w:jc w:val="center"/>
    </w:pPr>
    <w:rPr>
      <w:sz w:val="18"/>
      <w:szCs w:val="18"/>
    </w:rPr>
  </w:style>
  <w:style w:type="paragraph" w:styleId="10">
    <w:name w:val="toc 1"/>
    <w:basedOn w:val="afff6"/>
    <w:next w:val="afff6"/>
    <w:autoRedefine/>
    <w:uiPriority w:val="39"/>
    <w:unhideWhenUsed/>
    <w:qFormat/>
    <w:rPr>
      <w:rFonts w:ascii="宋体"/>
    </w:rPr>
  </w:style>
  <w:style w:type="paragraph" w:styleId="40">
    <w:name w:val="toc 4"/>
    <w:basedOn w:val="afff6"/>
    <w:next w:val="afff6"/>
    <w:autoRedefine/>
    <w:uiPriority w:val="39"/>
    <w:unhideWhenUsed/>
    <w:qFormat/>
    <w:pPr>
      <w:tabs>
        <w:tab w:val="right" w:leader="dot" w:pos="9344"/>
      </w:tabs>
      <w:spacing w:line="300" w:lineRule="exact"/>
      <w:ind w:left="629"/>
    </w:pPr>
    <w:rPr>
      <w:rFonts w:ascii="宋体"/>
    </w:rPr>
  </w:style>
  <w:style w:type="paragraph" w:styleId="affff1">
    <w:name w:val="footnote text"/>
    <w:basedOn w:val="afff6"/>
    <w:next w:val="afff6"/>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6"/>
    <w:next w:val="afff6"/>
    <w:autoRedefine/>
    <w:uiPriority w:val="39"/>
    <w:unhideWhenUsed/>
    <w:qFormat/>
    <w:pPr>
      <w:spacing w:line="300" w:lineRule="exact"/>
      <w:ind w:left="1049"/>
    </w:pPr>
    <w:rPr>
      <w:rFonts w:ascii="宋体"/>
    </w:rPr>
  </w:style>
  <w:style w:type="paragraph" w:styleId="affff2">
    <w:name w:val="table of figures"/>
    <w:basedOn w:val="afff6"/>
    <w:next w:val="afff6"/>
    <w:semiHidden/>
    <w:qFormat/>
    <w:pPr>
      <w:adjustRightInd/>
      <w:spacing w:line="240" w:lineRule="auto"/>
      <w:jc w:val="left"/>
    </w:pPr>
    <w:rPr>
      <w:szCs w:val="24"/>
    </w:rPr>
  </w:style>
  <w:style w:type="paragraph" w:styleId="23">
    <w:name w:val="toc 2"/>
    <w:basedOn w:val="afff6"/>
    <w:next w:val="afff6"/>
    <w:autoRedefine/>
    <w:uiPriority w:val="39"/>
    <w:unhideWhenUsed/>
    <w:qFormat/>
    <w:pPr>
      <w:tabs>
        <w:tab w:val="right" w:leader="dot" w:pos="9344"/>
      </w:tabs>
      <w:spacing w:line="300" w:lineRule="exact"/>
      <w:ind w:left="210"/>
    </w:pPr>
    <w:rPr>
      <w:rFonts w:ascii="宋体"/>
    </w:rPr>
  </w:style>
  <w:style w:type="paragraph" w:styleId="affff3">
    <w:name w:val="Title"/>
    <w:basedOn w:val="afff6"/>
    <w:link w:val="Char4"/>
    <w:qFormat/>
    <w:pPr>
      <w:spacing w:before="240" w:after="60"/>
      <w:jc w:val="center"/>
      <w:outlineLvl w:val="0"/>
    </w:pPr>
    <w:rPr>
      <w:rFonts w:ascii="Arial" w:hAnsi="Arial" w:cs="Arial"/>
      <w:b/>
      <w:bCs/>
      <w:sz w:val="32"/>
      <w:szCs w:val="32"/>
    </w:rPr>
  </w:style>
  <w:style w:type="table" w:styleId="affff4">
    <w:name w:val="Table Grid"/>
    <w:basedOn w:val="afff8"/>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Strong"/>
    <w:uiPriority w:val="22"/>
    <w:qFormat/>
    <w:rPr>
      <w:b/>
      <w:bCs/>
    </w:rPr>
  </w:style>
  <w:style w:type="character" w:styleId="affff6">
    <w:name w:val="page number"/>
    <w:autoRedefine/>
    <w:qFormat/>
    <w:rPr>
      <w:rFonts w:ascii="宋体" w:eastAsia="宋体" w:hAnsi="Times New Roman"/>
      <w:sz w:val="18"/>
    </w:rPr>
  </w:style>
  <w:style w:type="character" w:styleId="affff7">
    <w:name w:val="Emphasis"/>
    <w:uiPriority w:val="20"/>
    <w:qFormat/>
    <w:rPr>
      <w:i/>
      <w:iCs/>
    </w:rPr>
  </w:style>
  <w:style w:type="character" w:styleId="affff8">
    <w:name w:val="Hyperlink"/>
    <w:uiPriority w:val="99"/>
    <w:qFormat/>
    <w:rPr>
      <w:rFonts w:ascii="宋体" w:eastAsia="宋体" w:hAnsi="Times New Roman"/>
      <w:color w:val="auto"/>
      <w:spacing w:val="0"/>
      <w:w w:val="100"/>
      <w:position w:val="0"/>
      <w:sz w:val="21"/>
      <w:u w:val="none"/>
      <w:vertAlign w:val="baseline"/>
    </w:rPr>
  </w:style>
  <w:style w:type="character" w:styleId="affff9">
    <w:name w:val="footnote reference"/>
    <w:semiHidden/>
    <w:qFormat/>
    <w:rPr>
      <w:rFonts w:ascii="宋体" w:eastAsia="宋体" w:hAnsi="宋体" w:cs="Times New Roman"/>
      <w:spacing w:val="0"/>
      <w:sz w:val="18"/>
      <w:vertAlign w:val="superscript"/>
    </w:rPr>
  </w:style>
  <w:style w:type="character" w:customStyle="1" w:styleId="1Char">
    <w:name w:val="标题 1 Char"/>
    <w:link w:val="1"/>
    <w:autoRedefine/>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autoRedefine/>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autoRedefine/>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f0"/>
    <w:uiPriority w:val="99"/>
    <w:qFormat/>
    <w:rPr>
      <w:kern w:val="2"/>
      <w:sz w:val="18"/>
      <w:szCs w:val="18"/>
    </w:rPr>
  </w:style>
  <w:style w:type="character" w:customStyle="1" w:styleId="Char1">
    <w:name w:val="页脚 Char"/>
    <w:link w:val="affff"/>
    <w:uiPriority w:val="99"/>
    <w:qFormat/>
    <w:rPr>
      <w:rFonts w:ascii="宋体"/>
      <w:kern w:val="2"/>
      <w:sz w:val="18"/>
      <w:szCs w:val="18"/>
    </w:rPr>
  </w:style>
  <w:style w:type="character" w:customStyle="1" w:styleId="Char0">
    <w:name w:val="批注框文本 Char"/>
    <w:link w:val="afffe"/>
    <w:uiPriority w:val="99"/>
    <w:semiHidden/>
    <w:qFormat/>
    <w:rPr>
      <w:kern w:val="2"/>
      <w:sz w:val="18"/>
      <w:szCs w:val="18"/>
    </w:rPr>
  </w:style>
  <w:style w:type="paragraph" w:styleId="affffa">
    <w:name w:val="Quote"/>
    <w:basedOn w:val="afff6"/>
    <w:next w:val="afff6"/>
    <w:link w:val="Char5"/>
    <w:uiPriority w:val="29"/>
    <w:qFormat/>
    <w:rPr>
      <w:i/>
      <w:iCs/>
      <w:color w:val="000000"/>
    </w:rPr>
  </w:style>
  <w:style w:type="character" w:customStyle="1" w:styleId="Char5">
    <w:name w:val="引用 Char"/>
    <w:link w:val="affffa"/>
    <w:uiPriority w:val="29"/>
    <w:qFormat/>
    <w:rPr>
      <w:i/>
      <w:iCs/>
      <w:color w:val="000000"/>
      <w:kern w:val="2"/>
      <w:sz w:val="21"/>
      <w:szCs w:val="21"/>
    </w:rPr>
  </w:style>
  <w:style w:type="character" w:customStyle="1" w:styleId="Char4">
    <w:name w:val="标题 Char"/>
    <w:link w:val="affff3"/>
    <w:qFormat/>
    <w:rPr>
      <w:rFonts w:ascii="Arial" w:hAnsi="Arial" w:cs="Arial"/>
      <w:b/>
      <w:bCs/>
      <w:kern w:val="2"/>
      <w:sz w:val="32"/>
      <w:szCs w:val="32"/>
    </w:rPr>
  </w:style>
  <w:style w:type="paragraph" w:customStyle="1" w:styleId="affffb">
    <w:name w:val="标准标志"/>
    <w:next w:val="afff6"/>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c">
    <w:name w:val="标准称谓"/>
    <w:next w:val="afff6"/>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d">
    <w:name w:val="标准文件_页脚偶数页"/>
    <w:qFormat/>
    <w:pPr>
      <w:ind w:left="198"/>
    </w:pPr>
    <w:rPr>
      <w:rFonts w:ascii="宋体" w:hAnsi="Times New Roman"/>
      <w:sz w:val="18"/>
    </w:rPr>
  </w:style>
  <w:style w:type="paragraph" w:customStyle="1" w:styleId="affffe">
    <w:name w:val="标准文件_页脚奇数页"/>
    <w:qFormat/>
    <w:pPr>
      <w:ind w:right="227"/>
      <w:jc w:val="right"/>
    </w:pPr>
    <w:rPr>
      <w:rFonts w:ascii="宋体" w:hAnsi="Times New Roman"/>
      <w:sz w:val="18"/>
    </w:rPr>
  </w:style>
  <w:style w:type="paragraph" w:customStyle="1" w:styleId="afffff">
    <w:name w:val="标准书眉一"/>
    <w:qFormat/>
    <w:pPr>
      <w:jc w:val="both"/>
    </w:pPr>
    <w:rPr>
      <w:rFonts w:ascii="Times New Roman" w:hAnsi="Times New Roman"/>
    </w:rPr>
  </w:style>
  <w:style w:type="paragraph" w:customStyle="1" w:styleId="ICS">
    <w:name w:val="标准文件_ICS"/>
    <w:basedOn w:val="afff6"/>
    <w:qFormat/>
    <w:pPr>
      <w:spacing w:line="0" w:lineRule="atLeast"/>
    </w:pPr>
    <w:rPr>
      <w:rFonts w:ascii="黑体" w:eastAsia="黑体" w:hAnsi="宋体"/>
    </w:rPr>
  </w:style>
  <w:style w:type="paragraph" w:customStyle="1" w:styleId="afffff0">
    <w:name w:val="标准文件_标准正文"/>
    <w:basedOn w:val="afff6"/>
    <w:next w:val="afffff1"/>
    <w:qFormat/>
    <w:pPr>
      <w:snapToGrid w:val="0"/>
      <w:ind w:firstLineChars="200" w:firstLine="200"/>
    </w:pPr>
    <w:rPr>
      <w:kern w:val="0"/>
    </w:rPr>
  </w:style>
  <w:style w:type="paragraph" w:customStyle="1" w:styleId="afffff1">
    <w:name w:val="标准文件_段"/>
    <w:link w:val="Char6"/>
    <w:qFormat/>
    <w:pPr>
      <w:autoSpaceDE w:val="0"/>
      <w:autoSpaceDN w:val="0"/>
      <w:ind w:firstLineChars="200" w:firstLine="200"/>
      <w:jc w:val="both"/>
    </w:pPr>
    <w:rPr>
      <w:rFonts w:ascii="宋体" w:hAnsi="Times New Roman"/>
      <w:sz w:val="21"/>
    </w:rPr>
  </w:style>
  <w:style w:type="paragraph" w:customStyle="1" w:styleId="afffff2">
    <w:name w:val="标准文件_版本"/>
    <w:basedOn w:val="afffff0"/>
    <w:qFormat/>
    <w:pPr>
      <w:adjustRightInd/>
      <w:snapToGrid/>
      <w:ind w:firstLineChars="0" w:firstLine="0"/>
    </w:pPr>
    <w:rPr>
      <w:rFonts w:ascii="宋体" w:hAnsi="宋体"/>
      <w:kern w:val="2"/>
    </w:rPr>
  </w:style>
  <w:style w:type="paragraph" w:customStyle="1" w:styleId="afffff3">
    <w:name w:val="标准文件_标准部门"/>
    <w:basedOn w:val="afff6"/>
    <w:qFormat/>
    <w:pPr>
      <w:jc w:val="center"/>
    </w:pPr>
    <w:rPr>
      <w:rFonts w:ascii="黑体" w:eastAsia="黑体"/>
      <w:kern w:val="0"/>
      <w:sz w:val="44"/>
    </w:rPr>
  </w:style>
  <w:style w:type="paragraph" w:customStyle="1" w:styleId="afffff4">
    <w:name w:val="标准文件_标准代替"/>
    <w:basedOn w:val="afff6"/>
    <w:next w:val="afff6"/>
    <w:qFormat/>
    <w:pPr>
      <w:spacing w:line="310" w:lineRule="exact"/>
      <w:jc w:val="right"/>
    </w:pPr>
    <w:rPr>
      <w:rFonts w:ascii="宋体" w:hAnsi="宋体"/>
      <w:kern w:val="0"/>
    </w:rPr>
  </w:style>
  <w:style w:type="paragraph" w:customStyle="1" w:styleId="afffff5">
    <w:name w:val="标准文件_标准名称标题"/>
    <w:basedOn w:val="afff6"/>
    <w:next w:val="afff6"/>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6"/>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6"/>
    <w:qFormat/>
    <w:pPr>
      <w:jc w:val="left"/>
    </w:pPr>
  </w:style>
  <w:style w:type="paragraph" w:customStyle="1" w:styleId="afffff8">
    <w:name w:val="标准文件_参考文献标题"/>
    <w:basedOn w:val="afff6"/>
    <w:next w:val="afff6"/>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
    <w:name w:val="标准文件_二级条标题"/>
    <w:next w:val="afffff1"/>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9">
    <w:name w:val="标准文件_发布"/>
    <w:qFormat/>
    <w:rPr>
      <w:rFonts w:ascii="黑体" w:eastAsia="黑体"/>
      <w:spacing w:val="0"/>
      <w:w w:val="100"/>
      <w:position w:val="3"/>
      <w:sz w:val="28"/>
    </w:rPr>
  </w:style>
  <w:style w:type="paragraph" w:customStyle="1" w:styleId="ac">
    <w:name w:val="标准文件_方框数字列项"/>
    <w:basedOn w:val="afffff1"/>
    <w:qFormat/>
    <w:pPr>
      <w:numPr>
        <w:numId w:val="3"/>
      </w:numPr>
      <w:ind w:firstLineChars="0" w:firstLine="0"/>
    </w:pPr>
  </w:style>
  <w:style w:type="paragraph" w:customStyle="1" w:styleId="afffffa">
    <w:name w:val="标准文件_封面标准编号"/>
    <w:basedOn w:val="afff6"/>
    <w:next w:val="afffff4"/>
    <w:qFormat/>
    <w:pPr>
      <w:spacing w:line="310" w:lineRule="exact"/>
      <w:jc w:val="right"/>
    </w:pPr>
    <w:rPr>
      <w:rFonts w:ascii="黑体" w:eastAsia="黑体"/>
      <w:kern w:val="0"/>
      <w:sz w:val="28"/>
    </w:rPr>
  </w:style>
  <w:style w:type="paragraph" w:customStyle="1" w:styleId="afffffb">
    <w:name w:val="标准文件_封面标准分类号"/>
    <w:basedOn w:val="afff6"/>
    <w:qFormat/>
    <w:rPr>
      <w:rFonts w:ascii="黑体" w:eastAsia="黑体"/>
      <w:b/>
      <w:kern w:val="0"/>
      <w:sz w:val="28"/>
    </w:rPr>
  </w:style>
  <w:style w:type="paragraph" w:customStyle="1" w:styleId="afffffc">
    <w:name w:val="标准文件_封面标准名称"/>
    <w:basedOn w:val="afff6"/>
    <w:qFormat/>
    <w:pPr>
      <w:spacing w:line="240" w:lineRule="auto"/>
      <w:jc w:val="center"/>
    </w:pPr>
    <w:rPr>
      <w:rFonts w:ascii="黑体" w:eastAsia="黑体"/>
      <w:kern w:val="0"/>
      <w:sz w:val="52"/>
    </w:rPr>
  </w:style>
  <w:style w:type="paragraph" w:customStyle="1" w:styleId="afffffd">
    <w:name w:val="标准文件_封面标准英文名称"/>
    <w:basedOn w:val="afff6"/>
    <w:qFormat/>
    <w:pPr>
      <w:spacing w:line="240" w:lineRule="auto"/>
      <w:jc w:val="center"/>
    </w:pPr>
    <w:rPr>
      <w:rFonts w:ascii="黑体" w:eastAsia="黑体"/>
      <w:b/>
      <w:sz w:val="28"/>
    </w:rPr>
  </w:style>
  <w:style w:type="paragraph" w:customStyle="1" w:styleId="afffffe">
    <w:name w:val="标准文件_封面发布日期"/>
    <w:basedOn w:val="afff6"/>
    <w:qFormat/>
    <w:pPr>
      <w:spacing w:line="310" w:lineRule="exact"/>
    </w:pPr>
    <w:rPr>
      <w:rFonts w:ascii="黑体" w:eastAsia="黑体"/>
      <w:kern w:val="0"/>
      <w:sz w:val="28"/>
    </w:rPr>
  </w:style>
  <w:style w:type="paragraph" w:customStyle="1" w:styleId="affffff">
    <w:name w:val="标准文件_封面密级"/>
    <w:basedOn w:val="afff6"/>
    <w:qFormat/>
    <w:rPr>
      <w:rFonts w:eastAsia="黑体"/>
      <w:sz w:val="32"/>
    </w:rPr>
  </w:style>
  <w:style w:type="paragraph" w:customStyle="1" w:styleId="affffff0">
    <w:name w:val="标准文件_封面实施日期"/>
    <w:basedOn w:val="afff6"/>
    <w:qFormat/>
    <w:pPr>
      <w:spacing w:line="310" w:lineRule="exact"/>
      <w:jc w:val="right"/>
    </w:pPr>
    <w:rPr>
      <w:rFonts w:ascii="黑体" w:eastAsia="黑体"/>
      <w:sz w:val="28"/>
    </w:rPr>
  </w:style>
  <w:style w:type="paragraph" w:customStyle="1" w:styleId="affffff1">
    <w:name w:val="标准文件_封面抬头"/>
    <w:basedOn w:val="afffff1"/>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1"/>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1"/>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1"/>
    <w:qFormat/>
    <w:pPr>
      <w:widowControl/>
      <w:numPr>
        <w:ilvl w:val="2"/>
      </w:numPr>
      <w:wordWrap w:val="0"/>
      <w:overflowPunct w:val="0"/>
      <w:autoSpaceDE w:val="0"/>
      <w:autoSpaceDN w:val="0"/>
      <w:textAlignment w:val="baseline"/>
      <w:outlineLvl w:val="3"/>
    </w:pPr>
  </w:style>
  <w:style w:type="paragraph" w:customStyle="1" w:styleId="affffff2">
    <w:name w:val="标准文件_附录公式"/>
    <w:basedOn w:val="afffff0"/>
    <w:next w:val="afffff0"/>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1"/>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6">
    <w:name w:val="标准文件_附录图标题"/>
    <w:next w:val="afffff1"/>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1"/>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
    <w:name w:val="标准文件_附录英文标识"/>
    <w:next w:val="afffd"/>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d"/>
    <w:qFormat/>
    <w:rPr>
      <w:kern w:val="2"/>
      <w:sz w:val="21"/>
      <w:szCs w:val="21"/>
    </w:rPr>
  </w:style>
  <w:style w:type="paragraph" w:customStyle="1" w:styleId="affffff3">
    <w:name w:val="标准文件_附录章标题"/>
    <w:next w:val="afffff1"/>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4">
    <w:name w:val="标准文件_公式后的破折号"/>
    <w:basedOn w:val="afffff1"/>
    <w:next w:val="afffff1"/>
    <w:qFormat/>
    <w:pPr>
      <w:ind w:leftChars="200" w:left="488" w:hangingChars="290" w:hanging="289"/>
    </w:pPr>
  </w:style>
  <w:style w:type="paragraph" w:customStyle="1" w:styleId="a5">
    <w:name w:val="标准文件_前言、引言标题"/>
    <w:next w:val="afff6"/>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5">
    <w:name w:val="标准文件_目次、标准名称标题"/>
    <w:basedOn w:val="a5"/>
    <w:next w:val="afffff1"/>
    <w:qFormat/>
    <w:pPr>
      <w:spacing w:line="460" w:lineRule="exact"/>
      <w:ind w:left="0" w:firstLine="0"/>
    </w:pPr>
  </w:style>
  <w:style w:type="paragraph" w:customStyle="1" w:styleId="affffff6">
    <w:name w:val="标准文件_目录标题"/>
    <w:basedOn w:val="afff6"/>
    <w:qFormat/>
    <w:pPr>
      <w:spacing w:before="480" w:afterLines="150" w:after="150" w:line="240" w:lineRule="auto"/>
      <w:jc w:val="center"/>
    </w:pPr>
    <w:rPr>
      <w:rFonts w:ascii="黑体" w:eastAsia="黑体"/>
      <w:sz w:val="32"/>
    </w:rPr>
  </w:style>
  <w:style w:type="paragraph" w:customStyle="1" w:styleId="af0">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0"/>
    <w:qFormat/>
    <w:pPr>
      <w:numPr>
        <w:numId w:val="10"/>
      </w:numPr>
    </w:pPr>
  </w:style>
  <w:style w:type="paragraph" w:customStyle="1" w:styleId="afff0">
    <w:name w:val="标准文件_三级条标题"/>
    <w:basedOn w:val="afff"/>
    <w:next w:val="afffff1"/>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7">
    <w:name w:val="标准文件_示例后续"/>
    <w:basedOn w:val="afff6"/>
    <w:qFormat/>
    <w:pPr>
      <w:adjustRightInd/>
      <w:spacing w:line="240" w:lineRule="auto"/>
      <w:ind w:firstLineChars="200" w:firstLine="200"/>
    </w:pPr>
    <w:rPr>
      <w:sz w:val="18"/>
      <w:szCs w:val="24"/>
    </w:rPr>
  </w:style>
  <w:style w:type="paragraph" w:customStyle="1" w:styleId="affa">
    <w:name w:val="标准文件_数字编号列项"/>
    <w:qFormat/>
    <w:pPr>
      <w:numPr>
        <w:numId w:val="11"/>
      </w:numPr>
      <w:jc w:val="both"/>
    </w:pPr>
    <w:rPr>
      <w:rFonts w:ascii="宋体" w:hAnsi="宋体"/>
      <w:sz w:val="21"/>
    </w:rPr>
  </w:style>
  <w:style w:type="paragraph" w:customStyle="1" w:styleId="afff1">
    <w:name w:val="标准文件_四级条标题"/>
    <w:next w:val="afffff1"/>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f1"/>
    <w:semiHidden/>
    <w:qFormat/>
    <w:rPr>
      <w:rFonts w:ascii="宋体"/>
      <w:kern w:val="2"/>
      <w:sz w:val="18"/>
      <w:szCs w:val="18"/>
    </w:rPr>
  </w:style>
  <w:style w:type="paragraph" w:customStyle="1" w:styleId="affffff8">
    <w:name w:val="标准文件_条文脚注"/>
    <w:basedOn w:val="affff1"/>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6"/>
    <w:next w:val="afffff1"/>
    <w:qFormat/>
    <w:pPr>
      <w:numPr>
        <w:numId w:val="12"/>
      </w:numPr>
      <w:spacing w:line="240" w:lineRule="auto"/>
      <w:jc w:val="left"/>
    </w:pPr>
    <w:rPr>
      <w:rFonts w:ascii="宋体" w:hAnsi="宋体"/>
      <w:sz w:val="18"/>
    </w:rPr>
  </w:style>
  <w:style w:type="character" w:customStyle="1" w:styleId="affffff9">
    <w:name w:val="标准文件_图表脚注内容"/>
    <w:qFormat/>
    <w:rPr>
      <w:rFonts w:ascii="宋体" w:eastAsia="宋体" w:hAnsi="宋体" w:cs="Times New Roman"/>
      <w:spacing w:val="0"/>
      <w:sz w:val="18"/>
      <w:vertAlign w:val="superscript"/>
    </w:rPr>
  </w:style>
  <w:style w:type="paragraph" w:customStyle="1" w:styleId="afff2">
    <w:name w:val="标准文件_五级条标题"/>
    <w:next w:val="afffff1"/>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d">
    <w:name w:val="标准文件_章标题"/>
    <w:next w:val="afffff1"/>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e">
    <w:name w:val="标准文件_一级条标题"/>
    <w:basedOn w:val="affd"/>
    <w:next w:val="afffff1"/>
    <w:qFormat/>
    <w:pPr>
      <w:numPr>
        <w:ilvl w:val="2"/>
      </w:numPr>
      <w:spacing w:beforeLines="50" w:before="50" w:afterLines="50" w:after="50"/>
      <w:outlineLvl w:val="1"/>
    </w:pPr>
  </w:style>
  <w:style w:type="paragraph" w:customStyle="1" w:styleId="affffffa">
    <w:name w:val="标准文件_一致程度"/>
    <w:basedOn w:val="afff6"/>
    <w:qFormat/>
    <w:pPr>
      <w:spacing w:line="440" w:lineRule="exact"/>
      <w:jc w:val="center"/>
    </w:pPr>
    <w:rPr>
      <w:sz w:val="28"/>
    </w:rPr>
  </w:style>
  <w:style w:type="paragraph" w:customStyle="1" w:styleId="affffffb">
    <w:name w:val="标准文件_引言标题"/>
    <w:next w:val="afff6"/>
    <w:qFormat/>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f0"/>
    <w:qFormat/>
    <w:pPr>
      <w:widowControl/>
      <w:adjustRightInd/>
      <w:snapToGrid/>
      <w:spacing w:line="240" w:lineRule="auto"/>
      <w:ind w:left="79" w:hangingChars="80" w:hanging="79"/>
    </w:pPr>
    <w:rPr>
      <w:rFonts w:ascii="宋体" w:hAnsi="宋体"/>
    </w:rPr>
  </w:style>
  <w:style w:type="paragraph" w:customStyle="1" w:styleId="af9">
    <w:name w:val="标准文件_数字编号列项（二级）"/>
    <w:qFormat/>
    <w:pPr>
      <w:numPr>
        <w:ilvl w:val="1"/>
        <w:numId w:val="13"/>
      </w:numPr>
      <w:jc w:val="both"/>
    </w:pPr>
    <w:rPr>
      <w:rFonts w:ascii="宋体" w:hAnsi="Times New Roman"/>
      <w:sz w:val="21"/>
    </w:rPr>
  </w:style>
  <w:style w:type="paragraph" w:customStyle="1" w:styleId="ae">
    <w:name w:val="标准文件_英文注："/>
    <w:basedOn w:val="afff6"/>
    <w:next w:val="afffff1"/>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6"/>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6"/>
    <w:next w:val="afffff0"/>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qFormat/>
    <w:pPr>
      <w:numPr>
        <w:numId w:val="17"/>
      </w:numPr>
      <w:spacing w:beforeLines="50" w:before="50" w:afterLines="50" w:after="50"/>
      <w:jc w:val="center"/>
    </w:pPr>
    <w:rPr>
      <w:rFonts w:ascii="黑体" w:eastAsia="黑体" w:hAnsi="Times New Roman"/>
      <w:sz w:val="21"/>
    </w:rPr>
  </w:style>
  <w:style w:type="paragraph" w:customStyle="1" w:styleId="afff4">
    <w:name w:val="标准文件_正文英文表标题"/>
    <w:next w:val="afffff1"/>
    <w:qFormat/>
    <w:pPr>
      <w:numPr>
        <w:numId w:val="18"/>
      </w:numPr>
      <w:jc w:val="center"/>
    </w:pPr>
    <w:rPr>
      <w:rFonts w:ascii="黑体" w:eastAsia="黑体" w:hAnsi="Times New Roman"/>
      <w:sz w:val="21"/>
    </w:rPr>
  </w:style>
  <w:style w:type="paragraph" w:customStyle="1" w:styleId="afb">
    <w:name w:val="标准文件_正文英文图标题"/>
    <w:next w:val="afffff1"/>
    <w:qFormat/>
    <w:pPr>
      <w:numPr>
        <w:numId w:val="19"/>
      </w:numPr>
      <w:jc w:val="center"/>
    </w:pPr>
    <w:rPr>
      <w:rFonts w:ascii="黑体" w:eastAsia="黑体" w:hAnsi="Times New Roman"/>
      <w:sz w:val="21"/>
    </w:rPr>
  </w:style>
  <w:style w:type="paragraph" w:customStyle="1" w:styleId="afa">
    <w:name w:val="标准文件_编号列项（三级）"/>
    <w:qFormat/>
    <w:pPr>
      <w:numPr>
        <w:ilvl w:val="2"/>
        <w:numId w:val="13"/>
      </w:numPr>
    </w:pPr>
    <w:rPr>
      <w:rFonts w:ascii="宋体" w:hAnsi="Times New Roman"/>
      <w:sz w:val="21"/>
    </w:rPr>
  </w:style>
  <w:style w:type="paragraph" w:customStyle="1" w:styleId="a1">
    <w:name w:val="二级无标题条"/>
    <w:basedOn w:val="afff6"/>
    <w:qFormat/>
    <w:pPr>
      <w:numPr>
        <w:ilvl w:val="3"/>
        <w:numId w:val="20"/>
      </w:numPr>
      <w:adjustRightInd/>
      <w:spacing w:line="240" w:lineRule="auto"/>
    </w:pPr>
    <w:rPr>
      <w:rFonts w:ascii="宋体" w:hAnsi="宋体"/>
      <w:szCs w:val="24"/>
    </w:rPr>
  </w:style>
  <w:style w:type="paragraph" w:customStyle="1" w:styleId="affffffe">
    <w:name w:val="发布部门"/>
    <w:next w:val="afffff1"/>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0">
    <w:name w:val="封面标准代替信息"/>
    <w:basedOn w:val="afff6"/>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2">
    <w:name w:val="封面标准文稿编辑信息"/>
    <w:qFormat/>
    <w:pPr>
      <w:spacing w:before="180" w:line="180" w:lineRule="exact"/>
      <w:jc w:val="center"/>
    </w:pPr>
    <w:rPr>
      <w:rFonts w:ascii="宋体" w:hAnsi="Times New Roman"/>
      <w:sz w:val="21"/>
    </w:rPr>
  </w:style>
  <w:style w:type="paragraph" w:customStyle="1" w:styleId="afffffff3">
    <w:name w:val="封面标准文稿类别"/>
    <w:qFormat/>
    <w:pPr>
      <w:spacing w:before="440" w:line="400" w:lineRule="exact"/>
      <w:jc w:val="center"/>
    </w:pPr>
    <w:rPr>
      <w:rFonts w:ascii="宋体" w:hAnsi="Times New Roman"/>
      <w:sz w:val="24"/>
    </w:rPr>
  </w:style>
  <w:style w:type="paragraph" w:customStyle="1" w:styleId="afffffff4">
    <w:name w:val="封面标准英文名称"/>
    <w:qFormat/>
    <w:pPr>
      <w:widowControl w:val="0"/>
      <w:spacing w:line="360" w:lineRule="exact"/>
      <w:jc w:val="center"/>
    </w:pPr>
    <w:rPr>
      <w:rFonts w:ascii="Times New Roman" w:hAnsi="Times New Roman"/>
      <w:sz w:val="28"/>
    </w:rPr>
  </w:style>
  <w:style w:type="paragraph" w:customStyle="1" w:styleId="afffffff5">
    <w:name w:val="封面一致性程度标识"/>
    <w:qFormat/>
    <w:pPr>
      <w:spacing w:before="440" w:line="440" w:lineRule="exact"/>
      <w:jc w:val="center"/>
    </w:pPr>
    <w:rPr>
      <w:rFonts w:ascii="Times New Roman" w:hAnsi="Times New Roman"/>
      <w:sz w:val="28"/>
    </w:rPr>
  </w:style>
  <w:style w:type="paragraph" w:customStyle="1" w:styleId="afffffff6">
    <w:name w:val="封面正文"/>
    <w:qFormat/>
    <w:pPr>
      <w:jc w:val="both"/>
    </w:pPr>
    <w:rPr>
      <w:rFonts w:ascii="Times New Roman" w:hAnsi="Times New Roman"/>
    </w:rPr>
  </w:style>
  <w:style w:type="paragraph" w:customStyle="1" w:styleId="afffffff7">
    <w:name w:val="附录二级无标题条"/>
    <w:basedOn w:val="afff6"/>
    <w:next w:val="afffff1"/>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qFormat/>
    <w:pPr>
      <w:outlineLvl w:val="4"/>
    </w:pPr>
  </w:style>
  <w:style w:type="paragraph" w:customStyle="1" w:styleId="afffffff9">
    <w:name w:val="附录四级无标题条"/>
    <w:basedOn w:val="afffffff8"/>
    <w:next w:val="afffff1"/>
    <w:qFormat/>
    <w:pPr>
      <w:outlineLvl w:val="5"/>
    </w:pPr>
  </w:style>
  <w:style w:type="paragraph" w:customStyle="1" w:styleId="afffffffa">
    <w:name w:val="附录图"/>
    <w:next w:val="afffff1"/>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b">
    <w:name w:val="附录五级无标题条"/>
    <w:basedOn w:val="afffffff9"/>
    <w:next w:val="afffff1"/>
    <w:qFormat/>
    <w:pPr>
      <w:outlineLvl w:val="6"/>
    </w:pPr>
  </w:style>
  <w:style w:type="paragraph" w:customStyle="1" w:styleId="afffffffc">
    <w:name w:val="附录性质"/>
    <w:basedOn w:val="afff6"/>
    <w:qFormat/>
    <w:pPr>
      <w:widowControl/>
      <w:adjustRightInd/>
      <w:jc w:val="center"/>
    </w:pPr>
    <w:rPr>
      <w:rFonts w:ascii="黑体" w:eastAsia="黑体"/>
    </w:rPr>
  </w:style>
  <w:style w:type="paragraph" w:customStyle="1" w:styleId="afffffffd">
    <w:name w:val="附录一级无标题条"/>
    <w:basedOn w:val="affffff3"/>
    <w:next w:val="afffff1"/>
    <w:qFormat/>
    <w:pPr>
      <w:autoSpaceDN w:val="0"/>
      <w:outlineLvl w:val="2"/>
    </w:pPr>
    <w:rPr>
      <w:rFonts w:ascii="宋体" w:eastAsia="宋体" w:hAnsi="宋体"/>
    </w:rPr>
  </w:style>
  <w:style w:type="character" w:customStyle="1" w:styleId="afffffffe">
    <w:name w:val="个人答复风格"/>
    <w:qFormat/>
    <w:rPr>
      <w:rFonts w:ascii="Arial" w:eastAsia="宋体" w:hAnsi="Arial" w:cs="Arial"/>
      <w:color w:val="auto"/>
      <w:spacing w:val="0"/>
      <w:sz w:val="20"/>
    </w:rPr>
  </w:style>
  <w:style w:type="character" w:customStyle="1" w:styleId="affffffff">
    <w:name w:val="个人撰写风格"/>
    <w:qFormat/>
    <w:rPr>
      <w:rFonts w:ascii="Arial" w:eastAsia="宋体" w:hAnsi="Arial" w:cs="Arial"/>
      <w:color w:val="auto"/>
      <w:spacing w:val="0"/>
      <w:sz w:val="20"/>
    </w:rPr>
  </w:style>
  <w:style w:type="paragraph" w:customStyle="1" w:styleId="affffffff0">
    <w:name w:val="脚注后续"/>
    <w:qFormat/>
    <w:pPr>
      <w:ind w:leftChars="350" w:left="350"/>
      <w:jc w:val="both"/>
    </w:pPr>
    <w:rPr>
      <w:rFonts w:ascii="宋体" w:hAnsi="Times New Roman"/>
      <w:sz w:val="18"/>
    </w:rPr>
  </w:style>
  <w:style w:type="paragraph" w:customStyle="1" w:styleId="afff5">
    <w:name w:val="列项——"/>
    <w:qFormat/>
    <w:pPr>
      <w:widowControl w:val="0"/>
      <w:numPr>
        <w:numId w:val="22"/>
      </w:numPr>
      <w:jc w:val="both"/>
    </w:pPr>
    <w:rPr>
      <w:rFonts w:ascii="宋体" w:hAnsi="宋体"/>
      <w:sz w:val="21"/>
    </w:rPr>
  </w:style>
  <w:style w:type="paragraph" w:customStyle="1" w:styleId="affffffff1">
    <w:name w:val="列项·"/>
    <w:basedOn w:val="afffff1"/>
    <w:qFormat/>
    <w:pPr>
      <w:tabs>
        <w:tab w:val="left" w:pos="840"/>
      </w:tabs>
    </w:pPr>
  </w:style>
  <w:style w:type="paragraph" w:customStyle="1" w:styleId="affffffff2">
    <w:name w:val="目次、索引正文"/>
    <w:qFormat/>
    <w:pPr>
      <w:spacing w:line="320" w:lineRule="exact"/>
      <w:jc w:val="both"/>
    </w:pPr>
    <w:rPr>
      <w:rFonts w:ascii="宋体" w:hAnsi="Times New Roman"/>
      <w:sz w:val="21"/>
    </w:rPr>
  </w:style>
  <w:style w:type="paragraph" w:customStyle="1" w:styleId="210">
    <w:name w:val="目录 21"/>
    <w:basedOn w:val="afff6"/>
    <w:next w:val="afff6"/>
    <w:autoRedefine/>
    <w:semiHidden/>
    <w:qFormat/>
    <w:pPr>
      <w:adjustRightInd/>
      <w:spacing w:line="240" w:lineRule="auto"/>
      <w:jc w:val="left"/>
    </w:pPr>
    <w:rPr>
      <w:bCs/>
      <w:iCs/>
    </w:rPr>
  </w:style>
  <w:style w:type="paragraph" w:customStyle="1" w:styleId="31">
    <w:name w:val="目录 31"/>
    <w:basedOn w:val="afff6"/>
    <w:next w:val="afff6"/>
    <w:autoRedefine/>
    <w:semiHidden/>
    <w:qFormat/>
    <w:pPr>
      <w:spacing w:line="240" w:lineRule="auto"/>
    </w:pPr>
    <w:rPr>
      <w:rFonts w:ascii="宋体" w:hAnsi="宋体"/>
      <w:iCs/>
    </w:rPr>
  </w:style>
  <w:style w:type="paragraph" w:customStyle="1" w:styleId="41">
    <w:name w:val="目录 41"/>
    <w:basedOn w:val="afff6"/>
    <w:next w:val="afff6"/>
    <w:autoRedefine/>
    <w:semiHidden/>
    <w:qFormat/>
    <w:pPr>
      <w:adjustRightInd/>
      <w:spacing w:line="240" w:lineRule="auto"/>
      <w:jc w:val="left"/>
    </w:pPr>
  </w:style>
  <w:style w:type="paragraph" w:customStyle="1" w:styleId="51">
    <w:name w:val="目录 51"/>
    <w:basedOn w:val="afff6"/>
    <w:next w:val="afff6"/>
    <w:autoRedefine/>
    <w:semiHidden/>
    <w:qFormat/>
    <w:pPr>
      <w:spacing w:line="240" w:lineRule="auto"/>
    </w:pPr>
    <w:rPr>
      <w:rFonts w:ascii="宋体" w:hAnsi="宋体"/>
    </w:rPr>
  </w:style>
  <w:style w:type="paragraph" w:customStyle="1" w:styleId="61">
    <w:name w:val="目录 61"/>
    <w:basedOn w:val="afff6"/>
    <w:next w:val="afff6"/>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3">
    <w:name w:val="其他标准称谓"/>
    <w:qFormat/>
    <w:pPr>
      <w:spacing w:line="0" w:lineRule="atLeast"/>
      <w:jc w:val="distribute"/>
    </w:pPr>
    <w:rPr>
      <w:rFonts w:ascii="黑体" w:eastAsia="黑体" w:hAnsi="宋体"/>
      <w:sz w:val="52"/>
    </w:rPr>
  </w:style>
  <w:style w:type="paragraph" w:customStyle="1" w:styleId="affffffff4">
    <w:name w:val="其他发布部门"/>
    <w:basedOn w:val="affffffe"/>
    <w:qFormat/>
    <w:pPr>
      <w:framePr w:wrap="around"/>
      <w:spacing w:line="0" w:lineRule="atLeast"/>
    </w:pPr>
    <w:rPr>
      <w:rFonts w:ascii="黑体" w:eastAsia="黑体"/>
      <w:b w:val="0"/>
    </w:rPr>
  </w:style>
  <w:style w:type="paragraph" w:customStyle="1" w:styleId="affc">
    <w:name w:val="前言标题"/>
    <w:next w:val="afff6"/>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6"/>
    <w:qFormat/>
    <w:pPr>
      <w:numPr>
        <w:ilvl w:val="4"/>
        <w:numId w:val="20"/>
      </w:numPr>
      <w:adjustRightInd/>
      <w:spacing w:line="240" w:lineRule="auto"/>
    </w:pPr>
    <w:rPr>
      <w:rFonts w:ascii="宋体" w:hAnsi="宋体"/>
      <w:szCs w:val="24"/>
    </w:rPr>
  </w:style>
  <w:style w:type="paragraph" w:customStyle="1" w:styleId="affffffff5">
    <w:name w:val="实施日期"/>
    <w:basedOn w:val="afffffff"/>
    <w:qFormat/>
    <w:pPr>
      <w:framePr w:hSpace="0" w:wrap="around" w:xAlign="right"/>
      <w:jc w:val="right"/>
    </w:pPr>
  </w:style>
  <w:style w:type="paragraph" w:customStyle="1" w:styleId="a3">
    <w:name w:val="四级无标题条"/>
    <w:basedOn w:val="afff6"/>
    <w:qFormat/>
    <w:pPr>
      <w:numPr>
        <w:ilvl w:val="5"/>
        <w:numId w:val="20"/>
      </w:numPr>
      <w:adjustRightInd/>
      <w:spacing w:line="240" w:lineRule="auto"/>
    </w:pPr>
    <w:rPr>
      <w:rFonts w:ascii="宋体" w:hAnsi="宋体"/>
      <w:szCs w:val="24"/>
    </w:rPr>
  </w:style>
  <w:style w:type="paragraph" w:customStyle="1" w:styleId="affffffff6">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7">
    <w:name w:val="无标题条"/>
    <w:next w:val="afffff1"/>
    <w:autoRedefine/>
    <w:qFormat/>
    <w:pPr>
      <w:jc w:val="both"/>
    </w:pPr>
    <w:rPr>
      <w:rFonts w:ascii="宋体" w:hAnsi="宋体"/>
      <w:sz w:val="21"/>
    </w:rPr>
  </w:style>
  <w:style w:type="paragraph" w:customStyle="1" w:styleId="a4">
    <w:name w:val="五级无标题条"/>
    <w:basedOn w:val="afff6"/>
    <w:autoRedefine/>
    <w:qFormat/>
    <w:pPr>
      <w:numPr>
        <w:ilvl w:val="6"/>
        <w:numId w:val="20"/>
      </w:numPr>
      <w:adjustRightInd/>
    </w:pPr>
    <w:rPr>
      <w:szCs w:val="24"/>
    </w:rPr>
  </w:style>
  <w:style w:type="paragraph" w:customStyle="1" w:styleId="a0">
    <w:name w:val="一级无标题条"/>
    <w:basedOn w:val="afff6"/>
    <w:qFormat/>
    <w:pPr>
      <w:numPr>
        <w:ilvl w:val="2"/>
        <w:numId w:val="20"/>
      </w:numPr>
      <w:adjustRightInd/>
      <w:spacing w:before="10" w:after="10" w:line="240" w:lineRule="auto"/>
    </w:pPr>
    <w:rPr>
      <w:rFonts w:ascii="宋体" w:hAnsi="宋体"/>
      <w:szCs w:val="24"/>
    </w:rPr>
  </w:style>
  <w:style w:type="paragraph" w:customStyle="1" w:styleId="affffffff8">
    <w:name w:val="注:后续"/>
    <w:qFormat/>
    <w:pPr>
      <w:spacing w:line="300" w:lineRule="exact"/>
      <w:ind w:leftChars="400" w:left="600" w:hangingChars="200" w:hanging="200"/>
      <w:jc w:val="both"/>
    </w:pPr>
    <w:rPr>
      <w:rFonts w:ascii="宋体" w:hAnsi="Times New Roman"/>
      <w:sz w:val="18"/>
    </w:rPr>
  </w:style>
  <w:style w:type="paragraph" w:customStyle="1" w:styleId="affffffff9">
    <w:name w:val="注×:后续"/>
    <w:basedOn w:val="affffffff8"/>
    <w:qFormat/>
    <w:pPr>
      <w:ind w:leftChars="0" w:left="1406" w:firstLineChars="0" w:hanging="499"/>
    </w:pPr>
  </w:style>
  <w:style w:type="paragraph" w:customStyle="1" w:styleId="affffffffa">
    <w:name w:val="标准文件_一级无标题"/>
    <w:basedOn w:val="affe"/>
    <w:qFormat/>
    <w:pPr>
      <w:spacing w:beforeLines="0" w:before="0" w:afterLines="0" w:after="0"/>
      <w:outlineLvl w:val="9"/>
    </w:pPr>
    <w:rPr>
      <w:rFonts w:ascii="宋体" w:eastAsia="宋体"/>
    </w:rPr>
  </w:style>
  <w:style w:type="paragraph" w:customStyle="1" w:styleId="affffffffb">
    <w:name w:val="标准文件_五级无标题"/>
    <w:basedOn w:val="afff2"/>
    <w:qFormat/>
    <w:pPr>
      <w:spacing w:beforeLines="0" w:before="0" w:afterLines="0" w:after="0"/>
      <w:outlineLvl w:val="9"/>
    </w:pPr>
    <w:rPr>
      <w:rFonts w:ascii="宋体" w:eastAsia="宋体"/>
    </w:rPr>
  </w:style>
  <w:style w:type="paragraph" w:customStyle="1" w:styleId="affffffffc">
    <w:name w:val="标准文件_三级无标题"/>
    <w:basedOn w:val="afff0"/>
    <w:qFormat/>
    <w:pPr>
      <w:spacing w:beforeLines="0" w:before="0" w:afterLines="0" w:after="0"/>
      <w:outlineLvl w:val="9"/>
    </w:pPr>
    <w:rPr>
      <w:rFonts w:ascii="宋体" w:eastAsia="宋体"/>
    </w:rPr>
  </w:style>
  <w:style w:type="paragraph" w:customStyle="1" w:styleId="affffffffd">
    <w:name w:val="标准文件_二级无标题"/>
    <w:basedOn w:val="afff"/>
    <w:qFormat/>
    <w:pPr>
      <w:spacing w:beforeLines="0" w:before="0" w:afterLines="0" w:after="0"/>
      <w:outlineLvl w:val="9"/>
    </w:pPr>
    <w:rPr>
      <w:rFonts w:ascii="宋体" w:eastAsia="宋体"/>
    </w:rPr>
  </w:style>
  <w:style w:type="paragraph" w:customStyle="1" w:styleId="affffffffe">
    <w:name w:val="标准_四级无标题"/>
    <w:basedOn w:val="afff1"/>
    <w:next w:val="afffff1"/>
    <w:qFormat/>
    <w:rPr>
      <w:rFonts w:eastAsia="宋体"/>
    </w:rPr>
  </w:style>
  <w:style w:type="paragraph" w:customStyle="1" w:styleId="afffffffff">
    <w:name w:val="标准文件_四级无标题"/>
    <w:basedOn w:val="afff1"/>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qFormat/>
    <w:pPr>
      <w:numPr>
        <w:numId w:val="23"/>
      </w:numPr>
      <w:ind w:firstLineChars="0" w:firstLine="0"/>
    </w:pPr>
    <w:rPr>
      <w:rFonts w:ascii="Times New Roman" w:cs="Arial"/>
      <w:szCs w:val="28"/>
    </w:rPr>
  </w:style>
  <w:style w:type="paragraph" w:customStyle="1" w:styleId="ad">
    <w:name w:val="标准文件_小写罗马数字编号列项"/>
    <w:basedOn w:val="afffff1"/>
    <w:qFormat/>
    <w:pPr>
      <w:numPr>
        <w:numId w:val="24"/>
      </w:numPr>
      <w:ind w:firstLineChars="0" w:firstLine="0"/>
    </w:pPr>
    <w:rPr>
      <w:rFonts w:cs="Arial"/>
      <w:szCs w:val="28"/>
    </w:rPr>
  </w:style>
  <w:style w:type="paragraph" w:customStyle="1" w:styleId="afffffffff0">
    <w:name w:val="标准文件_附录标题"/>
    <w:basedOn w:val="aff3"/>
    <w:qFormat/>
    <w:pPr>
      <w:numPr>
        <w:numId w:val="0"/>
      </w:numPr>
      <w:spacing w:after="280"/>
      <w:outlineLvl w:val="9"/>
    </w:pPr>
  </w:style>
  <w:style w:type="paragraph" w:customStyle="1" w:styleId="afffffffff1">
    <w:name w:val="标准文件_二级项"/>
    <w:qFormat/>
    <w:rPr>
      <w:rFonts w:ascii="宋体" w:hAnsi="Times New Roman"/>
      <w:sz w:val="21"/>
    </w:rPr>
  </w:style>
  <w:style w:type="paragraph" w:customStyle="1" w:styleId="af3">
    <w:name w:val="标准文件_三级项"/>
    <w:basedOn w:val="afff6"/>
    <w:qFormat/>
    <w:pPr>
      <w:numPr>
        <w:ilvl w:val="2"/>
        <w:numId w:val="21"/>
      </w:numPr>
      <w:spacing w:line="-300" w:lineRule="auto"/>
    </w:pPr>
    <w:rPr>
      <w:rFonts w:ascii="Times New Roman" w:hAnsi="Times New Roman"/>
    </w:rPr>
  </w:style>
  <w:style w:type="paragraph" w:customStyle="1" w:styleId="affb">
    <w:name w:val="图表脚注说明"/>
    <w:basedOn w:val="afff6"/>
    <w:next w:val="afffff1"/>
    <w:qFormat/>
    <w:pPr>
      <w:numPr>
        <w:numId w:val="25"/>
      </w:numPr>
      <w:adjustRightInd/>
      <w:spacing w:line="240" w:lineRule="auto"/>
    </w:pPr>
    <w:rPr>
      <w:rFonts w:ascii="宋体" w:hAnsi="Times New Roman"/>
      <w:sz w:val="18"/>
      <w:szCs w:val="18"/>
    </w:rPr>
  </w:style>
  <w:style w:type="paragraph" w:customStyle="1" w:styleId="af8">
    <w:name w:val="标准文件_字母编号列项（一级）"/>
    <w:qFormat/>
    <w:pPr>
      <w:numPr>
        <w:numId w:val="13"/>
      </w:numPr>
      <w:jc w:val="both"/>
    </w:pPr>
    <w:rPr>
      <w:rFonts w:ascii="宋体" w:hAnsi="Times New Roman"/>
      <w:sz w:val="21"/>
    </w:rPr>
  </w:style>
  <w:style w:type="paragraph" w:customStyle="1" w:styleId="afffffffff2">
    <w:name w:val="标准文件_索引字母"/>
    <w:next w:val="afffff1"/>
    <w:qFormat/>
    <w:pPr>
      <w:jc w:val="center"/>
    </w:pPr>
    <w:rPr>
      <w:rFonts w:ascii="宋体" w:eastAsia="Times New Roman" w:hAnsi="宋体"/>
      <w:b/>
      <w:kern w:val="2"/>
      <w:sz w:val="21"/>
    </w:rPr>
  </w:style>
  <w:style w:type="paragraph" w:customStyle="1" w:styleId="afffffffff3">
    <w:name w:val="标准文件_附录前"/>
    <w:next w:val="afffff1"/>
    <w:qFormat/>
    <w:pPr>
      <w:spacing w:line="20" w:lineRule="atLeast"/>
      <w:ind w:firstLine="200"/>
    </w:pPr>
    <w:rPr>
      <w:rFonts w:ascii="宋体" w:hAnsi="宋体"/>
      <w:kern w:val="2"/>
      <w:sz w:val="10"/>
    </w:rPr>
  </w:style>
  <w:style w:type="paragraph" w:customStyle="1" w:styleId="afffffffff4">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5">
    <w:name w:val="标准文件_表格"/>
    <w:basedOn w:val="afffff1"/>
    <w:qFormat/>
    <w:pPr>
      <w:ind w:firstLineChars="0" w:firstLine="0"/>
      <w:jc w:val="center"/>
    </w:pPr>
    <w:rPr>
      <w:sz w:val="18"/>
    </w:rPr>
  </w:style>
  <w:style w:type="paragraph" w:customStyle="1" w:styleId="afff3">
    <w:name w:val="标准文件_注："/>
    <w:next w:val="afffff1"/>
    <w:qFormat/>
    <w:pPr>
      <w:widowControl w:val="0"/>
      <w:numPr>
        <w:numId w:val="26"/>
      </w:numPr>
      <w:autoSpaceDE w:val="0"/>
      <w:autoSpaceDN w:val="0"/>
      <w:jc w:val="both"/>
    </w:pPr>
    <w:rPr>
      <w:rFonts w:ascii="宋体" w:hAnsi="Times New Roman"/>
      <w:sz w:val="18"/>
      <w:szCs w:val="18"/>
    </w:rPr>
  </w:style>
  <w:style w:type="paragraph" w:customStyle="1" w:styleId="af1">
    <w:name w:val="标准文件_注×："/>
    <w:qFormat/>
    <w:pPr>
      <w:widowControl w:val="0"/>
      <w:numPr>
        <w:numId w:val="27"/>
      </w:numPr>
      <w:autoSpaceDE w:val="0"/>
      <w:autoSpaceDN w:val="0"/>
      <w:jc w:val="both"/>
    </w:pPr>
    <w:rPr>
      <w:rFonts w:ascii="宋体" w:hAnsi="Times New Roman"/>
      <w:sz w:val="18"/>
      <w:szCs w:val="18"/>
    </w:rPr>
  </w:style>
  <w:style w:type="paragraph" w:customStyle="1" w:styleId="ab">
    <w:name w:val="标准文件_示例："/>
    <w:next w:val="afffffffff6"/>
    <w:qFormat/>
    <w:pPr>
      <w:widowControl w:val="0"/>
      <w:numPr>
        <w:numId w:val="28"/>
      </w:numPr>
      <w:jc w:val="both"/>
    </w:pPr>
    <w:rPr>
      <w:rFonts w:ascii="宋体" w:hAnsi="Times New Roman"/>
      <w:sz w:val="18"/>
      <w:szCs w:val="18"/>
    </w:rPr>
  </w:style>
  <w:style w:type="paragraph" w:customStyle="1" w:styleId="afffffffff6">
    <w:name w:val="标准文件_示例内容"/>
    <w:basedOn w:val="afffff1"/>
    <w:qFormat/>
    <w:pPr>
      <w:ind w:firstLine="420"/>
    </w:pPr>
    <w:rPr>
      <w:sz w:val="18"/>
    </w:rPr>
  </w:style>
  <w:style w:type="paragraph" w:customStyle="1" w:styleId="af7">
    <w:name w:val="标准文件_示例×："/>
    <w:basedOn w:val="afff6"/>
    <w:next w:val="afffffffff6"/>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f1"/>
    <w:qFormat/>
    <w:rPr>
      <w:rFonts w:ascii="宋体" w:hAnsi="Times New Roman"/>
      <w:sz w:val="21"/>
    </w:rPr>
  </w:style>
  <w:style w:type="paragraph" w:customStyle="1" w:styleId="afffffffff7">
    <w:name w:val="标准文件_表格续"/>
    <w:basedOn w:val="afffff1"/>
    <w:next w:val="afffff1"/>
    <w:qFormat/>
    <w:pPr>
      <w:jc w:val="center"/>
    </w:pPr>
    <w:rPr>
      <w:rFonts w:ascii="黑体" w:eastAsia="黑体" w:hAnsi="黑体"/>
    </w:rPr>
  </w:style>
  <w:style w:type="character" w:styleId="afffffffff8">
    <w:name w:val="Placeholder Text"/>
    <w:basedOn w:val="afff7"/>
    <w:uiPriority w:val="99"/>
    <w:semiHidden/>
    <w:qFormat/>
    <w:rPr>
      <w:color w:val="808080"/>
    </w:rPr>
  </w:style>
  <w:style w:type="paragraph" w:customStyle="1" w:styleId="2">
    <w:name w:val="标准文件_二级项2"/>
    <w:basedOn w:val="afffff1"/>
    <w:qFormat/>
    <w:pPr>
      <w:numPr>
        <w:ilvl w:val="1"/>
        <w:numId w:val="21"/>
      </w:numPr>
      <w:ind w:firstLineChars="0" w:firstLine="0"/>
    </w:pPr>
  </w:style>
  <w:style w:type="paragraph" w:customStyle="1" w:styleId="21">
    <w:name w:val="标准文件_三级项2"/>
    <w:basedOn w:val="afffff1"/>
    <w:qFormat/>
    <w:pPr>
      <w:numPr>
        <w:numId w:val="30"/>
      </w:numPr>
      <w:spacing w:line="300" w:lineRule="exact"/>
      <w:ind w:firstLineChars="0"/>
    </w:pPr>
    <w:rPr>
      <w:rFonts w:ascii="Times New Roman"/>
    </w:rPr>
  </w:style>
  <w:style w:type="paragraph" w:customStyle="1" w:styleId="20">
    <w:name w:val="标准文件_一级项2"/>
    <w:basedOn w:val="afffff1"/>
    <w:qFormat/>
    <w:pPr>
      <w:numPr>
        <w:numId w:val="31"/>
      </w:numPr>
      <w:spacing w:line="300" w:lineRule="exact"/>
      <w:ind w:firstLineChars="0"/>
    </w:pPr>
    <w:rPr>
      <w:rFonts w:ascii="Times New Roman"/>
    </w:rPr>
  </w:style>
  <w:style w:type="paragraph" w:customStyle="1" w:styleId="afffffffff9">
    <w:name w:val="标准文件_提示"/>
    <w:basedOn w:val="afffff1"/>
    <w:next w:val="afffff1"/>
    <w:qFormat/>
    <w:pPr>
      <w:ind w:firstLine="420"/>
    </w:pPr>
    <w:rPr>
      <w:rFonts w:ascii="黑体" w:eastAsia="黑体"/>
    </w:rPr>
  </w:style>
  <w:style w:type="character" w:customStyle="1" w:styleId="afffffffffa">
    <w:name w:val="标准文件_来源"/>
    <w:basedOn w:val="afff7"/>
    <w:uiPriority w:val="1"/>
    <w:qFormat/>
    <w:rPr>
      <w:rFonts w:eastAsia="宋体"/>
      <w:sz w:val="21"/>
    </w:rPr>
  </w:style>
  <w:style w:type="paragraph" w:customStyle="1" w:styleId="afffffffffb">
    <w:name w:val="标准文件_图表说明"/>
    <w:qFormat/>
    <w:pPr>
      <w:spacing w:line="276" w:lineRule="auto"/>
      <w:ind w:firstLine="420"/>
    </w:pPr>
    <w:rPr>
      <w:rFonts w:ascii="宋体" w:hAnsi="宋体"/>
      <w:kern w:val="2"/>
      <w:sz w:val="18"/>
    </w:rPr>
  </w:style>
  <w:style w:type="paragraph" w:customStyle="1" w:styleId="afffffffffc">
    <w:name w:val="其他发布日期"/>
    <w:basedOn w:val="afffffff"/>
    <w:qFormat/>
    <w:pPr>
      <w:framePr w:w="3997" w:h="471" w:hRule="exact" w:hSpace="0" w:vSpace="181" w:wrap="around" w:vAnchor="page" w:hAnchor="page" w:x="1419" w:y="14097"/>
    </w:pPr>
  </w:style>
  <w:style w:type="paragraph" w:customStyle="1" w:styleId="afffffffffd">
    <w:name w:val="其他实施日期"/>
    <w:basedOn w:val="affffffff5"/>
    <w:qFormat/>
    <w:pPr>
      <w:framePr w:w="3997" w:h="471" w:hRule="exact" w:vSpace="181" w:wrap="around" w:vAnchor="page" w:hAnchor="page" w:x="7089" w:y="14097"/>
    </w:pPr>
  </w:style>
  <w:style w:type="paragraph" w:customStyle="1" w:styleId="afffffffffe">
    <w:name w:val="标准文件_文件编号"/>
    <w:basedOn w:val="afffff1"/>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qFormat/>
    <w:pPr>
      <w:framePr w:wrap="auto"/>
      <w:spacing w:before="57"/>
    </w:pPr>
    <w:rPr>
      <w:sz w:val="21"/>
    </w:rPr>
  </w:style>
  <w:style w:type="paragraph" w:customStyle="1" w:styleId="affffffffff0">
    <w:name w:val="标准文件_文件名称"/>
    <w:basedOn w:val="afffff1"/>
    <w:next w:val="afffff1"/>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5">
    <w:name w:val="标准文件_附录图标号"/>
    <w:basedOn w:val="afffff1"/>
    <w:next w:val="afffff1"/>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qFormat/>
    <w:pPr>
      <w:numPr>
        <w:numId w:val="5"/>
      </w:numPr>
      <w:spacing w:line="14" w:lineRule="exact"/>
      <w:ind w:firstLineChars="0" w:firstLine="0"/>
      <w:jc w:val="center"/>
    </w:pPr>
    <w:rPr>
      <w:rFonts w:eastAsia="黑体"/>
      <w:vanish/>
      <w:sz w:val="2"/>
    </w:rPr>
  </w:style>
  <w:style w:type="paragraph" w:customStyle="1" w:styleId="a6">
    <w:name w:val="标准文件_引言一级条标题"/>
    <w:basedOn w:val="afffff1"/>
    <w:next w:val="afffff1"/>
    <w:qFormat/>
    <w:pPr>
      <w:numPr>
        <w:ilvl w:val="1"/>
        <w:numId w:val="8"/>
      </w:numPr>
      <w:spacing w:beforeLines="50" w:before="50" w:afterLines="50" w:after="50"/>
      <w:ind w:firstLineChars="0"/>
    </w:pPr>
    <w:rPr>
      <w:rFonts w:ascii="黑体" w:eastAsia="黑体"/>
    </w:rPr>
  </w:style>
  <w:style w:type="paragraph" w:customStyle="1" w:styleId="a7">
    <w:name w:val="标准文件_引言二级条标题"/>
    <w:basedOn w:val="afffff1"/>
    <w:next w:val="afffff1"/>
    <w:qFormat/>
    <w:pPr>
      <w:numPr>
        <w:ilvl w:val="2"/>
        <w:numId w:val="8"/>
      </w:numPr>
      <w:spacing w:beforeLines="50" w:before="50" w:afterLines="50" w:after="50"/>
      <w:ind w:firstLineChars="0"/>
    </w:pPr>
    <w:rPr>
      <w:rFonts w:ascii="黑体" w:eastAsia="黑体"/>
    </w:rPr>
  </w:style>
  <w:style w:type="paragraph" w:customStyle="1" w:styleId="a8">
    <w:name w:val="标准文件_引言三级条标题"/>
    <w:basedOn w:val="afffff1"/>
    <w:next w:val="afffff1"/>
    <w:qFormat/>
    <w:pPr>
      <w:numPr>
        <w:ilvl w:val="3"/>
        <w:numId w:val="8"/>
      </w:numPr>
      <w:spacing w:beforeLines="50" w:before="50" w:afterLines="50" w:after="50"/>
      <w:ind w:firstLineChars="0"/>
    </w:pPr>
    <w:rPr>
      <w:rFonts w:ascii="黑体" w:eastAsia="黑体"/>
    </w:rPr>
  </w:style>
  <w:style w:type="paragraph" w:customStyle="1" w:styleId="a9">
    <w:name w:val="标准文件_引言四级条标题"/>
    <w:basedOn w:val="afffff1"/>
    <w:next w:val="afffff1"/>
    <w:qFormat/>
    <w:pPr>
      <w:numPr>
        <w:ilvl w:val="4"/>
        <w:numId w:val="8"/>
      </w:numPr>
      <w:spacing w:beforeLines="50" w:before="50" w:afterLines="50" w:after="50"/>
      <w:ind w:firstLineChars="0"/>
    </w:pPr>
    <w:rPr>
      <w:rFonts w:ascii="黑体" w:eastAsia="黑体"/>
    </w:rPr>
  </w:style>
  <w:style w:type="paragraph" w:customStyle="1" w:styleId="aa">
    <w:name w:val="标准文件_引言五级条标题"/>
    <w:basedOn w:val="afffff1"/>
    <w:next w:val="afffff1"/>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qFormat/>
    <w:pPr>
      <w:ind w:left="811" w:firstLineChars="0" w:firstLine="0"/>
    </w:pPr>
    <w:rPr>
      <w:sz w:val="18"/>
    </w:rPr>
  </w:style>
  <w:style w:type="paragraph" w:customStyle="1" w:styleId="X">
    <w:name w:val="标准文件_注X后"/>
    <w:basedOn w:val="afffff1"/>
    <w:qFormat/>
    <w:pPr>
      <w:ind w:left="811" w:firstLineChars="0" w:firstLine="0"/>
    </w:pPr>
    <w:rPr>
      <w:sz w:val="18"/>
    </w:rPr>
  </w:style>
  <w:style w:type="paragraph" w:customStyle="1" w:styleId="affffffffff2">
    <w:name w:val="标准文件_示例后"/>
    <w:basedOn w:val="afffff1"/>
    <w:qFormat/>
    <w:pPr>
      <w:ind w:left="964" w:firstLineChars="0" w:firstLine="0"/>
    </w:pPr>
    <w:rPr>
      <w:sz w:val="18"/>
    </w:rPr>
  </w:style>
  <w:style w:type="paragraph" w:customStyle="1" w:styleId="X0">
    <w:name w:val="标准文件_示例X后"/>
    <w:basedOn w:val="afffff1"/>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3">
    <w:name w:val="标准文件_索引项"/>
    <w:basedOn w:val="afffff1"/>
    <w:next w:val="afffff1"/>
    <w:qFormat/>
    <w:pPr>
      <w:tabs>
        <w:tab w:val="right" w:leader="dot" w:pos="9356"/>
      </w:tabs>
      <w:ind w:left="210" w:firstLineChars="0" w:hanging="210"/>
      <w:jc w:val="left"/>
    </w:pPr>
  </w:style>
  <w:style w:type="paragraph" w:customStyle="1" w:styleId="affffffffff4">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6"/>
    <w:next w:val="afffff1"/>
    <w:qFormat/>
    <w:pPr>
      <w:spacing w:beforeLines="0" w:before="0" w:afterLines="0" w:after="0" w:line="276" w:lineRule="auto"/>
    </w:pPr>
    <w:rPr>
      <w:rFonts w:ascii="宋体" w:eastAsia="宋体"/>
    </w:rPr>
  </w:style>
  <w:style w:type="paragraph" w:customStyle="1" w:styleId="affffffffffa">
    <w:name w:val="标准文件_引言二级无标题"/>
    <w:basedOn w:val="a7"/>
    <w:next w:val="afffff1"/>
    <w:qFormat/>
    <w:pPr>
      <w:spacing w:beforeLines="0" w:before="0" w:afterLines="0" w:after="0" w:line="276" w:lineRule="auto"/>
    </w:pPr>
    <w:rPr>
      <w:rFonts w:ascii="宋体" w:eastAsia="宋体"/>
    </w:rPr>
  </w:style>
  <w:style w:type="paragraph" w:customStyle="1" w:styleId="affffffffffb">
    <w:name w:val="标准文件_引言三级无标题"/>
    <w:basedOn w:val="a8"/>
    <w:qFormat/>
    <w:pPr>
      <w:spacing w:beforeLines="0" w:before="0" w:afterLines="0" w:after="0" w:line="276" w:lineRule="auto"/>
    </w:pPr>
    <w:rPr>
      <w:rFonts w:ascii="宋体" w:eastAsia="宋体"/>
    </w:rPr>
  </w:style>
  <w:style w:type="paragraph" w:customStyle="1" w:styleId="affffffffffc">
    <w:name w:val="标准文件_引言四级无标题"/>
    <w:basedOn w:val="a9"/>
    <w:next w:val="afffff1"/>
    <w:qFormat/>
    <w:pPr>
      <w:spacing w:beforeLines="0" w:before="0" w:afterLines="0" w:after="0" w:line="276" w:lineRule="auto"/>
    </w:pPr>
    <w:rPr>
      <w:rFonts w:ascii="宋体" w:eastAsia="宋体"/>
    </w:rPr>
  </w:style>
  <w:style w:type="paragraph" w:customStyle="1" w:styleId="affffffffffd">
    <w:name w:val="标准文件_引言五级无标题"/>
    <w:basedOn w:val="aa"/>
    <w:next w:val="afffff1"/>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qFormat/>
    <w:rPr>
      <w:rFonts w:hAnsi="黑体"/>
    </w:rPr>
  </w:style>
  <w:style w:type="paragraph" w:customStyle="1" w:styleId="afffffffffff">
    <w:name w:val="标准文件_脚注内容"/>
    <w:basedOn w:val="afffff1"/>
    <w:qFormat/>
    <w:pPr>
      <w:ind w:leftChars="200" w:left="400" w:hangingChars="200" w:hanging="200"/>
    </w:pPr>
    <w:rPr>
      <w:sz w:val="15"/>
    </w:rPr>
  </w:style>
  <w:style w:type="paragraph" w:customStyle="1" w:styleId="afffffffffff0">
    <w:name w:val="标准文件_术语条一"/>
    <w:basedOn w:val="affffffffa"/>
    <w:next w:val="afffff1"/>
    <w:qFormat/>
  </w:style>
  <w:style w:type="paragraph" w:customStyle="1" w:styleId="afffffffffff1">
    <w:name w:val="标准文件_术语条二"/>
    <w:basedOn w:val="affffffffd"/>
    <w:next w:val="afffff1"/>
    <w:qFormat/>
  </w:style>
  <w:style w:type="paragraph" w:customStyle="1" w:styleId="afffffffffff2">
    <w:name w:val="标准文件_术语条三"/>
    <w:basedOn w:val="affffffffc"/>
    <w:next w:val="afffff1"/>
    <w:qFormat/>
  </w:style>
  <w:style w:type="paragraph" w:customStyle="1" w:styleId="afffffffffff3">
    <w:name w:val="标准文件_术语条四"/>
    <w:basedOn w:val="afffffffff"/>
    <w:next w:val="afffff1"/>
    <w:qFormat/>
  </w:style>
  <w:style w:type="paragraph" w:customStyle="1" w:styleId="afffffffffff4">
    <w:name w:val="标准文件_术语条五"/>
    <w:basedOn w:val="affffffffb"/>
    <w:next w:val="afffff1"/>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5">
    <w:name w:val="发布"/>
    <w:basedOn w:val="afff7"/>
    <w:qFormat/>
    <w:rPr>
      <w:rFonts w:ascii="黑体" w:eastAsia="黑体"/>
      <w:spacing w:val="85"/>
      <w:w w:val="100"/>
      <w:position w:val="3"/>
      <w:sz w:val="28"/>
      <w:szCs w:val="28"/>
    </w:rPr>
  </w:style>
  <w:style w:type="paragraph" w:customStyle="1" w:styleId="afffffffffff6">
    <w:name w:val="段"/>
    <w:qFormat/>
    <w:pPr>
      <w:tabs>
        <w:tab w:val="center" w:pos="4201"/>
        <w:tab w:val="right" w:leader="dot" w:pos="9298"/>
      </w:tabs>
      <w:autoSpaceDE w:val="0"/>
      <w:autoSpaceDN w:val="0"/>
      <w:ind w:firstLineChars="200" w:firstLine="420"/>
      <w:jc w:val="both"/>
    </w:pPr>
    <w:rPr>
      <w:rFonts w:ascii="宋体" w:hAnsi="Times New Roman"/>
      <w:sz w:val="21"/>
    </w:rPr>
  </w:style>
  <w:style w:type="paragraph" w:customStyle="1" w:styleId="afffffffffff7">
    <w:name w:val="一级条标题"/>
    <w:next w:val="afffffffffff6"/>
    <w:qFormat/>
    <w:pPr>
      <w:numPr>
        <w:ilvl w:val="1"/>
      </w:numPr>
      <w:spacing w:beforeLines="50" w:before="50" w:afterLines="50" w:after="50"/>
      <w:outlineLvl w:val="2"/>
    </w:pPr>
    <w:rPr>
      <w:rFonts w:ascii="黑体" w:eastAsia="黑体" w:hAnsi="黑体"/>
      <w:sz w:val="21"/>
      <w:szCs w:val="21"/>
    </w:rPr>
  </w:style>
  <w:style w:type="paragraph" w:customStyle="1" w:styleId="abc">
    <w:name w:val="abc"/>
    <w:basedOn w:val="afff6"/>
    <w:qFormat/>
    <w:pPr>
      <w:numPr>
        <w:numId w:val="32"/>
      </w:numPr>
      <w:tabs>
        <w:tab w:val="left" w:pos="210"/>
        <w:tab w:val="left" w:pos="312"/>
      </w:tabs>
      <w:spacing w:line="360" w:lineRule="auto"/>
      <w:ind w:firstLineChars="200" w:firstLine="480"/>
    </w:pPr>
    <w:rPr>
      <w:rFonts w:ascii="宋体" w:hAnsi="宋体" w:cs="宋体" w:hint="eastAsia"/>
      <w:kern w:val="0"/>
    </w:rPr>
  </w:style>
  <w:style w:type="paragraph" w:customStyle="1" w:styleId="aff9">
    <w:name w:val="字母编号列项（一级）"/>
    <w:qFormat/>
    <w:pPr>
      <w:numPr>
        <w:numId w:val="33"/>
      </w:numPr>
      <w:jc w:val="both"/>
    </w:pPr>
    <w:rPr>
      <w:rFonts w:ascii="宋体" w:hAnsi="Times New Roman"/>
      <w:sz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fff6"/>
    <w:semiHidden/>
    <w:qFormat/>
    <w:rPr>
      <w:rFonts w:ascii="宋体" w:hAnsi="宋体" w:cs="宋体"/>
      <w:sz w:val="24"/>
      <w:szCs w:val="24"/>
      <w:lang w:eastAsia="en-US"/>
    </w:rPr>
  </w:style>
  <w:style w:type="character" w:customStyle="1" w:styleId="NormalCharacter">
    <w:name w:val="NormalCharacter"/>
    <w:semiHidden/>
    <w:qFormat/>
  </w:style>
  <w:style w:type="paragraph" w:customStyle="1" w:styleId="afffffffffff8">
    <w:name w:val="正文条款内容"/>
    <w:basedOn w:val="afff6"/>
    <w:link w:val="Char7"/>
    <w:qFormat/>
    <w:pPr>
      <w:spacing w:line="288" w:lineRule="auto"/>
      <w:ind w:left="28"/>
    </w:pPr>
    <w:rPr>
      <w:iCs/>
      <w:spacing w:val="-1"/>
      <w:szCs w:val="24"/>
    </w:rPr>
  </w:style>
  <w:style w:type="paragraph" w:customStyle="1" w:styleId="afffffffffff9">
    <w:name w:val="章标题"/>
    <w:next w:val="afffffffffff6"/>
    <w:qFormat/>
    <w:pPr>
      <w:spacing w:beforeLines="100" w:before="100" w:afterLines="100" w:after="100"/>
      <w:jc w:val="both"/>
      <w:outlineLvl w:val="1"/>
    </w:pPr>
    <w:rPr>
      <w:rFonts w:ascii="黑体" w:eastAsia="黑体" w:hAnsi="黑体"/>
      <w:sz w:val="21"/>
    </w:rPr>
  </w:style>
  <w:style w:type="paragraph" w:styleId="afffffffffffa">
    <w:name w:val="List Paragraph"/>
    <w:basedOn w:val="afff6"/>
    <w:uiPriority w:val="34"/>
    <w:qFormat/>
    <w:pPr>
      <w:ind w:firstLineChars="200" w:firstLine="420"/>
    </w:pPr>
    <w:rPr>
      <w:rFonts w:cs="Calibri"/>
    </w:rPr>
  </w:style>
  <w:style w:type="paragraph" w:customStyle="1" w:styleId="TableParagraph">
    <w:name w:val="Table Paragraph"/>
    <w:basedOn w:val="afff6"/>
    <w:uiPriority w:val="1"/>
    <w:qFormat/>
    <w:rPr>
      <w:rFonts w:ascii="宋体" w:hAnsi="宋体" w:cs="宋体"/>
      <w:lang w:eastAsia="en-US" w:bidi="en-US"/>
    </w:rPr>
  </w:style>
  <w:style w:type="character" w:customStyle="1" w:styleId="Char7">
    <w:name w:val="正文条款内容 Char"/>
    <w:link w:val="afffffffffff8"/>
    <w:qFormat/>
    <w:rPr>
      <w:rFonts w:cs="Times New Roman"/>
      <w:iCs/>
      <w:spacing w:val="-1"/>
      <w:szCs w:val="24"/>
    </w:rPr>
  </w:style>
  <w:style w:type="paragraph" w:customStyle="1" w:styleId="afffffffffffb">
    <w:name w:val="表格文本"/>
    <w:basedOn w:val="afff6"/>
    <w:qFormat/>
    <w:pPr>
      <w:topLinePunct/>
      <w:spacing w:beforeLines="40" w:before="40" w:afterLines="40" w:after="40" w:line="288" w:lineRule="auto"/>
    </w:pPr>
    <w:rPr>
      <w:rFonts w:cs="宋体" w:hint="eastAsia"/>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image" Target="media/image13.jpeg"/><Relationship Id="rId47" Type="http://schemas.openxmlformats.org/officeDocument/2006/relationships/image" Target="media/image18.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image" Target="media/image7.wmf"/><Relationship Id="rId37" Type="http://schemas.openxmlformats.org/officeDocument/2006/relationships/footer" Target="footer9.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jpeg"/><Relationship Id="rId79" Type="http://schemas.openxmlformats.org/officeDocument/2006/relationships/image" Target="media/image50.jpeg"/><Relationship Id="rId5" Type="http://schemas.microsoft.com/office/2007/relationships/stylesWithEffects" Target="stylesWithEffects.xml"/><Relationship Id="rId90" Type="http://schemas.openxmlformats.org/officeDocument/2006/relationships/image" Target="media/image61.png"/><Relationship Id="rId95"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image" Target="media/image2.jpeg"/><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image" Target="media/image35.jpeg"/><Relationship Id="rId69" Type="http://schemas.openxmlformats.org/officeDocument/2006/relationships/image" Target="media/image40.png"/><Relationship Id="rId8" Type="http://schemas.openxmlformats.org/officeDocument/2006/relationships/footnotes" Target="footnote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wmf"/><Relationship Id="rId38" Type="http://schemas.openxmlformats.org/officeDocument/2006/relationships/footer" Target="footer10.xml"/><Relationship Id="rId46" Type="http://schemas.openxmlformats.org/officeDocument/2006/relationships/image" Target="media/image17.jpe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header" Target="header6.xml"/><Relationship Id="rId41" Type="http://schemas.openxmlformats.org/officeDocument/2006/relationships/image" Target="media/image12.png"/><Relationship Id="rId54" Type="http://schemas.openxmlformats.org/officeDocument/2006/relationships/image" Target="media/image25.jpe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png"/><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3.jpeg"/><Relationship Id="rId36" Type="http://schemas.openxmlformats.org/officeDocument/2006/relationships/header" Target="header10.xml"/><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image" Target="media/image1.tiff"/><Relationship Id="rId31" Type="http://schemas.openxmlformats.org/officeDocument/2006/relationships/image" Target="media/image6.wmf"/><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10.png"/><Relationship Id="rId34" Type="http://schemas.openxmlformats.org/officeDocument/2006/relationships/image" Target="media/image9.wmf"/><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image" Target="media/image47.jpeg"/><Relationship Id="rId7" Type="http://schemas.openxmlformats.org/officeDocument/2006/relationships/webSettings" Target="webSetting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8.xml"/><Relationship Id="rId40" Type="http://schemas.openxmlformats.org/officeDocument/2006/relationships/image" Target="media/image11.png"/><Relationship Id="rId45" Type="http://schemas.openxmlformats.org/officeDocument/2006/relationships/image" Target="media/image16.jpeg"/><Relationship Id="rId66" Type="http://schemas.openxmlformats.org/officeDocument/2006/relationships/image" Target="media/image37.jpeg"/><Relationship Id="rId87" Type="http://schemas.openxmlformats.org/officeDocument/2006/relationships/image" Target="media/image58.png"/><Relationship Id="rId61" Type="http://schemas.openxmlformats.org/officeDocument/2006/relationships/image" Target="media/image32.jpeg"/><Relationship Id="rId82" Type="http://schemas.openxmlformats.org/officeDocument/2006/relationships/image" Target="media/image53.jpeg"/><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5.wmf"/><Relationship Id="rId35" Type="http://schemas.openxmlformats.org/officeDocument/2006/relationships/header" Target="header9.xml"/><Relationship Id="rId56" Type="http://schemas.openxmlformats.org/officeDocument/2006/relationships/image" Target="media/image27.png"/><Relationship Id="rId77"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stall%20file\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9255EA8535446A8698BCEB2DD58785"/>
        <w:category>
          <w:name w:val="常规"/>
          <w:gallery w:val="placeholder"/>
        </w:category>
        <w:types>
          <w:type w:val="bbPlcHdr"/>
        </w:types>
        <w:behaviors>
          <w:behavior w:val="content"/>
        </w:behaviors>
        <w:guid w:val="{16E02438-0576-4C29-8C55-007E4B9A5563}"/>
      </w:docPartPr>
      <w:docPartBody>
        <w:p w:rsidR="00AC2D14" w:rsidRDefault="002E05BA">
          <w:pPr>
            <w:pStyle w:val="E29255EA8535446A8698BCEB2DD58785"/>
          </w:pPr>
          <w:r>
            <w:rPr>
              <w:rStyle w:val="a3"/>
              <w:rFonts w:hint="eastAsia"/>
            </w:rPr>
            <w:t>单击或点击此处输入文字。</w:t>
          </w:r>
        </w:p>
      </w:docPartBody>
    </w:docPart>
    <w:docPart>
      <w:docPartPr>
        <w:name w:val="8AB26F249DB443D0B5D6F273C4C91EBD"/>
        <w:category>
          <w:name w:val="常规"/>
          <w:gallery w:val="placeholder"/>
        </w:category>
        <w:types>
          <w:type w:val="bbPlcHdr"/>
        </w:types>
        <w:behaviors>
          <w:behavior w:val="content"/>
        </w:behaviors>
        <w:guid w:val="{C4D205A4-7212-4061-9D44-761EE81BEDDE}"/>
      </w:docPartPr>
      <w:docPartBody>
        <w:p w:rsidR="00AC2D14" w:rsidRDefault="002E05BA">
          <w:pPr>
            <w:pStyle w:val="8AB26F249DB443D0B5D6F273C4C91EBD"/>
          </w:pPr>
          <w:r>
            <w:rPr>
              <w:rStyle w:val="a3"/>
              <w:rFonts w:hint="eastAsia"/>
            </w:rPr>
            <w:t>选择一项。</w:t>
          </w:r>
        </w:p>
      </w:docPartBody>
    </w:docPart>
    <w:docPart>
      <w:docPartPr>
        <w:name w:val="55B6A2045FF84569944B83F618A356CE"/>
        <w:category>
          <w:name w:val="常规"/>
          <w:gallery w:val="placeholder"/>
        </w:category>
        <w:types>
          <w:type w:val="bbPlcHdr"/>
        </w:types>
        <w:behaviors>
          <w:behavior w:val="content"/>
        </w:behaviors>
        <w:guid w:val="{F1C886F0-3E37-4EBF-9A39-567B3429D41A}"/>
      </w:docPartPr>
      <w:docPartBody>
        <w:p w:rsidR="00AC2D14" w:rsidRDefault="002E05BA">
          <w:pPr>
            <w:pStyle w:val="55B6A2045FF84569944B83F618A356CE"/>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C75"/>
    <w:rsid w:val="00135C75"/>
    <w:rsid w:val="00204DF9"/>
    <w:rsid w:val="002E05BA"/>
    <w:rsid w:val="00347EDD"/>
    <w:rsid w:val="006D4080"/>
    <w:rsid w:val="00AC2D14"/>
    <w:rsid w:val="00D43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29255EA8535446A8698BCEB2DD58785">
    <w:name w:val="E29255EA8535446A8698BCEB2DD58785"/>
    <w:qFormat/>
    <w:pPr>
      <w:widowControl w:val="0"/>
      <w:jc w:val="both"/>
    </w:pPr>
    <w:rPr>
      <w:kern w:val="2"/>
      <w:sz w:val="21"/>
      <w:szCs w:val="22"/>
    </w:rPr>
  </w:style>
  <w:style w:type="paragraph" w:customStyle="1" w:styleId="8AB26F249DB443D0B5D6F273C4C91EBD">
    <w:name w:val="8AB26F249DB443D0B5D6F273C4C91EBD"/>
    <w:qFormat/>
    <w:pPr>
      <w:widowControl w:val="0"/>
      <w:jc w:val="both"/>
    </w:pPr>
    <w:rPr>
      <w:kern w:val="2"/>
      <w:sz w:val="21"/>
      <w:szCs w:val="22"/>
    </w:rPr>
  </w:style>
  <w:style w:type="paragraph" w:customStyle="1" w:styleId="55B6A2045FF84569944B83F618A356CE">
    <w:name w:val="55B6A2045FF84569944B83F618A356CE"/>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29255EA8535446A8698BCEB2DD58785">
    <w:name w:val="E29255EA8535446A8698BCEB2DD58785"/>
    <w:qFormat/>
    <w:pPr>
      <w:widowControl w:val="0"/>
      <w:jc w:val="both"/>
    </w:pPr>
    <w:rPr>
      <w:kern w:val="2"/>
      <w:sz w:val="21"/>
      <w:szCs w:val="22"/>
    </w:rPr>
  </w:style>
  <w:style w:type="paragraph" w:customStyle="1" w:styleId="8AB26F249DB443D0B5D6F273C4C91EBD">
    <w:name w:val="8AB26F249DB443D0B5D6F273C4C91EBD"/>
    <w:qFormat/>
    <w:pPr>
      <w:widowControl w:val="0"/>
      <w:jc w:val="both"/>
    </w:pPr>
    <w:rPr>
      <w:kern w:val="2"/>
      <w:sz w:val="21"/>
      <w:szCs w:val="22"/>
    </w:rPr>
  </w:style>
  <w:style w:type="paragraph" w:customStyle="1" w:styleId="55B6A2045FF84569944B83F618A356CE">
    <w:name w:val="55B6A2045FF84569944B83F618A356C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7EDAE3-F136-4E17-B688-DF411A74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18</TotalTime>
  <Pages>49</Pages>
  <Words>4568</Words>
  <Characters>26044</Characters>
  <Application>Microsoft Office Word</Application>
  <DocSecurity>0</DocSecurity>
  <Lines>217</Lines>
  <Paragraphs>61</Paragraphs>
  <ScaleCrop>false</ScaleCrop>
  <Company>P R C</Company>
  <LinksUpToDate>false</LinksUpToDate>
  <CharactersWithSpaces>30551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洪昊平</dc:creator>
  <dc:description>&lt;config cover="true" show_menu="true" version="1.0.0" doctype="SDKXY"&gt;_x000d_
&lt;/config&gt;</dc:description>
  <cp:lastModifiedBy>Windows User</cp:lastModifiedBy>
  <cp:revision>12</cp:revision>
  <dcterms:created xsi:type="dcterms:W3CDTF">2025-12-04T08:00:00Z</dcterms:created>
  <dcterms:modified xsi:type="dcterms:W3CDTF">2026-01-29T02:24:00Z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ICV">
    <vt:lpwstr>EE591D8CEBE044438768EC639FA01382_13</vt:lpwstr>
  </property>
  <property fmtid="{D5CDD505-2E9C-101B-9397-08002B2CF9AE}" pid="15" name="KSOTemplateDocerSaveRecord">
    <vt:lpwstr>eyJoZGlkIjoiOTI2YjQyYjg4MjAxMTNjYzU3NzhmMDc2ODY5NDkwMzgiLCJ1c2VySWQiOiIyNzgzNDY4ODcifQ==</vt:lpwstr>
  </property>
  <property fmtid="{D5CDD505-2E9C-101B-9397-08002B2CF9AE}" pid="16" name="KSOProductBuildVer">
    <vt:lpwstr>2052-12.1.0.16120</vt:lpwstr>
  </property>
  <property fmtid="{D5CDD505-2E9C-101B-9397-08002B2CF9AE}" pid="17" name="DoublePage">
    <vt:lpwstr>true</vt:lpwstr>
  </property>
</Properties>
</file>