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90" w:name="_GoBack"/>
            <w:bookmarkEnd w:id="90"/>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hint="eastAsia" w:ascii="宋体" w:hAnsi="宋体"/>
                <w:sz w:val="28"/>
                <w:szCs w:val="28"/>
              </w:rPr>
            </w:pPr>
            <w:bookmarkStart w:id="1"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7"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rPr>
                <w:rFonts w:hint="eastAsia"/>
              </w:rPr>
              <w:t>11</w:t>
            </w:r>
            <w:r>
              <w:fldChar w:fldCharType="end"/>
            </w:r>
            <w:bookmarkEnd w:id="2"/>
          </w:p>
        </w:tc>
      </w:tr>
    </w:tbl>
    <w:p>
      <w:pPr>
        <w:pStyle w:val="54"/>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rFonts w:hint="eastAsia"/>
          <w:lang w:val="fr-CA"/>
        </w:rPr>
        <w:t>11</w:t>
      </w:r>
      <w:r>
        <w:rPr>
          <w:lang w:val="fr-FR"/>
        </w:rPr>
        <w:t>/T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pPr>
        <w:pStyle w:val="200"/>
        <w:rPr>
          <w:rFonts w:hint="eastAsia" w:hAnsi="黑体"/>
          <w:lang w:val="fr-FR"/>
        </w:rPr>
      </w:pPr>
      <w:r>
        <w:rPr>
          <w:rFonts w:hAnsi="黑体"/>
        </w:rPr>
        <w:fldChar w:fldCharType="begin">
          <w:ffData>
            <w:name w:val="OSTD_CODE"/>
            <w:enabled/>
            <w:calcOnExit w:val="0"/>
            <w:textInput/>
          </w:ffData>
        </w:fldChar>
      </w:r>
      <w:bookmarkStart w:id="7"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7"/>
    </w:p>
    <w:p>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hint="eastAsia" w:ascii="黑体" w:hAnsi="黑体" w:eastAsia="黑体"/>
          <w:b w:val="0"/>
          <w:bCs w:val="0"/>
          <w:w w:val="100"/>
          <w:lang w:val="fr-FR"/>
        </w:rPr>
      </w:pPr>
    </w:p>
    <w:p>
      <w:pPr>
        <w:pStyle w:val="201"/>
        <w:framePr w:h="6974" w:hRule="exact" w:wrap="around" w:x="1419" w:anchorLock="1"/>
        <w:rPr>
          <w:rFonts w:hint="eastAsia"/>
        </w:rPr>
      </w:pPr>
      <w:bookmarkStart w:id="8" w:name="OLE_LINK17"/>
      <w:r>
        <w:rPr>
          <w:rFonts w:hint="eastAsia"/>
        </w:rPr>
        <w:fldChar w:fldCharType="begin">
          <w:ffData>
            <w:name w:val="CSTD_NAME"/>
            <w:enabled/>
            <w:calcOnExit w:val="0"/>
            <w:textInput>
              <w:default w:val="考古工地施工现场安全管理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考古工地施工现场安全管理技术规范</w:t>
      </w:r>
      <w:r>
        <w:rPr>
          <w:rFonts w:hint="eastAsia"/>
        </w:rPr>
        <w:fldChar w:fldCharType="end"/>
      </w:r>
      <w:bookmarkEnd w:id="9"/>
    </w:p>
    <w:bookmarkEnd w:id="8"/>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fldChar w:fldCharType="begin">
          <w:ffData>
            <w:name w:val="ESTD_NAME"/>
            <w:enabled/>
            <w:calcOnExit w:val="0"/>
            <w:textInput>
              <w:default w:val="Technical specification for safety and security management at archaeological excavation sit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Technical specification for safety and security management at archaeological excavation sites</w:t>
      </w:r>
      <w:r>
        <w:rPr>
          <w:rFonts w:hint="eastAsia"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ddList>
              <w:listEntry w:val="（征求意见稿）"/>
              <w:listEntry w:val="（送审讨论稿）"/>
              <w:listEntry w:val="（送审稿）"/>
              <w:listEntry w:val="（报批稿）"/>
              <w:listEntry w:val="草案版次选择"/>
              <w:listEntry w:val="（工作组讨论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type w:val="date"/>
              <w:default w:val="12/2025"/>
            </w:textInput>
          </w:ffData>
        </w:fldChar>
      </w:r>
      <w:bookmarkStart w:id="12" w:name="CMPLSH_DATE"/>
      <w:r>
        <w:rPr>
          <w:sz w:val="21"/>
          <w:szCs w:val="28"/>
        </w:rPr>
        <w:instrText xml:space="preserve"> FORMTEXT </w:instrText>
      </w:r>
      <w:r>
        <w:rPr>
          <w:sz w:val="21"/>
          <w:szCs w:val="28"/>
        </w:rPr>
        <w:fldChar w:fldCharType="separate"/>
      </w:r>
      <w:r>
        <w:rPr>
          <w:sz w:val="21"/>
          <w:szCs w:val="28"/>
        </w:rPr>
        <w:t>12/2025</w:t>
      </w:r>
      <w:r>
        <w:rPr>
          <w:sz w:val="21"/>
          <w:szCs w:val="28"/>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29"/>
        <w:framePr w:w="9639" w:h="6974" w:hRule="exact" w:wrap="around" w:vAnchor="page" w:hAnchor="page" w:x="1419" w:y="6408" w:anchorLock="1"/>
        <w:spacing w:before="440" w:after="160"/>
        <w:textAlignment w:val="bottom"/>
        <w:rPr>
          <w:sz w:val="24"/>
          <w:szCs w:val="28"/>
        </w:rPr>
      </w:pPr>
    </w:p>
    <w:p>
      <w:pPr>
        <w:pStyle w:val="197"/>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y="15027"/>
        <w:rPr>
          <w:rFonts w:hint="eastAsia" w:hAnsi="黑体"/>
        </w:rPr>
      </w:pPr>
      <w:r>
        <w:rPr>
          <w:rFonts w:hint="eastAsia" w:ascii="Times New Roman"/>
          <w:w w:val="100"/>
          <w:sz w:val="28"/>
        </w:rPr>
        <w:t>北京市市场监督管理局</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5"/>
        <w:spacing w:after="468"/>
      </w:pPr>
      <w:bookmarkStart w:id="20" w:name="BookMark1"/>
      <w:bookmarkStart w:id="21" w:name="_Toc27430"/>
      <w:r>
        <w:rPr>
          <w:rFonts w:hint="eastAsia"/>
          <w:spacing w:val="320"/>
        </w:rPr>
        <w:t>目</w:t>
      </w:r>
      <w:r>
        <w:rPr>
          <w:rFonts w:hint="eastAsia"/>
        </w:rP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"_Toc218464134" </w:instrText>
      </w:r>
      <w:r>
        <w:fldChar w:fldCharType="separate"/>
      </w:r>
      <w:r>
        <w:rPr>
          <w:rStyle w:val="35"/>
          <w:rFonts w:hint="eastAsia"/>
        </w:rPr>
        <w:t>前言</w:t>
      </w:r>
      <w:r>
        <w:rPr>
          <w:rFonts w:hint="eastAsia"/>
        </w:rPr>
        <w:tab/>
      </w:r>
      <w:r>
        <w:rPr>
          <w:rFonts w:hint="eastAsia"/>
        </w:rPr>
        <w:fldChar w:fldCharType="begin"/>
      </w:r>
      <w:r>
        <w:rPr>
          <w:rFonts w:hint="eastAsia"/>
        </w:rPr>
        <w:instrText xml:space="preserve"> </w:instrText>
      </w:r>
      <w:r>
        <w:instrText xml:space="preserve">PAGEREF _Toc218464134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"_Toc218464135" </w:instrText>
      </w:r>
      <w:r>
        <w:fldChar w:fldCharType="separate"/>
      </w:r>
      <w:r>
        <w:rPr>
          <w:rStyle w:val="35"/>
          <w:rFonts w:hint="eastAsia"/>
        </w:rPr>
        <w:t>1</w:t>
      </w:r>
      <w:r>
        <w:rPr>
          <w:rStyle w:val="35"/>
        </w:rPr>
        <w:t xml:space="preserve"> </w:t>
      </w:r>
      <w:r>
        <w:rPr>
          <w:rStyle w:val="35"/>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_Toc218464135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"_Toc218464136" </w:instrText>
      </w:r>
      <w:r>
        <w:fldChar w:fldCharType="separate"/>
      </w:r>
      <w:r>
        <w:rPr>
          <w:rStyle w:val="35"/>
          <w:rFonts w:hint="eastAsia"/>
        </w:rPr>
        <w:t>2</w:t>
      </w:r>
      <w:r>
        <w:rPr>
          <w:rStyle w:val="35"/>
        </w:rPr>
        <w:t xml:space="preserve"> </w:t>
      </w:r>
      <w:r>
        <w:rPr>
          <w:rStyle w:val="35"/>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_Toc218464136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"_Toc218464137" </w:instrText>
      </w:r>
      <w:r>
        <w:fldChar w:fldCharType="separate"/>
      </w:r>
      <w:r>
        <w:rPr>
          <w:rStyle w:val="35"/>
          <w:rFonts w:hint="eastAsia"/>
        </w:rPr>
        <w:t>3</w:t>
      </w:r>
      <w:r>
        <w:rPr>
          <w:rStyle w:val="35"/>
        </w:rPr>
        <w:t xml:space="preserve"> </w:t>
      </w:r>
      <w:r>
        <w:rPr>
          <w:rStyle w:val="35"/>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_Toc218464137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"_Toc218464138" </w:instrText>
      </w:r>
      <w:r>
        <w:fldChar w:fldCharType="separate"/>
      </w:r>
      <w:r>
        <w:rPr>
          <w:rStyle w:val="35"/>
          <w:rFonts w:hint="eastAsia"/>
        </w:rPr>
        <w:t>4</w:t>
      </w:r>
      <w:r>
        <w:rPr>
          <w:rStyle w:val="35"/>
        </w:rPr>
        <w:t xml:space="preserve"> </w:t>
      </w:r>
      <w:r>
        <w:rPr>
          <w:rStyle w:val="35"/>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_Toc218464138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"_Toc218464139" </w:instrText>
      </w:r>
      <w:r>
        <w:fldChar w:fldCharType="separate"/>
      </w:r>
      <w:r>
        <w:rPr>
          <w:rStyle w:val="35"/>
          <w:rFonts w:hint="eastAsia"/>
        </w:rPr>
        <w:t>5</w:t>
      </w:r>
      <w:r>
        <w:rPr>
          <w:rStyle w:val="35"/>
        </w:rPr>
        <w:t xml:space="preserve"> </w:t>
      </w:r>
      <w:r>
        <w:rPr>
          <w:rStyle w:val="35"/>
          <w:rFonts w:hint="eastAsia"/>
        </w:rPr>
        <w:t xml:space="preserve"> 现场安全</w:t>
      </w:r>
      <w:r>
        <w:rPr>
          <w:rFonts w:hint="eastAsia"/>
        </w:rPr>
        <w:tab/>
      </w:r>
      <w:r>
        <w:rPr>
          <w:rFonts w:hint="eastAsia"/>
        </w:rPr>
        <w:fldChar w:fldCharType="begin"/>
      </w:r>
      <w:r>
        <w:rPr>
          <w:rFonts w:hint="eastAsia"/>
        </w:rPr>
        <w:instrText xml:space="preserve"> </w:instrText>
      </w:r>
      <w:r>
        <w:instrText xml:space="preserve">PAGEREF _Toc218464139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"_Toc218464140" </w:instrText>
      </w:r>
      <w:r>
        <w:fldChar w:fldCharType="separate"/>
      </w:r>
      <w:r>
        <w:rPr>
          <w:rStyle w:val="35"/>
          <w:rFonts w:hint="eastAsia"/>
        </w:rPr>
        <w:t>6</w:t>
      </w:r>
      <w:r>
        <w:rPr>
          <w:rStyle w:val="35"/>
        </w:rPr>
        <w:t xml:space="preserve"> </w:t>
      </w:r>
      <w:r>
        <w:rPr>
          <w:rStyle w:val="35"/>
          <w:rFonts w:hint="eastAsia"/>
        </w:rPr>
        <w:t xml:space="preserve"> 消防安全</w:t>
      </w:r>
      <w:r>
        <w:rPr>
          <w:rFonts w:hint="eastAsia"/>
        </w:rPr>
        <w:tab/>
      </w:r>
      <w:r>
        <w:rPr>
          <w:rFonts w:hint="eastAsia"/>
        </w:rPr>
        <w:fldChar w:fldCharType="begin"/>
      </w:r>
      <w:r>
        <w:rPr>
          <w:rFonts w:hint="eastAsia"/>
        </w:rPr>
        <w:instrText xml:space="preserve"> </w:instrText>
      </w:r>
      <w:r>
        <w:instrText xml:space="preserve">PAGEREF _Toc218464140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"_Toc218464141" </w:instrText>
      </w:r>
      <w:r>
        <w:fldChar w:fldCharType="separate"/>
      </w:r>
      <w:r>
        <w:rPr>
          <w:rStyle w:val="35"/>
          <w:rFonts w:hint="eastAsia"/>
        </w:rPr>
        <w:t>7</w:t>
      </w:r>
      <w:r>
        <w:rPr>
          <w:rStyle w:val="35"/>
        </w:rPr>
        <w:t xml:space="preserve"> </w:t>
      </w:r>
      <w:r>
        <w:rPr>
          <w:rStyle w:val="35"/>
          <w:rFonts w:hint="eastAsia"/>
        </w:rPr>
        <w:t xml:space="preserve"> 临时建筑及设施安全</w:t>
      </w:r>
      <w:r>
        <w:rPr>
          <w:rFonts w:hint="eastAsia"/>
        </w:rPr>
        <w:tab/>
      </w:r>
      <w:r>
        <w:rPr>
          <w:rFonts w:hint="eastAsia"/>
        </w:rPr>
        <w:fldChar w:fldCharType="begin"/>
      </w:r>
      <w:r>
        <w:rPr>
          <w:rFonts w:hint="eastAsia"/>
        </w:rPr>
        <w:instrText xml:space="preserve"> </w:instrText>
      </w:r>
      <w:r>
        <w:instrText xml:space="preserve">PAGEREF _Toc218464141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"_Toc218464142" </w:instrText>
      </w:r>
      <w:r>
        <w:fldChar w:fldCharType="separate"/>
      </w:r>
      <w:r>
        <w:rPr>
          <w:rStyle w:val="35"/>
          <w:rFonts w:hint="eastAsia"/>
        </w:rPr>
        <w:t>8</w:t>
      </w:r>
      <w:r>
        <w:rPr>
          <w:rStyle w:val="35"/>
        </w:rPr>
        <w:t xml:space="preserve"> </w:t>
      </w:r>
      <w:r>
        <w:rPr>
          <w:rStyle w:val="35"/>
          <w:rFonts w:hint="eastAsia"/>
        </w:rPr>
        <w:t xml:space="preserve"> 治安防控</w:t>
      </w:r>
      <w:r>
        <w:rPr>
          <w:rFonts w:hint="eastAsia"/>
        </w:rPr>
        <w:tab/>
      </w:r>
      <w:r>
        <w:rPr>
          <w:rFonts w:hint="eastAsia"/>
        </w:rPr>
        <w:fldChar w:fldCharType="begin"/>
      </w:r>
      <w:r>
        <w:rPr>
          <w:rFonts w:hint="eastAsia"/>
        </w:rPr>
        <w:instrText xml:space="preserve"> </w:instrText>
      </w:r>
      <w:r>
        <w:instrText xml:space="preserve">PAGEREF _Toc218464142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"_Toc218464143" </w:instrText>
      </w:r>
      <w:r>
        <w:fldChar w:fldCharType="separate"/>
      </w:r>
      <w:r>
        <w:rPr>
          <w:rStyle w:val="35"/>
          <w:rFonts w:hint="eastAsia"/>
          <w14:scene3d>
            <w14:lightRig w14:rig="threePt" w14:dir="t">
              <w14:rot w14:lat="0" w14:lon="0" w14:rev="0"/>
            </w14:lightRig>
          </w14:scene3d>
        </w:rPr>
        <w:t>8.1</w:t>
      </w:r>
      <w:r>
        <w:rPr>
          <w:rStyle w:val="35"/>
          <w14:scene3d>
            <w14:lightRig w14:rig="threePt" w14:dir="t">
              <w14:rot w14:lat="0" w14:lon="0" w14:rev="0"/>
            </w14:lightRig>
          </w14:scene3d>
        </w:rPr>
        <w:t xml:space="preserve"> </w:t>
      </w:r>
      <w:r>
        <w:rPr>
          <w:rStyle w:val="35"/>
          <w:rFonts w:hint="eastAsia"/>
        </w:rPr>
        <w:t xml:space="preserve"> 防护区域和防护要求</w:t>
      </w:r>
      <w:r>
        <w:rPr>
          <w:rFonts w:hint="eastAsia"/>
        </w:rPr>
        <w:tab/>
      </w:r>
      <w:r>
        <w:rPr>
          <w:rFonts w:hint="eastAsia"/>
        </w:rPr>
        <w:fldChar w:fldCharType="begin"/>
      </w:r>
      <w:r>
        <w:rPr>
          <w:rFonts w:hint="eastAsia"/>
        </w:rPr>
        <w:instrText xml:space="preserve"> </w:instrText>
      </w:r>
      <w:r>
        <w:instrText xml:space="preserve">PAGEREF _Toc218464143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"_Toc218464144" </w:instrText>
      </w:r>
      <w:r>
        <w:fldChar w:fldCharType="separate"/>
      </w:r>
      <w:r>
        <w:rPr>
          <w:rStyle w:val="35"/>
          <w:rFonts w:hint="eastAsia"/>
          <w14:scene3d>
            <w14:lightRig w14:rig="threePt" w14:dir="t">
              <w14:rot w14:lat="0" w14:lon="0" w14:rev="0"/>
            </w14:lightRig>
          </w14:scene3d>
        </w:rPr>
        <w:t>8.2</w:t>
      </w:r>
      <w:r>
        <w:rPr>
          <w:rStyle w:val="35"/>
          <w14:scene3d>
            <w14:lightRig w14:rig="threePt" w14:dir="t">
              <w14:rot w14:lat="0" w14:lon="0" w14:rev="0"/>
            </w14:lightRig>
          </w14:scene3d>
        </w:rPr>
        <w:t xml:space="preserve"> </w:t>
      </w:r>
      <w:r>
        <w:rPr>
          <w:rStyle w:val="35"/>
          <w:rFonts w:hint="eastAsia"/>
        </w:rPr>
        <w:t xml:space="preserve"> 人力安全防范</w:t>
      </w:r>
      <w:r>
        <w:rPr>
          <w:rFonts w:hint="eastAsia"/>
        </w:rPr>
        <w:tab/>
      </w:r>
      <w:r>
        <w:rPr>
          <w:rFonts w:hint="eastAsia"/>
        </w:rPr>
        <w:fldChar w:fldCharType="begin"/>
      </w:r>
      <w:r>
        <w:rPr>
          <w:rFonts w:hint="eastAsia"/>
        </w:rPr>
        <w:instrText xml:space="preserve"> </w:instrText>
      </w:r>
      <w:r>
        <w:instrText xml:space="preserve">PAGEREF _Toc218464144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"_Toc218464145" </w:instrText>
      </w:r>
      <w:r>
        <w:fldChar w:fldCharType="separate"/>
      </w:r>
      <w:r>
        <w:rPr>
          <w:rStyle w:val="35"/>
          <w:rFonts w:hint="eastAsia"/>
          <w14:scene3d>
            <w14:lightRig w14:rig="threePt" w14:dir="t">
              <w14:rot w14:lat="0" w14:lon="0" w14:rev="0"/>
            </w14:lightRig>
          </w14:scene3d>
        </w:rPr>
        <w:t>8.3</w:t>
      </w:r>
      <w:r>
        <w:rPr>
          <w:rStyle w:val="35"/>
          <w14:scene3d>
            <w14:lightRig w14:rig="threePt" w14:dir="t">
              <w14:rot w14:lat="0" w14:lon="0" w14:rev="0"/>
            </w14:lightRig>
          </w14:scene3d>
        </w:rPr>
        <w:t xml:space="preserve"> </w:t>
      </w:r>
      <w:r>
        <w:rPr>
          <w:rStyle w:val="35"/>
          <w:rFonts w:hint="eastAsia"/>
        </w:rPr>
        <w:t xml:space="preserve"> 实体安全防范</w:t>
      </w:r>
      <w:r>
        <w:rPr>
          <w:rFonts w:hint="eastAsia"/>
        </w:rPr>
        <w:tab/>
      </w:r>
      <w:r>
        <w:rPr>
          <w:rFonts w:hint="eastAsia"/>
        </w:rPr>
        <w:fldChar w:fldCharType="begin"/>
      </w:r>
      <w:r>
        <w:rPr>
          <w:rFonts w:hint="eastAsia"/>
        </w:rPr>
        <w:instrText xml:space="preserve"> </w:instrText>
      </w:r>
      <w:r>
        <w:instrText xml:space="preserve">PAGEREF _Toc218464145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"_Toc218464146" </w:instrText>
      </w:r>
      <w:r>
        <w:fldChar w:fldCharType="separate"/>
      </w:r>
      <w:r>
        <w:rPr>
          <w:rStyle w:val="35"/>
          <w:rFonts w:hint="eastAsia"/>
          <w14:scene3d>
            <w14:lightRig w14:rig="threePt" w14:dir="t">
              <w14:rot w14:lat="0" w14:lon="0" w14:rev="0"/>
            </w14:lightRig>
          </w14:scene3d>
        </w:rPr>
        <w:t>8.4</w:t>
      </w:r>
      <w:r>
        <w:rPr>
          <w:rStyle w:val="35"/>
          <w14:scene3d>
            <w14:lightRig w14:rig="threePt" w14:dir="t">
              <w14:rot w14:lat="0" w14:lon="0" w14:rev="0"/>
            </w14:lightRig>
          </w14:scene3d>
        </w:rPr>
        <w:t xml:space="preserve"> </w:t>
      </w:r>
      <w:r>
        <w:rPr>
          <w:rStyle w:val="35"/>
          <w:rFonts w:hint="eastAsia"/>
        </w:rPr>
        <w:t xml:space="preserve"> 技术安全防范</w:t>
      </w:r>
      <w:r>
        <w:rPr>
          <w:rFonts w:hint="eastAsia"/>
        </w:rPr>
        <w:tab/>
      </w:r>
      <w:r>
        <w:rPr>
          <w:rFonts w:hint="eastAsia"/>
        </w:rPr>
        <w:fldChar w:fldCharType="begin"/>
      </w:r>
      <w:r>
        <w:rPr>
          <w:rFonts w:hint="eastAsia"/>
        </w:rPr>
        <w:instrText xml:space="preserve"> </w:instrText>
      </w:r>
      <w:r>
        <w:instrText xml:space="preserve">PAGEREF _Toc218464146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"_Toc218464147" </w:instrText>
      </w:r>
      <w:r>
        <w:fldChar w:fldCharType="separate"/>
      </w:r>
      <w:r>
        <w:rPr>
          <w:rStyle w:val="35"/>
          <w:rFonts w:hint="eastAsia"/>
        </w:rPr>
        <w:t>参考文献</w:t>
      </w:r>
      <w:r>
        <w:rPr>
          <w:rFonts w:hint="eastAsia"/>
        </w:rPr>
        <w:tab/>
      </w:r>
      <w:r>
        <w:rPr>
          <w:rFonts w:hint="eastAsia"/>
        </w:rPr>
        <w:fldChar w:fldCharType="begin"/>
      </w:r>
      <w:r>
        <w:rPr>
          <w:rFonts w:hint="eastAsia"/>
        </w:rPr>
        <w:instrText xml:space="preserve"> </w:instrText>
      </w:r>
      <w:r>
        <w:instrText xml:space="preserve">PAGEREF _Toc218464147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95"/>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pPr>
        <w:pStyle w:val="93"/>
        <w:spacing w:before="900" w:after="468"/>
      </w:pPr>
      <w:bookmarkStart w:id="22" w:name="_Toc218464134"/>
      <w:bookmarkStart w:id="23" w:name="BookMark2"/>
      <w:r>
        <w:rPr>
          <w:rFonts w:hint="eastAsia"/>
          <w:spacing w:val="320"/>
        </w:rPr>
        <w:t>前</w:t>
      </w:r>
      <w:r>
        <w:rPr>
          <w:rFonts w:hint="eastAsia"/>
        </w:rPr>
        <w:t>言</w:t>
      </w:r>
      <w:bookmarkEnd w:id="21"/>
      <w:bookmarkEnd w:id="22"/>
    </w:p>
    <w:p>
      <w:pPr>
        <w:pStyle w:val="239"/>
      </w:pPr>
      <w:r>
        <w:rPr>
          <w:rFonts w:hint="eastAsia"/>
        </w:rPr>
        <w:t>本文件按照GB/T 1.1—2020《标准化工作导则 第1部分：标准化文件的结构和起草规则》的规定起草。</w:t>
      </w:r>
    </w:p>
    <w:p>
      <w:pPr>
        <w:pStyle w:val="239"/>
      </w:pPr>
      <w:r>
        <w:rPr>
          <w:rFonts w:hint="eastAsia"/>
        </w:rPr>
        <w:t>本文件由北京市文物局提出并归口。</w:t>
      </w:r>
    </w:p>
    <w:p>
      <w:pPr>
        <w:pStyle w:val="239"/>
      </w:pPr>
      <w:r>
        <w:rPr>
          <w:rFonts w:hint="eastAsia"/>
        </w:rPr>
        <w:t>本文件由北京市文物局组织实施。</w:t>
      </w:r>
    </w:p>
    <w:p>
      <w:pPr>
        <w:pStyle w:val="239"/>
      </w:pPr>
      <w:r>
        <w:rPr>
          <w:rFonts w:hint="eastAsia"/>
        </w:rPr>
        <w:t>本文件起草单位：北京市考古研究院（北京市文化遗产研究院）、北京市科学技术研究院城市安全与环境科学研究所。</w:t>
      </w:r>
    </w:p>
    <w:p>
      <w:pPr>
        <w:pStyle w:val="239"/>
      </w:pPr>
      <w:r>
        <w:rPr>
          <w:rFonts w:hint="eastAsia"/>
        </w:rPr>
        <w:t>本文件主要起草人：</w:t>
      </w:r>
    </w:p>
    <w:p>
      <w:pPr>
        <w:widowControl/>
        <w:adjustRightInd/>
        <w:spacing w:line="240" w:lineRule="auto"/>
        <w:jc w:val="left"/>
        <w:rPr>
          <w:rFonts w:ascii="宋体" w:hAnsi="Times New Roman"/>
          <w:kern w:val="0"/>
          <w:szCs w:val="20"/>
        </w:rPr>
      </w:pPr>
      <w:r>
        <w:br w:type="page"/>
      </w:r>
    </w:p>
    <w:p>
      <w:pPr>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hint="eastAsia" w:ascii="黑体" w:hAnsi="黑体" w:eastAsia="黑体"/>
          <w:sz w:val="32"/>
          <w:szCs w:val="32"/>
        </w:rPr>
      </w:pPr>
      <w:bookmarkStart w:id="2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0D2E75202C8A4496850C6776890D528E"/>
        </w:placeholder>
      </w:sdtPr>
      <w:sdtContent>
        <w:p>
          <w:pPr>
            <w:pStyle w:val="181"/>
            <w:spacing w:before="312" w:beforeLines="100" w:after="686" w:afterLines="220"/>
            <w:rPr>
              <w:rFonts w:hint="eastAsia"/>
            </w:rPr>
          </w:pPr>
          <w:bookmarkStart w:id="25" w:name="NEW_STAND_NAME"/>
          <w:r>
            <w:rPr>
              <w:rFonts w:hint="eastAsia"/>
            </w:rPr>
            <w:t>考古工地施工现场安全管理技术规范</w:t>
          </w:r>
        </w:p>
      </w:sdtContent>
    </w:sdt>
    <w:bookmarkEnd w:id="25"/>
    <w:p>
      <w:pPr>
        <w:pStyle w:val="108"/>
        <w:spacing w:before="312" w:after="312"/>
      </w:pPr>
      <w:bookmarkStart w:id="26" w:name="_Toc26718930"/>
      <w:bookmarkStart w:id="27" w:name="_Toc97191423"/>
      <w:bookmarkStart w:id="28" w:name="_Toc17233333"/>
      <w:bookmarkStart w:id="29" w:name="_Toc26986530"/>
      <w:bookmarkStart w:id="30" w:name="_Toc179723613"/>
      <w:bookmarkStart w:id="31" w:name="_Toc24884211"/>
      <w:bookmarkStart w:id="32" w:name="_Toc26648465"/>
      <w:bookmarkStart w:id="33" w:name="_Toc26986771"/>
      <w:bookmarkStart w:id="34" w:name="_Toc15822"/>
      <w:bookmarkStart w:id="35" w:name="_Toc17233325"/>
      <w:bookmarkStart w:id="36" w:name="_Toc24884218"/>
      <w:bookmarkStart w:id="37" w:name="_Toc21846413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pPr>
        <w:pStyle w:val="13"/>
        <w:spacing w:line="240" w:lineRule="auto"/>
        <w:ind w:firstLine="420" w:firstLineChars="200"/>
      </w:pPr>
      <w:bookmarkStart w:id="38" w:name="OLE_LINK4"/>
      <w:bookmarkStart w:id="39" w:name="_Toc24884219"/>
      <w:bookmarkStart w:id="40" w:name="_Toc26648466"/>
      <w:bookmarkStart w:id="41" w:name="_Toc17233326"/>
      <w:bookmarkStart w:id="42" w:name="_Toc24884212"/>
      <w:bookmarkStart w:id="43" w:name="_Toc17233334"/>
      <w:r>
        <w:t>本文件规定了考古</w:t>
      </w:r>
      <w:r>
        <w:rPr>
          <w:rFonts w:hint="eastAsia"/>
        </w:rPr>
        <w:t>工地的</w:t>
      </w:r>
      <w:r>
        <w:t>基本要求，以及现场安全、消防安全、临时建筑及设施安全和治安防控等方面的</w:t>
      </w:r>
      <w:r>
        <w:rPr>
          <w:rFonts w:hint="eastAsia"/>
        </w:rPr>
        <w:t>技术</w:t>
      </w:r>
      <w:r>
        <w:t>要求。</w:t>
      </w:r>
    </w:p>
    <w:bookmarkEnd w:id="38"/>
    <w:p>
      <w:pPr>
        <w:pStyle w:val="13"/>
        <w:spacing w:line="240" w:lineRule="auto"/>
        <w:ind w:firstLine="420" w:firstLineChars="200"/>
      </w:pPr>
      <w:bookmarkStart w:id="44" w:name="OLE_LINK7"/>
      <w:r>
        <w:t>本文件适用于</w:t>
      </w:r>
      <w:r>
        <w:rPr>
          <w:rFonts w:hint="eastAsia"/>
        </w:rPr>
        <w:t>考古工地</w:t>
      </w:r>
      <w:r>
        <w:t>安全管理</w:t>
      </w:r>
      <w:r>
        <w:rPr>
          <w:rFonts w:hint="eastAsia"/>
        </w:rPr>
        <w:t>的技术要求</w:t>
      </w:r>
      <w:r>
        <w:t>。</w:t>
      </w:r>
    </w:p>
    <w:bookmarkEnd w:id="44"/>
    <w:p>
      <w:pPr>
        <w:pStyle w:val="108"/>
        <w:spacing w:before="312" w:after="312"/>
      </w:pPr>
      <w:bookmarkStart w:id="45" w:name="_Toc26718931"/>
      <w:bookmarkStart w:id="46" w:name="_Toc26986772"/>
      <w:bookmarkStart w:id="47" w:name="_Toc17817"/>
      <w:bookmarkStart w:id="48" w:name="_Toc179723614"/>
      <w:bookmarkStart w:id="49" w:name="_Toc97191424"/>
      <w:bookmarkStart w:id="50" w:name="_Toc26986531"/>
      <w:bookmarkStart w:id="51" w:name="_Toc218464136"/>
      <w:r>
        <w:rPr>
          <w:rFonts w:hint="eastAsia"/>
        </w:rPr>
        <w:t>规范性引用文件</w:t>
      </w:r>
      <w:bookmarkEnd w:id="39"/>
      <w:bookmarkEnd w:id="40"/>
      <w:bookmarkEnd w:id="41"/>
      <w:bookmarkEnd w:id="42"/>
      <w:bookmarkEnd w:id="43"/>
      <w:bookmarkEnd w:id="45"/>
      <w:bookmarkEnd w:id="46"/>
      <w:bookmarkEnd w:id="47"/>
      <w:bookmarkEnd w:id="48"/>
      <w:bookmarkEnd w:id="49"/>
      <w:bookmarkEnd w:id="50"/>
      <w:bookmarkEnd w:id="51"/>
    </w:p>
    <w:sdt>
      <w:sdtPr>
        <w:rPr>
          <w:rFonts w:hint="eastAsia"/>
        </w:rPr>
        <w:id w:val="715848253"/>
        <w:placeholder>
          <w:docPart w:val="99C71B6E4A7A43F7B91E708091CB1D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pPr>
      <w:r>
        <w:rPr>
          <w:rFonts w:hint="eastAsia"/>
        </w:rPr>
        <w:t>GB 2894  安全色和安全标志</w:t>
      </w:r>
    </w:p>
    <w:p>
      <w:pPr>
        <w:pStyle w:val="60"/>
        <w:ind w:firstLine="420"/>
      </w:pPr>
      <w:r>
        <w:rPr>
          <w:rFonts w:hint="eastAsia"/>
        </w:rPr>
        <w:t>GB 13495.1  消防安全标志 第1部分：标志</w:t>
      </w:r>
    </w:p>
    <w:p>
      <w:pPr>
        <w:pStyle w:val="60"/>
        <w:ind w:firstLine="420"/>
      </w:pPr>
      <w:r>
        <w:rPr>
          <w:rFonts w:hint="eastAsia"/>
        </w:rPr>
        <w:t>GB/T 16571  博物馆和文物保护单位安全防范系统要求</w:t>
      </w:r>
    </w:p>
    <w:p>
      <w:pPr>
        <w:pStyle w:val="60"/>
        <w:ind w:firstLine="420"/>
      </w:pPr>
      <w:r>
        <w:rPr>
          <w:rFonts w:hint="eastAsia"/>
        </w:rPr>
        <w:t>GB 39800.1  个体防护装备配备规范 第1部分：总则</w:t>
      </w:r>
    </w:p>
    <w:p>
      <w:pPr>
        <w:pStyle w:val="60"/>
        <w:ind w:firstLine="420"/>
      </w:pPr>
      <w:r>
        <w:rPr>
          <w:rFonts w:hint="eastAsia"/>
        </w:rPr>
        <w:t>GB 46768  有限空间作业安全技术规范</w:t>
      </w:r>
    </w:p>
    <w:p>
      <w:pPr>
        <w:pStyle w:val="60"/>
        <w:ind w:firstLine="420"/>
      </w:pPr>
      <w:r>
        <w:rPr>
          <w:rFonts w:hint="eastAsia"/>
        </w:rPr>
        <w:t>GB 50057  建筑物防雷设计规范</w:t>
      </w:r>
    </w:p>
    <w:p>
      <w:pPr>
        <w:pStyle w:val="60"/>
        <w:ind w:firstLine="420"/>
      </w:pPr>
      <w:r>
        <w:rPr>
          <w:rFonts w:hint="eastAsia"/>
        </w:rPr>
        <w:t>GB 50330  建筑边坡工程技术规范</w:t>
      </w:r>
    </w:p>
    <w:p>
      <w:pPr>
        <w:pStyle w:val="60"/>
        <w:ind w:firstLine="420"/>
      </w:pPr>
      <w:r>
        <w:t>GB/T 50720</w:t>
      </w:r>
      <w:r>
        <w:rPr>
          <w:rFonts w:hint="eastAsia"/>
        </w:rPr>
        <w:t xml:space="preserve">  </w:t>
      </w:r>
      <w:r>
        <w:t>建设工程施工现场消防安全技术标准</w:t>
      </w:r>
    </w:p>
    <w:p>
      <w:pPr>
        <w:pStyle w:val="60"/>
        <w:ind w:firstLine="420"/>
      </w:pPr>
      <w:r>
        <w:rPr>
          <w:rFonts w:hint="eastAsia"/>
        </w:rPr>
        <w:t>GB 55034  建筑与市政施工现场安全卫生与职业健康通用规范</w:t>
      </w:r>
    </w:p>
    <w:p>
      <w:pPr>
        <w:pStyle w:val="60"/>
        <w:ind w:firstLine="420"/>
      </w:pPr>
      <w:r>
        <w:rPr>
          <w:rFonts w:hint="eastAsia"/>
        </w:rPr>
        <w:t>GB 55036  消防设施通用规范</w:t>
      </w:r>
    </w:p>
    <w:p>
      <w:pPr>
        <w:pStyle w:val="60"/>
        <w:ind w:firstLine="420"/>
      </w:pPr>
      <w:r>
        <w:rPr>
          <w:rFonts w:hint="eastAsia"/>
        </w:rPr>
        <w:t>JGJ/T 46  建筑与市政工程施工现场临时用电安全技术标准</w:t>
      </w:r>
    </w:p>
    <w:p>
      <w:pPr>
        <w:pStyle w:val="60"/>
        <w:ind w:firstLine="420"/>
      </w:pPr>
      <w:r>
        <w:rPr>
          <w:rFonts w:hint="eastAsia"/>
        </w:rPr>
        <w:t>JGJ 120  建筑基坑支护技术规程</w:t>
      </w:r>
    </w:p>
    <w:p>
      <w:pPr>
        <w:pStyle w:val="60"/>
        <w:ind w:firstLine="420"/>
      </w:pPr>
      <w:r>
        <w:rPr>
          <w:rFonts w:hint="eastAsia"/>
        </w:rPr>
        <w:t>JGJ 130  建筑施工扣件式钢管脚手架安全技术规范</w:t>
      </w:r>
    </w:p>
    <w:p>
      <w:pPr>
        <w:pStyle w:val="60"/>
        <w:ind w:firstLine="420"/>
      </w:pPr>
      <w:r>
        <w:rPr>
          <w:rFonts w:hint="eastAsia"/>
        </w:rPr>
        <w:t>JGJ 164  建筑施工木脚手架安全技术规范</w:t>
      </w:r>
    </w:p>
    <w:p>
      <w:pPr>
        <w:pStyle w:val="60"/>
        <w:ind w:firstLine="420"/>
      </w:pPr>
      <w:r>
        <w:rPr>
          <w:rFonts w:hint="eastAsia"/>
        </w:rPr>
        <w:t>JGJ 166  建筑施工碗扣式钢管脚手架安全技术规范</w:t>
      </w:r>
    </w:p>
    <w:p>
      <w:pPr>
        <w:pStyle w:val="60"/>
        <w:ind w:firstLine="420"/>
      </w:pPr>
      <w:r>
        <w:t>J</w:t>
      </w:r>
      <w:r>
        <w:rPr>
          <w:rFonts w:hint="eastAsia"/>
        </w:rPr>
        <w:t>GJ/T 188  施工现场临时建筑物技术规范</w:t>
      </w:r>
    </w:p>
    <w:p>
      <w:pPr>
        <w:pStyle w:val="60"/>
        <w:ind w:firstLine="420"/>
      </w:pPr>
      <w:r>
        <w:rPr>
          <w:rFonts w:hint="eastAsia"/>
        </w:rPr>
        <w:t>JGJ 231  建筑施工承插型盘扣式钢管脚手架安全技术标准</w:t>
      </w:r>
    </w:p>
    <w:p>
      <w:pPr>
        <w:pStyle w:val="60"/>
        <w:ind w:firstLine="420"/>
      </w:pPr>
      <w:r>
        <w:rPr>
          <w:rFonts w:hint="eastAsia"/>
        </w:rPr>
        <w:t>DB11/T 1322.2  安全生产等级评定技术规范 第2部分：安全生产通用要求</w:t>
      </w:r>
    </w:p>
    <w:p>
      <w:pPr>
        <w:pStyle w:val="60"/>
        <w:ind w:firstLine="420"/>
      </w:pPr>
      <w:bookmarkStart w:id="52" w:name="OLE_LINK13"/>
      <w:r>
        <w:rPr>
          <w:rFonts w:hint="eastAsia"/>
        </w:rPr>
        <w:t>DB11/T 2120  古建筑安全防范技术规范</w:t>
      </w:r>
    </w:p>
    <w:bookmarkEnd w:id="52"/>
    <w:p>
      <w:pPr>
        <w:pStyle w:val="108"/>
        <w:spacing w:before="312" w:after="312"/>
      </w:pPr>
      <w:bookmarkStart w:id="53" w:name="_Toc218464137"/>
      <w:bookmarkStart w:id="54" w:name="_Toc97191425"/>
      <w:bookmarkStart w:id="55" w:name="_Toc179723615"/>
      <w:bookmarkStart w:id="56" w:name="_Toc8736"/>
      <w:bookmarkStart w:id="57" w:name="OLE_LINK5"/>
      <w:r>
        <w:rPr>
          <w:rFonts w:hint="eastAsia"/>
          <w:szCs w:val="21"/>
        </w:rPr>
        <w:t>术语和定义</w:t>
      </w:r>
      <w:bookmarkEnd w:id="53"/>
      <w:bookmarkEnd w:id="54"/>
      <w:bookmarkEnd w:id="55"/>
      <w:bookmarkEnd w:id="56"/>
    </w:p>
    <w:sdt>
      <w:sdtPr>
        <w:id w:val="-1"/>
        <w:placeholder>
          <w:docPart w:val="986CBE8EE23B4D20A525E2DD549BD0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58" w:name="_Toc26986532"/>
          <w:bookmarkEnd w:id="58"/>
          <w:r>
            <w:t>下列术语和定义适用于本文件。</w:t>
          </w:r>
        </w:p>
      </w:sdtContent>
    </w:sdt>
    <w:p>
      <w:pPr>
        <w:pStyle w:val="242"/>
        <w:numPr>
          <w:ilvl w:val="2"/>
          <w:numId w:val="2"/>
        </w:numPr>
        <w:spacing w:before="156" w:beforeLines="50" w:after="156" w:afterLines="50"/>
        <w:rPr>
          <w:rFonts w:hint="eastAsia" w:hAnsi="黑体"/>
        </w:rPr>
      </w:pPr>
    </w:p>
    <w:p>
      <w:pPr>
        <w:pStyle w:val="227"/>
        <w:numPr>
          <w:ilvl w:val="0"/>
          <w:numId w:val="0"/>
        </w:numPr>
        <w:ind w:left="420"/>
        <w:rPr>
          <w:rFonts w:hint="eastAsia" w:ascii="黑体" w:hAnsi="黑体" w:eastAsia="黑体"/>
        </w:rPr>
      </w:pPr>
      <w:r>
        <w:rPr>
          <w:rFonts w:hint="eastAsia" w:ascii="黑体" w:hAnsi="黑体" w:eastAsia="黑体"/>
        </w:rPr>
        <w:t xml:space="preserve">考古工地 </w:t>
      </w:r>
      <w:r>
        <w:rPr>
          <w:rFonts w:hint="eastAsia" w:ascii="黑体" w:hAnsi="黑体" w:eastAsia="黑体"/>
          <w:lang w:bidi="ar"/>
        </w:rPr>
        <w:t>archaeological sites</w:t>
      </w:r>
    </w:p>
    <w:p>
      <w:pPr>
        <w:pStyle w:val="60"/>
        <w:ind w:firstLine="420"/>
      </w:pPr>
      <w:bookmarkStart w:id="59" w:name="OLE_LINK19"/>
      <w:r>
        <w:rPr>
          <w:rFonts w:hint="eastAsia"/>
        </w:rPr>
        <w:t>开展考古调查、勘探、发掘工作的区域、场所。</w:t>
      </w:r>
    </w:p>
    <w:bookmarkEnd w:id="57"/>
    <w:bookmarkEnd w:id="59"/>
    <w:p>
      <w:pPr>
        <w:pStyle w:val="108"/>
        <w:spacing w:before="312" w:after="312"/>
      </w:pPr>
      <w:bookmarkStart w:id="60" w:name="_Toc5959"/>
      <w:bookmarkStart w:id="61" w:name="_Toc218464138"/>
      <w:bookmarkStart w:id="62" w:name="OLE_LINK8"/>
      <w:r>
        <w:rPr>
          <w:rFonts w:hint="eastAsia"/>
        </w:rPr>
        <w:t>基本要求</w:t>
      </w:r>
      <w:bookmarkEnd w:id="60"/>
      <w:bookmarkEnd w:id="61"/>
    </w:p>
    <w:bookmarkEnd w:id="62"/>
    <w:p>
      <w:pPr>
        <w:pStyle w:val="166"/>
      </w:pPr>
      <w:bookmarkStart w:id="63" w:name="OLE_LINK9"/>
      <w:r>
        <w:rPr>
          <w:rFonts w:hint="eastAsia"/>
        </w:rPr>
        <w:t>应建立考古工地安全管理制度及操作规程。</w:t>
      </w:r>
    </w:p>
    <w:p>
      <w:pPr>
        <w:pStyle w:val="166"/>
      </w:pPr>
      <w:r>
        <w:rPr>
          <w:rFonts w:hint="eastAsia"/>
        </w:rPr>
        <w:t>应制定安全专项方案，内容应包括工作任务、技术路线、人员分工和职责、工作进度、安全技术措施、文物保护措施、应急预案、检查验收内容及标准等。</w:t>
      </w:r>
    </w:p>
    <w:p>
      <w:pPr>
        <w:pStyle w:val="166"/>
      </w:pPr>
      <w:r>
        <w:t>应</w:t>
      </w:r>
      <w:r>
        <w:rPr>
          <w:rFonts w:hint="eastAsia"/>
        </w:rPr>
        <w:t>至少</w:t>
      </w:r>
      <w:r>
        <w:t>配备</w:t>
      </w:r>
      <w:r>
        <w:rPr>
          <w:rFonts w:hint="eastAsia"/>
        </w:rPr>
        <w:t>1名</w:t>
      </w:r>
      <w:r>
        <w:t>专兼职安全管理人员。</w:t>
      </w:r>
    </w:p>
    <w:p>
      <w:pPr>
        <w:pStyle w:val="166"/>
      </w:pPr>
      <w:r>
        <w:t>所有进入</w:t>
      </w:r>
      <w:r>
        <w:rPr>
          <w:rFonts w:hint="eastAsia"/>
        </w:rPr>
        <w:t>工地</w:t>
      </w:r>
      <w:r>
        <w:t>的</w:t>
      </w:r>
      <w:r>
        <w:rPr>
          <w:rFonts w:hint="eastAsia"/>
        </w:rPr>
        <w:t>工作人员、临时施工人员</w:t>
      </w:r>
      <w:r>
        <w:t>应接受安全</w:t>
      </w:r>
      <w:r>
        <w:rPr>
          <w:rFonts w:hint="eastAsia"/>
        </w:rPr>
        <w:t>教育</w:t>
      </w:r>
      <w:r>
        <w:t>培训。</w:t>
      </w:r>
    </w:p>
    <w:p>
      <w:pPr>
        <w:pStyle w:val="166"/>
      </w:pPr>
      <w:r>
        <w:t>从事</w:t>
      </w:r>
      <w:r>
        <w:rPr>
          <w:rFonts w:hint="eastAsia"/>
        </w:rPr>
        <w:t>特种</w:t>
      </w:r>
      <w:r>
        <w:t>作业的人员应依法持有有效的特种作业操作证。</w:t>
      </w:r>
    </w:p>
    <w:p>
      <w:pPr>
        <w:pStyle w:val="166"/>
      </w:pPr>
      <w:bookmarkStart w:id="64" w:name="OLE_LINK6"/>
      <w:r>
        <w:rPr>
          <w:rFonts w:hint="eastAsia"/>
        </w:rPr>
        <w:t>考古项目的各参与单位应签订责任协议</w:t>
      </w:r>
      <w:r>
        <w:t>，明确考古单位与建设（施工）单位、第三方施工服务单位的安全职责和管理边界。</w:t>
      </w:r>
    </w:p>
    <w:bookmarkEnd w:id="63"/>
    <w:bookmarkEnd w:id="64"/>
    <w:p>
      <w:pPr>
        <w:pStyle w:val="108"/>
        <w:spacing w:before="312" w:after="312"/>
      </w:pPr>
      <w:bookmarkStart w:id="65" w:name="_Toc9295"/>
      <w:bookmarkStart w:id="66" w:name="_Toc218464139"/>
      <w:bookmarkStart w:id="67" w:name="OLE_LINK10"/>
      <w:r>
        <w:rPr>
          <w:rFonts w:hint="eastAsia"/>
        </w:rPr>
        <w:t>现场安全</w:t>
      </w:r>
      <w:bookmarkEnd w:id="65"/>
      <w:bookmarkEnd w:id="66"/>
    </w:p>
    <w:p>
      <w:pPr>
        <w:pStyle w:val="166"/>
      </w:pPr>
      <w:r>
        <w:t>对存在渗漏水风险的作业区，</w:t>
      </w:r>
      <w:r>
        <w:rPr>
          <w:rFonts w:hint="eastAsia"/>
        </w:rPr>
        <w:t>应</w:t>
      </w:r>
      <w:r>
        <w:t>采取有效的防水、排水、降水、堵水及截水措施。当水深</w:t>
      </w:r>
      <w:r>
        <w:rPr>
          <w:rFonts w:hint="eastAsia"/>
        </w:rPr>
        <w:t>超过0.5米</w:t>
      </w:r>
      <w:r>
        <w:t>时，</w:t>
      </w:r>
      <w:r>
        <w:rPr>
          <w:rFonts w:hint="eastAsia"/>
        </w:rPr>
        <w:t>应</w:t>
      </w:r>
      <w:r>
        <w:t>采取安全防护</w:t>
      </w:r>
      <w:r>
        <w:rPr>
          <w:rFonts w:hint="eastAsia"/>
        </w:rPr>
        <w:t>措施</w:t>
      </w:r>
      <w:r>
        <w:t>。</w:t>
      </w:r>
    </w:p>
    <w:p>
      <w:pPr>
        <w:pStyle w:val="166"/>
      </w:pPr>
      <w:r>
        <w:t>当</w:t>
      </w:r>
      <w:r>
        <w:rPr>
          <w:rFonts w:hint="eastAsia"/>
        </w:rPr>
        <w:t>发掘深度超过2米或</w:t>
      </w:r>
      <w:r>
        <w:t>出现下列失稳情况时，应立即进行评估，并采取相应的控制措施：</w:t>
      </w:r>
    </w:p>
    <w:p>
      <w:pPr>
        <w:pStyle w:val="113"/>
        <w:ind w:left="0" w:firstLine="420" w:firstLineChars="200"/>
      </w:pPr>
      <w:r>
        <w:t>发掘对象</w:t>
      </w:r>
      <w:r>
        <w:rPr>
          <w:rFonts w:hint="eastAsia"/>
        </w:rPr>
        <w:t>存在失稳风险</w:t>
      </w:r>
      <w:r>
        <w:t>时，应采取</w:t>
      </w:r>
      <w:r>
        <w:rPr>
          <w:rFonts w:hint="eastAsia"/>
        </w:rPr>
        <w:t>扩大开口、</w:t>
      </w:r>
      <w:r>
        <w:t>支护</w:t>
      </w:r>
      <w:r>
        <w:rPr>
          <w:rFonts w:hint="eastAsia"/>
        </w:rPr>
        <w:t>加固</w:t>
      </w:r>
      <w:r>
        <w:t>或揭顶</w:t>
      </w:r>
      <w:r>
        <w:rPr>
          <w:rFonts w:hint="eastAsia"/>
        </w:rPr>
        <w:t>法等措施</w:t>
      </w:r>
      <w:r>
        <w:t>；</w:t>
      </w:r>
    </w:p>
    <w:p>
      <w:pPr>
        <w:pStyle w:val="113"/>
        <w:ind w:left="0" w:firstLine="420" w:firstLineChars="200"/>
      </w:pPr>
      <w:r>
        <w:t>坑壁、坡</w:t>
      </w:r>
      <w:r>
        <w:rPr>
          <w:rFonts w:hint="eastAsia"/>
        </w:rPr>
        <w:t>体存在失稳风险</w:t>
      </w:r>
      <w:r>
        <w:t>时，应采取</w:t>
      </w:r>
      <w:r>
        <w:rPr>
          <w:rFonts w:hint="eastAsia"/>
        </w:rPr>
        <w:t>预留台阶、</w:t>
      </w:r>
      <w:r>
        <w:t>放坡</w:t>
      </w:r>
      <w:r>
        <w:rPr>
          <w:rFonts w:hint="eastAsia"/>
        </w:rPr>
        <w:t>或</w:t>
      </w:r>
      <w:r>
        <w:t>支护加固</w:t>
      </w:r>
      <w:r>
        <w:rPr>
          <w:rFonts w:hint="eastAsia"/>
        </w:rPr>
        <w:t>等</w:t>
      </w:r>
      <w:r>
        <w:t>措施；</w:t>
      </w:r>
    </w:p>
    <w:p>
      <w:pPr>
        <w:pStyle w:val="113"/>
        <w:ind w:left="0" w:firstLine="420" w:firstLineChars="200"/>
      </w:pPr>
      <w:r>
        <w:t>隔梁、关键柱</w:t>
      </w:r>
      <w:r>
        <w:rPr>
          <w:rFonts w:hint="eastAsia"/>
        </w:rPr>
        <w:t>存在失稳风险</w:t>
      </w:r>
      <w:r>
        <w:t>时，应</w:t>
      </w:r>
      <w:r>
        <w:rPr>
          <w:rFonts w:hint="eastAsia"/>
        </w:rPr>
        <w:t>采取</w:t>
      </w:r>
      <w:r>
        <w:t>支护加固或拆除</w:t>
      </w:r>
      <w:r>
        <w:rPr>
          <w:rFonts w:hint="eastAsia"/>
        </w:rPr>
        <w:t>等措施</w:t>
      </w:r>
      <w:r>
        <w:t>。</w:t>
      </w:r>
    </w:p>
    <w:p>
      <w:pPr>
        <w:pStyle w:val="166"/>
      </w:pPr>
      <w:r>
        <w:rPr>
          <w:rFonts w:hint="eastAsia"/>
        </w:rPr>
        <w:t>放坡或边坡应符合GB 50330相关要求。基坑支护应满足JGJ 120的相关要求。脚手架支护应符合JGJ 130、JGJ 164、JGJ 166及JGJ 231相关要求。</w:t>
      </w:r>
      <w:r>
        <w:t>支护结构设计应由具备相关专业资质的技术人员编制并经论证。</w:t>
      </w:r>
    </w:p>
    <w:p>
      <w:pPr>
        <w:pStyle w:val="166"/>
      </w:pPr>
      <w:r>
        <w:rPr>
          <w:rFonts w:hint="eastAsia"/>
        </w:rPr>
        <w:t>发掘深度不超过5m的探方之间隔梁宽度应为1m及以上。发掘深度超过5m的探方之间隔梁宽度应为2m及以上。</w:t>
      </w:r>
    </w:p>
    <w:p>
      <w:pPr>
        <w:pStyle w:val="166"/>
      </w:pPr>
      <w:r>
        <w:rPr>
          <w:rFonts w:hint="eastAsia"/>
        </w:rPr>
        <w:t>探方内应设置上下坡道或爬梯，宽度不应小于1m，数量不宜少于2个。</w:t>
      </w:r>
    </w:p>
    <w:p>
      <w:pPr>
        <w:pStyle w:val="166"/>
      </w:pPr>
      <w:r>
        <w:rPr>
          <w:rFonts w:hint="eastAsia"/>
        </w:rPr>
        <w:t>发掘产生的堆土距探方、探沟等边缘应不小于其深度且大于2m。</w:t>
      </w:r>
    </w:p>
    <w:p>
      <w:pPr>
        <w:pStyle w:val="166"/>
      </w:pPr>
      <w:r>
        <w:rPr>
          <w:rFonts w:hint="eastAsia"/>
        </w:rPr>
        <w:t>考古工地涉及的配置运输、文物提取、土方转运等机械设备应在明显部位悬挂设备验收标牌及安全操作规程。涉及文物提取的机械设备应配备减震、防护装置。</w:t>
      </w:r>
    </w:p>
    <w:p>
      <w:pPr>
        <w:pStyle w:val="166"/>
      </w:pPr>
      <w:r>
        <w:rPr>
          <w:rFonts w:hint="eastAsia"/>
        </w:rPr>
        <w:t>考古工地使用的各种设备或设施，操作或使用人员上岗前应签订安全责任书，并参加相应的安全使用培训，经考核合格后方可上岗。</w:t>
      </w:r>
    </w:p>
    <w:p>
      <w:pPr>
        <w:pStyle w:val="166"/>
      </w:pPr>
      <w:r>
        <w:rPr>
          <w:rFonts w:hint="eastAsia"/>
        </w:rPr>
        <w:t>应按照</w:t>
      </w:r>
      <w:r>
        <w:t>GB 39800.1</w:t>
      </w:r>
      <w:r>
        <w:rPr>
          <w:rFonts w:hint="eastAsia"/>
        </w:rPr>
        <w:t>的要求为考古从业人员提供必要的考古专用个体防护装备。</w:t>
      </w:r>
    </w:p>
    <w:p>
      <w:pPr>
        <w:pStyle w:val="166"/>
      </w:pPr>
      <w:r>
        <w:rPr>
          <w:rFonts w:hint="eastAsia"/>
        </w:rPr>
        <w:t>应按照GB 2894和GB13495.1的要求设置安全标志，安全警示内容包括但不限于：</w:t>
      </w:r>
      <w:r>
        <w:rPr>
          <w:rFonts w:hint="eastAsia"/>
          <w:color w:val="000000" w:themeColor="text1"/>
          <w14:textFill>
            <w14:solidFill>
              <w14:schemeClr w14:val="tx1"/>
            </w14:solidFill>
          </w14:textFill>
        </w:rPr>
        <w:t>考古工地安全</w:t>
      </w:r>
      <w:r>
        <w:rPr>
          <w:rFonts w:hint="eastAsia"/>
        </w:rPr>
        <w:t>、文物安全、防火防盗、自然灾害、危险地带等。</w:t>
      </w:r>
    </w:p>
    <w:p>
      <w:pPr>
        <w:pStyle w:val="166"/>
      </w:pPr>
      <w:r>
        <w:rPr>
          <w:rFonts w:hint="eastAsia"/>
        </w:rPr>
        <w:t>在空气不流通或存在缺氧、有毒有害气体的墓穴、水井、地下洞室、窄小探沟等空间内进行的考古发掘作业，应符合 GB 46768的相关规定，相关人员应经有限空间作业专题安全培训，考核合格、取得相应资格后，方可上岗作业。</w:t>
      </w:r>
    </w:p>
    <w:p>
      <w:pPr>
        <w:pStyle w:val="166"/>
      </w:pPr>
      <w:r>
        <w:t>危险化学品的</w:t>
      </w:r>
      <w:r>
        <w:rPr>
          <w:rFonts w:hint="eastAsia"/>
        </w:rPr>
        <w:t>使用、</w:t>
      </w:r>
      <w:r>
        <w:t>储存与管理应符合</w:t>
      </w:r>
      <w:r>
        <w:rPr>
          <w:rFonts w:hint="eastAsia"/>
        </w:rPr>
        <w:t>DB 11/T 1322.2</w:t>
      </w:r>
      <w:r>
        <w:t>的</w:t>
      </w:r>
      <w:r>
        <w:rPr>
          <w:rFonts w:hint="eastAsia"/>
        </w:rPr>
        <w:t>相关</w:t>
      </w:r>
      <w:r>
        <w:t>规定</w:t>
      </w:r>
      <w:r>
        <w:rPr>
          <w:rFonts w:hint="eastAsia"/>
        </w:rPr>
        <w:t>。</w:t>
      </w:r>
    </w:p>
    <w:p>
      <w:pPr>
        <w:pStyle w:val="166"/>
      </w:pPr>
      <w:r>
        <w:rPr>
          <w:rFonts w:hint="eastAsia"/>
        </w:rPr>
        <w:t>配备必要的立网、梯子、脚手架、照明、消防和应急救援物资等。</w:t>
      </w:r>
    </w:p>
    <w:bookmarkEnd w:id="67"/>
    <w:p>
      <w:pPr>
        <w:pStyle w:val="108"/>
        <w:spacing w:before="312" w:after="312"/>
      </w:pPr>
      <w:bookmarkStart w:id="68" w:name="_Toc218464140"/>
      <w:bookmarkStart w:id="69" w:name="_Toc20909"/>
      <w:r>
        <w:rPr>
          <w:rFonts w:hint="eastAsia"/>
        </w:rPr>
        <w:t>消防安全</w:t>
      </w:r>
      <w:bookmarkEnd w:id="68"/>
      <w:bookmarkEnd w:id="69"/>
    </w:p>
    <w:p>
      <w:pPr>
        <w:pStyle w:val="166"/>
      </w:pPr>
      <w:bookmarkStart w:id="70" w:name="OLE_LINK11"/>
      <w:bookmarkStart w:id="71" w:name="OLE_LINK16"/>
      <w:r>
        <w:rPr>
          <w:rFonts w:hint="eastAsia"/>
        </w:rPr>
        <w:t>应配备灭火器等消防器材。灭火器的配置类型、位置选择、数量、维护维修、报废应符合GB 55036的相关要求。</w:t>
      </w:r>
    </w:p>
    <w:p>
      <w:pPr>
        <w:pStyle w:val="166"/>
      </w:pPr>
      <w:r>
        <w:rPr>
          <w:rFonts w:hint="eastAsia"/>
        </w:rPr>
        <w:t>应根据考古工地实际情况编制应急预案，并按照应急预案组织应急演练，每季度应至少演练1次，并针对演练中发现的问题及时修订完善应急预案，落实整改措施。</w:t>
      </w:r>
    </w:p>
    <w:p>
      <w:pPr>
        <w:pStyle w:val="166"/>
      </w:pPr>
      <w:r>
        <w:rPr>
          <w:rFonts w:hint="eastAsia"/>
        </w:rPr>
        <w:t>考古工地内严禁未经批准的明火。</w:t>
      </w:r>
    </w:p>
    <w:p>
      <w:pPr>
        <w:pStyle w:val="166"/>
      </w:pPr>
      <w:r>
        <w:rPr>
          <w:rFonts w:hint="eastAsia"/>
        </w:rPr>
        <w:t>考古工地因设施搭建、设备维修等进行动火作业时，应按GB/T 50720的要求履行动火审批手续，并指定专人监护，配备相应消防器材，作业结束后监护人员至少在现场监护30分钟。</w:t>
      </w:r>
    </w:p>
    <w:p>
      <w:pPr>
        <w:pStyle w:val="166"/>
      </w:pPr>
      <w:r>
        <w:rPr>
          <w:rFonts w:hint="eastAsia"/>
        </w:rPr>
        <w:t>考古工地内严禁电动自行车及其蓄电池进入、停放或充电。</w:t>
      </w:r>
    </w:p>
    <w:bookmarkEnd w:id="70"/>
    <w:bookmarkEnd w:id="71"/>
    <w:p>
      <w:pPr>
        <w:pStyle w:val="108"/>
        <w:spacing w:before="312" w:after="312"/>
      </w:pPr>
      <w:bookmarkStart w:id="72" w:name="_Toc15967"/>
      <w:bookmarkStart w:id="73" w:name="_Toc218464141"/>
      <w:bookmarkStart w:id="74" w:name="OLE_LINK12"/>
      <w:r>
        <w:rPr>
          <w:rFonts w:hint="eastAsia"/>
        </w:rPr>
        <w:t>临时建筑及设施安全</w:t>
      </w:r>
      <w:bookmarkEnd w:id="72"/>
      <w:bookmarkEnd w:id="73"/>
    </w:p>
    <w:p>
      <w:pPr>
        <w:pStyle w:val="166"/>
      </w:pPr>
      <w:r>
        <w:rPr>
          <w:rFonts w:hint="eastAsia"/>
        </w:rPr>
        <w:t>临时库房、管理用房、生活用房、文物保护用房</w:t>
      </w:r>
      <w:r>
        <w:t>等应按JGJ/T 188</w:t>
      </w:r>
      <w:r>
        <w:rPr>
          <w:rFonts w:hint="eastAsia"/>
        </w:rPr>
        <w:t>和 GB/T 50720的要求</w:t>
      </w:r>
      <w:r>
        <w:t>设计和设置</w:t>
      </w:r>
      <w:r>
        <w:rPr>
          <w:rFonts w:hint="eastAsia"/>
        </w:rPr>
        <w:t>。</w:t>
      </w:r>
    </w:p>
    <w:p>
      <w:pPr>
        <w:pStyle w:val="166"/>
      </w:pPr>
      <w:r>
        <w:rPr>
          <w:rFonts w:hint="eastAsia"/>
        </w:rPr>
        <w:t>避雷装置的设计施工应符合</w:t>
      </w:r>
      <w:bookmarkStart w:id="75" w:name="OLE_LINK15"/>
      <w:r>
        <w:rPr>
          <w:rFonts w:hint="eastAsia"/>
        </w:rPr>
        <w:t>GB 50</w:t>
      </w:r>
      <w:bookmarkEnd w:id="75"/>
      <w:r>
        <w:rPr>
          <w:rFonts w:hint="eastAsia"/>
        </w:rPr>
        <w:t>057相关要求。</w:t>
      </w:r>
    </w:p>
    <w:p>
      <w:pPr>
        <w:pStyle w:val="166"/>
      </w:pPr>
      <w:r>
        <w:rPr>
          <w:rFonts w:hint="eastAsia"/>
        </w:rPr>
        <w:t>临时用电应符合GB 55034和JGJ/T 46相关要求。</w:t>
      </w:r>
    </w:p>
    <w:p>
      <w:pPr>
        <w:pStyle w:val="166"/>
      </w:pPr>
      <w:r>
        <w:rPr>
          <w:rFonts w:hint="eastAsia"/>
        </w:rPr>
        <w:t>严禁在文物本体上拉接临时用电设施。</w:t>
      </w:r>
    </w:p>
    <w:bookmarkEnd w:id="74"/>
    <w:p>
      <w:pPr>
        <w:pStyle w:val="108"/>
        <w:spacing w:before="312" w:after="312"/>
      </w:pPr>
      <w:bookmarkStart w:id="76" w:name="_Toc856"/>
      <w:bookmarkStart w:id="77" w:name="_Toc218464142"/>
      <w:r>
        <w:rPr>
          <w:rFonts w:hint="eastAsia"/>
        </w:rPr>
        <w:t>治安防控</w:t>
      </w:r>
      <w:bookmarkEnd w:id="76"/>
      <w:bookmarkEnd w:id="77"/>
    </w:p>
    <w:p>
      <w:pPr>
        <w:pStyle w:val="242"/>
        <w:numPr>
          <w:ilvl w:val="2"/>
          <w:numId w:val="2"/>
        </w:numPr>
        <w:spacing w:before="156" w:beforeLines="50" w:after="156" w:afterLines="50"/>
      </w:pPr>
      <w:bookmarkStart w:id="78" w:name="_Toc5876"/>
      <w:bookmarkStart w:id="79" w:name="_Toc218464143"/>
      <w:r>
        <w:rPr>
          <w:rFonts w:hint="eastAsia"/>
        </w:rPr>
        <w:t>防护区域和防护要求</w:t>
      </w:r>
      <w:bookmarkEnd w:id="78"/>
      <w:bookmarkEnd w:id="79"/>
    </w:p>
    <w:p>
      <w:pPr>
        <w:pStyle w:val="169"/>
      </w:pPr>
      <w:r>
        <w:rPr>
          <w:rFonts w:hint="eastAsia"/>
        </w:rPr>
        <w:t>考古工地的防护区域和防护要求应满足DB11/T 2120的相关规定。</w:t>
      </w:r>
    </w:p>
    <w:p>
      <w:pPr>
        <w:pStyle w:val="242"/>
        <w:numPr>
          <w:ilvl w:val="2"/>
          <w:numId w:val="2"/>
        </w:numPr>
        <w:spacing w:before="156" w:beforeLines="50" w:after="156" w:afterLines="50"/>
      </w:pPr>
      <w:bookmarkStart w:id="80" w:name="_Toc218464144"/>
      <w:bookmarkStart w:id="81" w:name="_Toc27000"/>
      <w:bookmarkStart w:id="82" w:name="OLE_LINK3"/>
      <w:r>
        <w:rPr>
          <w:rFonts w:hint="eastAsia"/>
        </w:rPr>
        <w:t>人力安全防范</w:t>
      </w:r>
      <w:bookmarkEnd w:id="80"/>
      <w:bookmarkEnd w:id="81"/>
    </w:p>
    <w:p>
      <w:pPr>
        <w:pStyle w:val="169"/>
      </w:pPr>
      <w:r>
        <w:rPr>
          <w:rFonts w:hint="eastAsia"/>
        </w:rPr>
        <w:t>应根据安全保卫工作的需要,设置与安全保卫任务相符的安全保卫机构。</w:t>
      </w:r>
    </w:p>
    <w:p>
      <w:pPr>
        <w:pStyle w:val="169"/>
      </w:pPr>
      <w:r>
        <w:rPr>
          <w:rFonts w:hint="eastAsia"/>
        </w:rPr>
        <w:t>有遗迹的考古勘探工地和发掘工地应设置24小时安保值班制度，每班值班人员不宜少于2人。</w:t>
      </w:r>
    </w:p>
    <w:p>
      <w:pPr>
        <w:pStyle w:val="169"/>
      </w:pPr>
      <w:r>
        <w:rPr>
          <w:rFonts w:hint="eastAsia"/>
        </w:rPr>
        <w:t>文物库房应配备专职的安全保卫人员。</w:t>
      </w:r>
    </w:p>
    <w:p>
      <w:pPr>
        <w:pStyle w:val="242"/>
        <w:numPr>
          <w:ilvl w:val="2"/>
          <w:numId w:val="2"/>
        </w:numPr>
        <w:spacing w:before="156" w:beforeLines="50" w:after="156" w:afterLines="50"/>
      </w:pPr>
      <w:bookmarkStart w:id="83" w:name="_Toc218464145"/>
      <w:bookmarkStart w:id="84" w:name="_Toc27415"/>
      <w:r>
        <w:rPr>
          <w:rFonts w:hint="eastAsia"/>
        </w:rPr>
        <w:t>实体安全防范</w:t>
      </w:r>
      <w:bookmarkEnd w:id="83"/>
      <w:bookmarkEnd w:id="84"/>
    </w:p>
    <w:p>
      <w:pPr>
        <w:pStyle w:val="169"/>
      </w:pPr>
      <w:r>
        <w:rPr>
          <w:rFonts w:hint="eastAsia"/>
        </w:rPr>
        <w:t>应根据考古工地现场环境条件和考古发掘区分布情况,确定周界的位置和范围,并设置明显的隔离警示标识。</w:t>
      </w:r>
    </w:p>
    <w:p>
      <w:pPr>
        <w:pStyle w:val="169"/>
      </w:pPr>
      <w:r>
        <w:rPr>
          <w:rFonts w:hint="eastAsia"/>
        </w:rPr>
        <w:t>考古发掘工地周界应设置围挡，市区主要路段的围挡高度不小于2.5m，一般路段的围挡高度不小于1.8m。</w:t>
      </w:r>
    </w:p>
    <w:p>
      <w:pPr>
        <w:pStyle w:val="169"/>
      </w:pPr>
      <w:r>
        <w:rPr>
          <w:rFonts w:hint="eastAsia"/>
        </w:rPr>
        <w:t>设有参观通道的考古发掘工地,宜设置与发掘区完全分隔的实体隔离设施，隔离设施高度和强度应满足防止跨越、攀爬和损坏的要求。</w:t>
      </w:r>
    </w:p>
    <w:p>
      <w:pPr>
        <w:pStyle w:val="169"/>
      </w:pPr>
      <w:r>
        <w:rPr>
          <w:rFonts w:hint="eastAsia"/>
        </w:rPr>
        <w:t>文物库房的门、窗应设置实体防范设施,库房门应安装防盗安全门。</w:t>
      </w:r>
    </w:p>
    <w:p>
      <w:pPr>
        <w:pStyle w:val="242"/>
        <w:numPr>
          <w:ilvl w:val="2"/>
          <w:numId w:val="2"/>
        </w:numPr>
        <w:spacing w:before="156" w:beforeLines="50" w:after="156" w:afterLines="50"/>
      </w:pPr>
      <w:bookmarkStart w:id="85" w:name="_Toc218464146"/>
      <w:bookmarkStart w:id="86" w:name="_Toc22308"/>
      <w:r>
        <w:rPr>
          <w:rFonts w:hint="eastAsia"/>
        </w:rPr>
        <w:t>技术安全防范</w:t>
      </w:r>
      <w:bookmarkEnd w:id="85"/>
      <w:bookmarkEnd w:id="86"/>
    </w:p>
    <w:p>
      <w:pPr>
        <w:pStyle w:val="169"/>
      </w:pPr>
      <w:r>
        <w:rPr>
          <w:rFonts w:hint="eastAsia"/>
        </w:rPr>
        <w:t>有遗迹的勘探工地和所有考古发掘工地应设置监控装置；具有重要价值且发掘工作持续时间较长的重要考古工地,周界应设置入侵探测和视频安防监控装置,宜设置现场声光警示装置。周界防护应完整封闭，不留盲区。</w:t>
      </w:r>
    </w:p>
    <w:p>
      <w:pPr>
        <w:pStyle w:val="169"/>
      </w:pPr>
      <w:r>
        <w:rPr>
          <w:rFonts w:hint="eastAsia"/>
        </w:rPr>
        <w:t>周界入侵探测装置应与视频安防监控、辅助照明装置以及现场声光警示装置联动。现场声光警示装置的声压应不小于100 dB（A）,报警持续时间应保持到工作人员确认警情后自动或手动解除。</w:t>
      </w:r>
    </w:p>
    <w:p>
      <w:pPr>
        <w:pStyle w:val="169"/>
      </w:pPr>
      <w:r>
        <w:rPr>
          <w:rFonts w:hint="eastAsia"/>
        </w:rPr>
        <w:t>考古工地内重要探方（沟）、墓葬现场、出土遗物运输通道、文物库房以及对外开放的考古工地等的安全防范系统布置应满足GB/T 16571和DB11/T 2120的要求。</w:t>
      </w:r>
    </w:p>
    <w:p>
      <w:pPr>
        <w:pStyle w:val="169"/>
      </w:pPr>
      <w:r>
        <w:rPr>
          <w:rFonts w:hint="eastAsia"/>
        </w:rPr>
        <w:t>考古工地发掘区域、文物库房宜设置电子巡查装置。</w:t>
      </w:r>
    </w:p>
    <w:bookmarkEnd w:id="82"/>
    <w:p>
      <w:pPr>
        <w:pStyle w:val="166"/>
        <w:numPr>
          <w:ilvl w:val="0"/>
          <w:numId w:val="0"/>
        </w:numPr>
      </w:pPr>
    </w:p>
    <w:bookmarkEnd w:id="24"/>
    <w:p>
      <w:pPr>
        <w:pStyle w:val="166"/>
        <w:numPr>
          <w:ilvl w:val="0"/>
          <w:numId w:val="0"/>
        </w:numPr>
        <w:sectPr>
          <w:headerReference r:id="rId14" w:type="even"/>
          <w:pgSz w:w="11906" w:h="16838"/>
          <w:pgMar w:top="1928" w:right="1134" w:bottom="1134" w:left="1134" w:header="1418" w:footer="1134" w:gutter="284"/>
          <w:pgNumType w:start="1"/>
          <w:cols w:space="425" w:num="1"/>
          <w:formProt w:val="0"/>
          <w:docGrid w:type="lines" w:linePitch="312" w:charSpace="0"/>
        </w:sectPr>
      </w:pPr>
      <w:bookmarkStart w:id="87" w:name="BookMark6"/>
    </w:p>
    <w:p>
      <w:pPr>
        <w:pStyle w:val="243"/>
      </w:pPr>
      <w:bookmarkStart w:id="88" w:name="_Toc27374"/>
      <w:bookmarkStart w:id="89" w:name="_Toc218464147"/>
      <w:r>
        <w:rPr>
          <w:rFonts w:hint="eastAsia"/>
        </w:rPr>
        <w:t>参 考 文 献</w:t>
      </w:r>
      <w:bookmarkEnd w:id="88"/>
      <w:bookmarkEnd w:id="89"/>
    </w:p>
    <w:p>
      <w:pPr>
        <w:pStyle w:val="113"/>
        <w:numPr>
          <w:ilvl w:val="1"/>
          <w:numId w:val="0"/>
        </w:numPr>
        <w:tabs>
          <w:tab w:val="clear" w:pos="1276"/>
        </w:tabs>
        <w:ind w:firstLine="840" w:firstLineChars="400"/>
      </w:pPr>
      <w:r>
        <w:rPr>
          <w:rFonts w:hint="eastAsia" w:hAnsi="宋体" w:cs="宋体"/>
        </w:rPr>
        <w:t xml:space="preserve">[1] </w:t>
      </w:r>
      <w:r>
        <w:rPr>
          <w:rFonts w:hint="eastAsia"/>
        </w:rPr>
        <w:t>DB 61/T 1724-2023 考古工地安全施工规范</w:t>
      </w:r>
    </w:p>
    <w:p>
      <w:pPr>
        <w:pStyle w:val="113"/>
        <w:numPr>
          <w:ilvl w:val="1"/>
          <w:numId w:val="0"/>
        </w:numPr>
        <w:tabs>
          <w:tab w:val="clear" w:pos="1276"/>
        </w:tabs>
        <w:ind w:firstLine="840" w:firstLineChars="400"/>
      </w:pPr>
      <w:r>
        <w:rPr>
          <w:rFonts w:hint="eastAsia" w:hAnsi="宋体" w:cs="宋体"/>
        </w:rPr>
        <w:t xml:space="preserve">[2] </w:t>
      </w:r>
      <w:r>
        <w:rPr>
          <w:rFonts w:hint="eastAsia"/>
        </w:rPr>
        <w:t>DB 14/T 3567-2025 考古发掘现场安全设施基本要求</w:t>
      </w:r>
    </w:p>
    <w:p>
      <w:pPr>
        <w:pStyle w:val="113"/>
        <w:numPr>
          <w:ilvl w:val="1"/>
          <w:numId w:val="0"/>
        </w:numPr>
        <w:tabs>
          <w:tab w:val="clear" w:pos="1276"/>
        </w:tabs>
        <w:ind w:firstLine="840" w:firstLineChars="400"/>
      </w:pPr>
      <w:r>
        <w:rPr>
          <w:rFonts w:hint="eastAsia" w:hAnsi="宋体" w:cs="宋体"/>
        </w:rPr>
        <w:t>[3]</w:t>
      </w:r>
      <w:r>
        <w:rPr>
          <w:rFonts w:hint="eastAsia"/>
        </w:rPr>
        <w:t>《田野考古工作规程》国家文物局(编)，北京：文物出版社，2009年</w:t>
      </w:r>
    </w:p>
    <w:p>
      <w:pPr>
        <w:pStyle w:val="113"/>
        <w:numPr>
          <w:ilvl w:val="1"/>
          <w:numId w:val="0"/>
        </w:numPr>
        <w:tabs>
          <w:tab w:val="clear" w:pos="1276"/>
        </w:tabs>
      </w:pPr>
    </w:p>
    <w:p>
      <w:pPr>
        <w:pStyle w:val="60"/>
        <w:ind w:firstLine="0" w:firstLineChars="0"/>
      </w:pPr>
    </w:p>
    <w:p>
      <w:pPr>
        <w:pStyle w:val="60"/>
        <w:ind w:firstLine="0" w:firstLineChars="0"/>
      </w:pPr>
    </w:p>
    <w:p>
      <w:pPr>
        <w:pStyle w:val="60"/>
        <w:ind w:firstLine="0" w:firstLineChars="0"/>
      </w:pPr>
    </w:p>
    <w:p>
      <w:pPr>
        <w:pStyle w:val="166"/>
        <w:numPr>
          <w:ilvl w:val="0"/>
          <w:numId w:val="0"/>
        </w:numPr>
      </w:pPr>
    </w:p>
    <w:bookmarkEnd w:id="87"/>
    <w:p>
      <w:pPr>
        <w:widowControl/>
        <w:tabs>
          <w:tab w:val="center" w:pos="4201"/>
          <w:tab w:val="right" w:leader="dot" w:pos="9298"/>
        </w:tabs>
        <w:autoSpaceDE w:val="0"/>
        <w:autoSpaceDN w:val="0"/>
        <w:adjustRightInd/>
        <w:spacing w:line="240" w:lineRule="auto"/>
        <w:rPr>
          <w:rFonts w:ascii="宋体" w:hAnsi="Times New Roman"/>
          <w:kern w:val="0"/>
          <w:szCs w:val="20"/>
        </w:rPr>
      </w:pPr>
    </w:p>
    <w:p>
      <w:pPr>
        <w:framePr w:hSpace="181" w:vSpace="181" w:wrap="around" w:vAnchor="text" w:hAnchor="margin" w:xAlign="center" w:y="285"/>
        <w:adjustRightInd/>
        <w:spacing w:line="240" w:lineRule="auto"/>
        <w:rPr>
          <w:rFonts w:ascii="Times New Roman" w:hAnsi="Times New Roman"/>
          <w:szCs w:val="24"/>
        </w:rPr>
      </w:pPr>
      <w:r>
        <w:rPr>
          <w:rFonts w:ascii="Times New Roman" w:hAnsi="Times New Roman"/>
          <w:szCs w:val="24"/>
        </w:rPr>
        <w:t>_________________________________</w:t>
      </w:r>
    </w:p>
    <w:p>
      <w:pPr>
        <w:pStyle w:val="166"/>
        <w:numPr>
          <w:ilvl w:val="0"/>
          <w:numId w:val="0"/>
        </w:numPr>
      </w:pPr>
    </w:p>
    <w:p>
      <w:pPr>
        <w:pStyle w:val="60"/>
        <w:ind w:firstLine="0" w:firstLineChars="0"/>
      </w:pPr>
    </w:p>
    <w:sectPr>
      <w:footerReference r:id="rId15" w:type="default"/>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1">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7"/>
  </w:num>
  <w:num w:numId="6">
    <w:abstractNumId w:val="12"/>
  </w:num>
  <w:num w:numId="7">
    <w:abstractNumId w:val="8"/>
  </w:num>
  <w:num w:numId="8">
    <w:abstractNumId w:val="3"/>
  </w:num>
  <w:num w:numId="9">
    <w:abstractNumId w:val="9"/>
  </w:num>
  <w:num w:numId="10">
    <w:abstractNumId w:val="15"/>
  </w:num>
  <w:num w:numId="11">
    <w:abstractNumId w:val="24"/>
  </w:num>
  <w:num w:numId="12">
    <w:abstractNumId w:val="10"/>
  </w:num>
  <w:num w:numId="13">
    <w:abstractNumId w:val="11"/>
  </w:num>
  <w:num w:numId="14">
    <w:abstractNumId w:val="7"/>
  </w:num>
  <w:num w:numId="15">
    <w:abstractNumId w:val="18"/>
  </w:num>
  <w:num w:numId="16">
    <w:abstractNumId w:val="20"/>
  </w:num>
  <w:num w:numId="17">
    <w:abstractNumId w:val="16"/>
  </w:num>
  <w:num w:numId="18">
    <w:abstractNumId w:val="28"/>
  </w:num>
  <w:num w:numId="19">
    <w:abstractNumId w:val="14"/>
  </w:num>
  <w:num w:numId="20">
    <w:abstractNumId w:val="1"/>
  </w:num>
  <w:num w:numId="21">
    <w:abstractNumId w:val="29"/>
  </w:num>
  <w:num w:numId="22">
    <w:abstractNumId w:val="19"/>
  </w:num>
  <w:num w:numId="23">
    <w:abstractNumId w:val="6"/>
  </w:num>
  <w:num w:numId="24">
    <w:abstractNumId w:val="25"/>
  </w:num>
  <w:num w:numId="25">
    <w:abstractNumId w:val="27"/>
  </w:num>
  <w:num w:numId="26">
    <w:abstractNumId w:val="2"/>
  </w:num>
  <w:num w:numId="27">
    <w:abstractNumId w:val="4"/>
  </w:num>
  <w:num w:numId="28">
    <w:abstractNumId w:val="13"/>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bordersDoNotSurroundHeader w:val="true"/>
  <w:bordersDoNotSurroundFooter w:val="true"/>
  <w:documentProtection w:edit="forms"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C5"/>
    <w:rsid w:val="0000040A"/>
    <w:rsid w:val="00000A94"/>
    <w:rsid w:val="00001972"/>
    <w:rsid w:val="00001D9A"/>
    <w:rsid w:val="000040AE"/>
    <w:rsid w:val="00007B3A"/>
    <w:rsid w:val="000107E0"/>
    <w:rsid w:val="00011FDE"/>
    <w:rsid w:val="00012FFD"/>
    <w:rsid w:val="00014162"/>
    <w:rsid w:val="00014340"/>
    <w:rsid w:val="00016A9C"/>
    <w:rsid w:val="00022184"/>
    <w:rsid w:val="00022762"/>
    <w:rsid w:val="000238E0"/>
    <w:rsid w:val="000249DB"/>
    <w:rsid w:val="0002595E"/>
    <w:rsid w:val="000303C3"/>
    <w:rsid w:val="000315C3"/>
    <w:rsid w:val="000331D3"/>
    <w:rsid w:val="000346A5"/>
    <w:rsid w:val="000359C3"/>
    <w:rsid w:val="00035A7D"/>
    <w:rsid w:val="000365ED"/>
    <w:rsid w:val="000372FD"/>
    <w:rsid w:val="0004249A"/>
    <w:rsid w:val="00043282"/>
    <w:rsid w:val="000441FD"/>
    <w:rsid w:val="00044286"/>
    <w:rsid w:val="00047F28"/>
    <w:rsid w:val="000503AA"/>
    <w:rsid w:val="000506A1"/>
    <w:rsid w:val="000515DD"/>
    <w:rsid w:val="0005265A"/>
    <w:rsid w:val="000539DD"/>
    <w:rsid w:val="00053BD3"/>
    <w:rsid w:val="00053C03"/>
    <w:rsid w:val="0005544E"/>
    <w:rsid w:val="000556ED"/>
    <w:rsid w:val="00055FE2"/>
    <w:rsid w:val="0005616F"/>
    <w:rsid w:val="00060C2E"/>
    <w:rsid w:val="00061033"/>
    <w:rsid w:val="000619E9"/>
    <w:rsid w:val="000622D4"/>
    <w:rsid w:val="0006357D"/>
    <w:rsid w:val="0006629E"/>
    <w:rsid w:val="00067006"/>
    <w:rsid w:val="00067F1E"/>
    <w:rsid w:val="0007041B"/>
    <w:rsid w:val="00071CC0"/>
    <w:rsid w:val="00073C8C"/>
    <w:rsid w:val="00077B64"/>
    <w:rsid w:val="00080A1C"/>
    <w:rsid w:val="00082317"/>
    <w:rsid w:val="00083D2C"/>
    <w:rsid w:val="00085ED8"/>
    <w:rsid w:val="00086AA1"/>
    <w:rsid w:val="00087842"/>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7D7"/>
    <w:rsid w:val="000B1592"/>
    <w:rsid w:val="000B1C58"/>
    <w:rsid w:val="000B1FF2"/>
    <w:rsid w:val="000B3008"/>
    <w:rsid w:val="000B3CDA"/>
    <w:rsid w:val="000B6A0B"/>
    <w:rsid w:val="000C0B58"/>
    <w:rsid w:val="000C0F6C"/>
    <w:rsid w:val="000C11DB"/>
    <w:rsid w:val="000C1492"/>
    <w:rsid w:val="000C2FBD"/>
    <w:rsid w:val="000C4B41"/>
    <w:rsid w:val="000C57D6"/>
    <w:rsid w:val="000C6362"/>
    <w:rsid w:val="000C7666"/>
    <w:rsid w:val="000D0A9C"/>
    <w:rsid w:val="000D1795"/>
    <w:rsid w:val="000D2534"/>
    <w:rsid w:val="000D329A"/>
    <w:rsid w:val="000D4B9C"/>
    <w:rsid w:val="000D4EB6"/>
    <w:rsid w:val="000D753B"/>
    <w:rsid w:val="000D76A0"/>
    <w:rsid w:val="000E29E0"/>
    <w:rsid w:val="000E43B2"/>
    <w:rsid w:val="000E4C9E"/>
    <w:rsid w:val="000E6FD7"/>
    <w:rsid w:val="000E7B54"/>
    <w:rsid w:val="000F06E1"/>
    <w:rsid w:val="000F0E3C"/>
    <w:rsid w:val="000F19D5"/>
    <w:rsid w:val="000F2A7A"/>
    <w:rsid w:val="000F4AEA"/>
    <w:rsid w:val="000F5F49"/>
    <w:rsid w:val="000F633F"/>
    <w:rsid w:val="000F67E9"/>
    <w:rsid w:val="000F7CC5"/>
    <w:rsid w:val="00104926"/>
    <w:rsid w:val="00111D1E"/>
    <w:rsid w:val="00113705"/>
    <w:rsid w:val="00113B1E"/>
    <w:rsid w:val="0011711C"/>
    <w:rsid w:val="0012059C"/>
    <w:rsid w:val="00123608"/>
    <w:rsid w:val="00124E4F"/>
    <w:rsid w:val="001260B7"/>
    <w:rsid w:val="001265CB"/>
    <w:rsid w:val="001321C6"/>
    <w:rsid w:val="001325C4"/>
    <w:rsid w:val="00133010"/>
    <w:rsid w:val="001338EE"/>
    <w:rsid w:val="00133AAE"/>
    <w:rsid w:val="00135323"/>
    <w:rsid w:val="001356C4"/>
    <w:rsid w:val="001402B8"/>
    <w:rsid w:val="00141114"/>
    <w:rsid w:val="00142969"/>
    <w:rsid w:val="00144325"/>
    <w:rsid w:val="001446C2"/>
    <w:rsid w:val="001447F5"/>
    <w:rsid w:val="00145151"/>
    <w:rsid w:val="001457E7"/>
    <w:rsid w:val="00145D9D"/>
    <w:rsid w:val="00146388"/>
    <w:rsid w:val="00147672"/>
    <w:rsid w:val="001529E5"/>
    <w:rsid w:val="00153C7E"/>
    <w:rsid w:val="0015415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D80"/>
    <w:rsid w:val="00176DFD"/>
    <w:rsid w:val="00183C5D"/>
    <w:rsid w:val="001852C9"/>
    <w:rsid w:val="00190087"/>
    <w:rsid w:val="001913C4"/>
    <w:rsid w:val="0019303B"/>
    <w:rsid w:val="0019348F"/>
    <w:rsid w:val="00193A07"/>
    <w:rsid w:val="001941DB"/>
    <w:rsid w:val="00194C95"/>
    <w:rsid w:val="00195C34"/>
    <w:rsid w:val="00196621"/>
    <w:rsid w:val="00196EF5"/>
    <w:rsid w:val="001A1A53"/>
    <w:rsid w:val="001A234A"/>
    <w:rsid w:val="001A4CF3"/>
    <w:rsid w:val="001B06E8"/>
    <w:rsid w:val="001B5982"/>
    <w:rsid w:val="001B670F"/>
    <w:rsid w:val="001B71D0"/>
    <w:rsid w:val="001B71EE"/>
    <w:rsid w:val="001C04A8"/>
    <w:rsid w:val="001C091F"/>
    <w:rsid w:val="001C09ED"/>
    <w:rsid w:val="001C2C03"/>
    <w:rsid w:val="001C42F7"/>
    <w:rsid w:val="001C49E5"/>
    <w:rsid w:val="001C680C"/>
    <w:rsid w:val="001C7FEA"/>
    <w:rsid w:val="001D0499"/>
    <w:rsid w:val="001D0BBE"/>
    <w:rsid w:val="001D0ED4"/>
    <w:rsid w:val="001D212F"/>
    <w:rsid w:val="001D2415"/>
    <w:rsid w:val="001D29D7"/>
    <w:rsid w:val="001D2DE7"/>
    <w:rsid w:val="001D411C"/>
    <w:rsid w:val="001E0CD7"/>
    <w:rsid w:val="001E1B6A"/>
    <w:rsid w:val="001E2484"/>
    <w:rsid w:val="001E3CC4"/>
    <w:rsid w:val="001E4882"/>
    <w:rsid w:val="001E73AB"/>
    <w:rsid w:val="001F092D"/>
    <w:rsid w:val="001F143A"/>
    <w:rsid w:val="001F1605"/>
    <w:rsid w:val="001F2508"/>
    <w:rsid w:val="001F4816"/>
    <w:rsid w:val="001F4E94"/>
    <w:rsid w:val="001F4EE9"/>
    <w:rsid w:val="001F69B4"/>
    <w:rsid w:val="001F77C7"/>
    <w:rsid w:val="00200183"/>
    <w:rsid w:val="00200333"/>
    <w:rsid w:val="0020107D"/>
    <w:rsid w:val="00202AA4"/>
    <w:rsid w:val="002031F7"/>
    <w:rsid w:val="002033EE"/>
    <w:rsid w:val="002040E6"/>
    <w:rsid w:val="0020527B"/>
    <w:rsid w:val="00205E9A"/>
    <w:rsid w:val="00205F2C"/>
    <w:rsid w:val="00210B15"/>
    <w:rsid w:val="002142EA"/>
    <w:rsid w:val="0021533A"/>
    <w:rsid w:val="002204BB"/>
    <w:rsid w:val="00221B79"/>
    <w:rsid w:val="00221C6B"/>
    <w:rsid w:val="00224A2F"/>
    <w:rsid w:val="002253A1"/>
    <w:rsid w:val="00225CF8"/>
    <w:rsid w:val="0022794E"/>
    <w:rsid w:val="00233D64"/>
    <w:rsid w:val="0023482A"/>
    <w:rsid w:val="00235654"/>
    <w:rsid w:val="002359CB"/>
    <w:rsid w:val="00243540"/>
    <w:rsid w:val="0024497B"/>
    <w:rsid w:val="0024515B"/>
    <w:rsid w:val="00246021"/>
    <w:rsid w:val="0024666E"/>
    <w:rsid w:val="00247F52"/>
    <w:rsid w:val="00250B25"/>
    <w:rsid w:val="00250BBE"/>
    <w:rsid w:val="002515C2"/>
    <w:rsid w:val="0025194F"/>
    <w:rsid w:val="002543AD"/>
    <w:rsid w:val="0026148A"/>
    <w:rsid w:val="00262696"/>
    <w:rsid w:val="00263D25"/>
    <w:rsid w:val="00264259"/>
    <w:rsid w:val="002643C3"/>
    <w:rsid w:val="00264A0C"/>
    <w:rsid w:val="00265A8F"/>
    <w:rsid w:val="00266EEB"/>
    <w:rsid w:val="00267EF4"/>
    <w:rsid w:val="00270CB8"/>
    <w:rsid w:val="00272503"/>
    <w:rsid w:val="00272B08"/>
    <w:rsid w:val="002763D8"/>
    <w:rsid w:val="00276DF8"/>
    <w:rsid w:val="002771AC"/>
    <w:rsid w:val="0028087E"/>
    <w:rsid w:val="00280B97"/>
    <w:rsid w:val="00281BB8"/>
    <w:rsid w:val="00281E9E"/>
    <w:rsid w:val="00282405"/>
    <w:rsid w:val="00285170"/>
    <w:rsid w:val="00285361"/>
    <w:rsid w:val="0028560C"/>
    <w:rsid w:val="00291E35"/>
    <w:rsid w:val="00292D60"/>
    <w:rsid w:val="00293248"/>
    <w:rsid w:val="00293B30"/>
    <w:rsid w:val="00294D34"/>
    <w:rsid w:val="00294E3B"/>
    <w:rsid w:val="00295944"/>
    <w:rsid w:val="00296193"/>
    <w:rsid w:val="00296C66"/>
    <w:rsid w:val="00296EBE"/>
    <w:rsid w:val="002974E3"/>
    <w:rsid w:val="002A084B"/>
    <w:rsid w:val="002A1260"/>
    <w:rsid w:val="002A1589"/>
    <w:rsid w:val="002A1608"/>
    <w:rsid w:val="002A25DC"/>
    <w:rsid w:val="002A3AAB"/>
    <w:rsid w:val="002A4CEA"/>
    <w:rsid w:val="002A5977"/>
    <w:rsid w:val="002A5A13"/>
    <w:rsid w:val="002A68E9"/>
    <w:rsid w:val="002A757F"/>
    <w:rsid w:val="002A7F44"/>
    <w:rsid w:val="002B0C40"/>
    <w:rsid w:val="002B1966"/>
    <w:rsid w:val="002B227C"/>
    <w:rsid w:val="002B4508"/>
    <w:rsid w:val="002B5779"/>
    <w:rsid w:val="002B6BA0"/>
    <w:rsid w:val="002B7332"/>
    <w:rsid w:val="002B7F51"/>
    <w:rsid w:val="002C09E7"/>
    <w:rsid w:val="002C1E06"/>
    <w:rsid w:val="002C1E1C"/>
    <w:rsid w:val="002C3F07"/>
    <w:rsid w:val="002C5278"/>
    <w:rsid w:val="002C7EBB"/>
    <w:rsid w:val="002D06C1"/>
    <w:rsid w:val="002D1C65"/>
    <w:rsid w:val="002D42B5"/>
    <w:rsid w:val="002D4F1A"/>
    <w:rsid w:val="002D6EC6"/>
    <w:rsid w:val="002D79AC"/>
    <w:rsid w:val="002E039D"/>
    <w:rsid w:val="002E4D5A"/>
    <w:rsid w:val="002E6326"/>
    <w:rsid w:val="002E7A2E"/>
    <w:rsid w:val="002F30E0"/>
    <w:rsid w:val="002F35E4"/>
    <w:rsid w:val="002F3730"/>
    <w:rsid w:val="002F38E1"/>
    <w:rsid w:val="002F7AF6"/>
    <w:rsid w:val="00300E63"/>
    <w:rsid w:val="0030283D"/>
    <w:rsid w:val="00302F5F"/>
    <w:rsid w:val="0030441D"/>
    <w:rsid w:val="00306063"/>
    <w:rsid w:val="00306DC0"/>
    <w:rsid w:val="00313866"/>
    <w:rsid w:val="00313B85"/>
    <w:rsid w:val="00317988"/>
    <w:rsid w:val="003221B4"/>
    <w:rsid w:val="0032258D"/>
    <w:rsid w:val="00322E62"/>
    <w:rsid w:val="00324D13"/>
    <w:rsid w:val="00324D2A"/>
    <w:rsid w:val="00324EDD"/>
    <w:rsid w:val="003331E4"/>
    <w:rsid w:val="00336C64"/>
    <w:rsid w:val="00337162"/>
    <w:rsid w:val="0034194F"/>
    <w:rsid w:val="00344605"/>
    <w:rsid w:val="003456D4"/>
    <w:rsid w:val="00345CFA"/>
    <w:rsid w:val="003474AA"/>
    <w:rsid w:val="00350165"/>
    <w:rsid w:val="00350D1D"/>
    <w:rsid w:val="003528DD"/>
    <w:rsid w:val="00352C83"/>
    <w:rsid w:val="003538A7"/>
    <w:rsid w:val="003615D2"/>
    <w:rsid w:val="00363ACF"/>
    <w:rsid w:val="0036429C"/>
    <w:rsid w:val="00364A53"/>
    <w:rsid w:val="003654CB"/>
    <w:rsid w:val="00365AA9"/>
    <w:rsid w:val="00365F86"/>
    <w:rsid w:val="00365F87"/>
    <w:rsid w:val="00366E89"/>
    <w:rsid w:val="003700E5"/>
    <w:rsid w:val="003705F4"/>
    <w:rsid w:val="00370D58"/>
    <w:rsid w:val="00371316"/>
    <w:rsid w:val="0037214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16D7"/>
    <w:rsid w:val="003A4077"/>
    <w:rsid w:val="003A6A14"/>
    <w:rsid w:val="003B09AD"/>
    <w:rsid w:val="003B160A"/>
    <w:rsid w:val="003B1F18"/>
    <w:rsid w:val="003B3E56"/>
    <w:rsid w:val="003B5269"/>
    <w:rsid w:val="003B5BF0"/>
    <w:rsid w:val="003B60BF"/>
    <w:rsid w:val="003B6BE3"/>
    <w:rsid w:val="003C010C"/>
    <w:rsid w:val="003C0A6C"/>
    <w:rsid w:val="003C14F8"/>
    <w:rsid w:val="003C1AB0"/>
    <w:rsid w:val="003C3B7E"/>
    <w:rsid w:val="003C5A43"/>
    <w:rsid w:val="003C5B41"/>
    <w:rsid w:val="003D0519"/>
    <w:rsid w:val="003D0FF6"/>
    <w:rsid w:val="003D262C"/>
    <w:rsid w:val="003D514F"/>
    <w:rsid w:val="003D6D61"/>
    <w:rsid w:val="003D79C6"/>
    <w:rsid w:val="003E091D"/>
    <w:rsid w:val="003E1C53"/>
    <w:rsid w:val="003E2A69"/>
    <w:rsid w:val="003E2D49"/>
    <w:rsid w:val="003E2FD4"/>
    <w:rsid w:val="003E49F6"/>
    <w:rsid w:val="003E660F"/>
    <w:rsid w:val="003F0841"/>
    <w:rsid w:val="003F23D3"/>
    <w:rsid w:val="003F3F08"/>
    <w:rsid w:val="003F49F1"/>
    <w:rsid w:val="003F4F93"/>
    <w:rsid w:val="003F6272"/>
    <w:rsid w:val="00400E72"/>
    <w:rsid w:val="00401400"/>
    <w:rsid w:val="00404869"/>
    <w:rsid w:val="00405884"/>
    <w:rsid w:val="00407D39"/>
    <w:rsid w:val="004116C1"/>
    <w:rsid w:val="0041477A"/>
    <w:rsid w:val="004167A3"/>
    <w:rsid w:val="0043221C"/>
    <w:rsid w:val="00432DAA"/>
    <w:rsid w:val="00434305"/>
    <w:rsid w:val="00435DF7"/>
    <w:rsid w:val="004375A1"/>
    <w:rsid w:val="0044083F"/>
    <w:rsid w:val="00441AE7"/>
    <w:rsid w:val="004451F9"/>
    <w:rsid w:val="00445574"/>
    <w:rsid w:val="004467FB"/>
    <w:rsid w:val="00452D6B"/>
    <w:rsid w:val="00454484"/>
    <w:rsid w:val="0045517B"/>
    <w:rsid w:val="00463B77"/>
    <w:rsid w:val="00463C7B"/>
    <w:rsid w:val="004644A6"/>
    <w:rsid w:val="004659BD"/>
    <w:rsid w:val="00470775"/>
    <w:rsid w:val="004746B1"/>
    <w:rsid w:val="0047583F"/>
    <w:rsid w:val="00475DE8"/>
    <w:rsid w:val="004767A8"/>
    <w:rsid w:val="00481C44"/>
    <w:rsid w:val="00484936"/>
    <w:rsid w:val="00485C0B"/>
    <w:rsid w:val="00485C89"/>
    <w:rsid w:val="00486BE3"/>
    <w:rsid w:val="004905E4"/>
    <w:rsid w:val="00490A89"/>
    <w:rsid w:val="00490AB4"/>
    <w:rsid w:val="00492F02"/>
    <w:rsid w:val="004939AE"/>
    <w:rsid w:val="004962FB"/>
    <w:rsid w:val="004A12DF"/>
    <w:rsid w:val="004A17E6"/>
    <w:rsid w:val="004A1BA8"/>
    <w:rsid w:val="004A2574"/>
    <w:rsid w:val="004A4B57"/>
    <w:rsid w:val="004A63FA"/>
    <w:rsid w:val="004B0272"/>
    <w:rsid w:val="004B2658"/>
    <w:rsid w:val="004B2701"/>
    <w:rsid w:val="004B2E1B"/>
    <w:rsid w:val="004B3AA8"/>
    <w:rsid w:val="004B3E93"/>
    <w:rsid w:val="004B5E5A"/>
    <w:rsid w:val="004B7440"/>
    <w:rsid w:val="004C0EED"/>
    <w:rsid w:val="004C1FBC"/>
    <w:rsid w:val="004C3F1D"/>
    <w:rsid w:val="004C458D"/>
    <w:rsid w:val="004C7171"/>
    <w:rsid w:val="004C7556"/>
    <w:rsid w:val="004C7E8B"/>
    <w:rsid w:val="004C7E9D"/>
    <w:rsid w:val="004C7F67"/>
    <w:rsid w:val="004D076D"/>
    <w:rsid w:val="004D0EF1"/>
    <w:rsid w:val="004D2253"/>
    <w:rsid w:val="004D4406"/>
    <w:rsid w:val="004D7C42"/>
    <w:rsid w:val="004E0465"/>
    <w:rsid w:val="004E127B"/>
    <w:rsid w:val="004E1C0A"/>
    <w:rsid w:val="004E201A"/>
    <w:rsid w:val="004E2B06"/>
    <w:rsid w:val="004E30C5"/>
    <w:rsid w:val="004E4AA5"/>
    <w:rsid w:val="004E4AEE"/>
    <w:rsid w:val="004E59E3"/>
    <w:rsid w:val="004E67C0"/>
    <w:rsid w:val="004F391A"/>
    <w:rsid w:val="004F3CFB"/>
    <w:rsid w:val="004F5FE6"/>
    <w:rsid w:val="004F6456"/>
    <w:rsid w:val="004F696E"/>
    <w:rsid w:val="004F6C71"/>
    <w:rsid w:val="00501139"/>
    <w:rsid w:val="0050363E"/>
    <w:rsid w:val="005039BC"/>
    <w:rsid w:val="005043BB"/>
    <w:rsid w:val="00504A3D"/>
    <w:rsid w:val="00505767"/>
    <w:rsid w:val="00505D0C"/>
    <w:rsid w:val="005073F0"/>
    <w:rsid w:val="00510A7B"/>
    <w:rsid w:val="00512F6E"/>
    <w:rsid w:val="00513038"/>
    <w:rsid w:val="00513551"/>
    <w:rsid w:val="00514174"/>
    <w:rsid w:val="00516088"/>
    <w:rsid w:val="00516B0B"/>
    <w:rsid w:val="0052006B"/>
    <w:rsid w:val="005220EC"/>
    <w:rsid w:val="00523F95"/>
    <w:rsid w:val="00524D65"/>
    <w:rsid w:val="0052584F"/>
    <w:rsid w:val="00525B16"/>
    <w:rsid w:val="00533D04"/>
    <w:rsid w:val="00534804"/>
    <w:rsid w:val="00534BDF"/>
    <w:rsid w:val="005354EA"/>
    <w:rsid w:val="0053585F"/>
    <w:rsid w:val="00535EC4"/>
    <w:rsid w:val="00535ED9"/>
    <w:rsid w:val="0053692B"/>
    <w:rsid w:val="00541853"/>
    <w:rsid w:val="00543BDA"/>
    <w:rsid w:val="005441CC"/>
    <w:rsid w:val="00547023"/>
    <w:rsid w:val="005479DA"/>
    <w:rsid w:val="00547BCC"/>
    <w:rsid w:val="0055013B"/>
    <w:rsid w:val="00551F6F"/>
    <w:rsid w:val="00554596"/>
    <w:rsid w:val="00555044"/>
    <w:rsid w:val="0056094A"/>
    <w:rsid w:val="00561475"/>
    <w:rsid w:val="005616A6"/>
    <w:rsid w:val="0056487B"/>
    <w:rsid w:val="00564FB9"/>
    <w:rsid w:val="00573D9E"/>
    <w:rsid w:val="005801E3"/>
    <w:rsid w:val="00581802"/>
    <w:rsid w:val="005836A8"/>
    <w:rsid w:val="0058409C"/>
    <w:rsid w:val="00584262"/>
    <w:rsid w:val="00586630"/>
    <w:rsid w:val="00587ADD"/>
    <w:rsid w:val="00591E27"/>
    <w:rsid w:val="00594E32"/>
    <w:rsid w:val="00596160"/>
    <w:rsid w:val="005966E2"/>
    <w:rsid w:val="00597007"/>
    <w:rsid w:val="0059735A"/>
    <w:rsid w:val="005A0966"/>
    <w:rsid w:val="005A11B7"/>
    <w:rsid w:val="005A260B"/>
    <w:rsid w:val="005A30B3"/>
    <w:rsid w:val="005A4A1B"/>
    <w:rsid w:val="005A757B"/>
    <w:rsid w:val="005A7830"/>
    <w:rsid w:val="005A7FCE"/>
    <w:rsid w:val="005B094D"/>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E7ECC"/>
    <w:rsid w:val="005F0D9C"/>
    <w:rsid w:val="005F284E"/>
    <w:rsid w:val="005F2F05"/>
    <w:rsid w:val="005F4712"/>
    <w:rsid w:val="005F7047"/>
    <w:rsid w:val="006015CE"/>
    <w:rsid w:val="006022B0"/>
    <w:rsid w:val="00602D37"/>
    <w:rsid w:val="00604784"/>
    <w:rsid w:val="00605F7B"/>
    <w:rsid w:val="00606361"/>
    <w:rsid w:val="00606419"/>
    <w:rsid w:val="00607D29"/>
    <w:rsid w:val="00607F15"/>
    <w:rsid w:val="00612952"/>
    <w:rsid w:val="00613CA8"/>
    <w:rsid w:val="00614CC1"/>
    <w:rsid w:val="00615A9D"/>
    <w:rsid w:val="006161BB"/>
    <w:rsid w:val="006166DB"/>
    <w:rsid w:val="00617387"/>
    <w:rsid w:val="006205D6"/>
    <w:rsid w:val="006213A3"/>
    <w:rsid w:val="0062342F"/>
    <w:rsid w:val="00625004"/>
    <w:rsid w:val="006252D8"/>
    <w:rsid w:val="006259BC"/>
    <w:rsid w:val="0062636B"/>
    <w:rsid w:val="00632182"/>
    <w:rsid w:val="006326B9"/>
    <w:rsid w:val="00632AE0"/>
    <w:rsid w:val="00633C17"/>
    <w:rsid w:val="00634D9E"/>
    <w:rsid w:val="006368A3"/>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EF1"/>
    <w:rsid w:val="006640E5"/>
    <w:rsid w:val="006646F1"/>
    <w:rsid w:val="00664929"/>
    <w:rsid w:val="00664C0F"/>
    <w:rsid w:val="00664F62"/>
    <w:rsid w:val="006655E1"/>
    <w:rsid w:val="00672060"/>
    <w:rsid w:val="00672BFD"/>
    <w:rsid w:val="006770F4"/>
    <w:rsid w:val="00677A84"/>
    <w:rsid w:val="0068026D"/>
    <w:rsid w:val="00680A27"/>
    <w:rsid w:val="006813CB"/>
    <w:rsid w:val="006816A4"/>
    <w:rsid w:val="006819B8"/>
    <w:rsid w:val="006840A6"/>
    <w:rsid w:val="006850CD"/>
    <w:rsid w:val="00685AAB"/>
    <w:rsid w:val="00695A0C"/>
    <w:rsid w:val="00695D22"/>
    <w:rsid w:val="00696264"/>
    <w:rsid w:val="006A07AA"/>
    <w:rsid w:val="006A25E5"/>
    <w:rsid w:val="006A2B46"/>
    <w:rsid w:val="006A336D"/>
    <w:rsid w:val="006A37B9"/>
    <w:rsid w:val="006A66A4"/>
    <w:rsid w:val="006B0275"/>
    <w:rsid w:val="006B2672"/>
    <w:rsid w:val="006B38CA"/>
    <w:rsid w:val="006B54BF"/>
    <w:rsid w:val="006B5F44"/>
    <w:rsid w:val="006B5F90"/>
    <w:rsid w:val="006B62E4"/>
    <w:rsid w:val="006B6B7A"/>
    <w:rsid w:val="006C12A5"/>
    <w:rsid w:val="006C1BBA"/>
    <w:rsid w:val="006C2079"/>
    <w:rsid w:val="006C26CA"/>
    <w:rsid w:val="006C5A62"/>
    <w:rsid w:val="006C5D68"/>
    <w:rsid w:val="006C6976"/>
    <w:rsid w:val="006C6DD0"/>
    <w:rsid w:val="006C7E51"/>
    <w:rsid w:val="006D04EA"/>
    <w:rsid w:val="006D0AB7"/>
    <w:rsid w:val="006D16C4"/>
    <w:rsid w:val="006D3E96"/>
    <w:rsid w:val="006D4515"/>
    <w:rsid w:val="006D4BB1"/>
    <w:rsid w:val="006D6593"/>
    <w:rsid w:val="006E23EA"/>
    <w:rsid w:val="006F03A8"/>
    <w:rsid w:val="006F2418"/>
    <w:rsid w:val="006F25F4"/>
    <w:rsid w:val="006F2ACA"/>
    <w:rsid w:val="006F2ADC"/>
    <w:rsid w:val="006F2BFE"/>
    <w:rsid w:val="006F31E9"/>
    <w:rsid w:val="006F3E00"/>
    <w:rsid w:val="006F6284"/>
    <w:rsid w:val="007002C5"/>
    <w:rsid w:val="00704387"/>
    <w:rsid w:val="00706D47"/>
    <w:rsid w:val="00707669"/>
    <w:rsid w:val="00711CBA"/>
    <w:rsid w:val="00711FB5"/>
    <w:rsid w:val="00712A01"/>
    <w:rsid w:val="00714F58"/>
    <w:rsid w:val="00722FBF"/>
    <w:rsid w:val="00722FC2"/>
    <w:rsid w:val="00724879"/>
    <w:rsid w:val="00724E1B"/>
    <w:rsid w:val="00725649"/>
    <w:rsid w:val="00725949"/>
    <w:rsid w:val="00726746"/>
    <w:rsid w:val="00727FA2"/>
    <w:rsid w:val="007322D9"/>
    <w:rsid w:val="00732BC0"/>
    <w:rsid w:val="0073720F"/>
    <w:rsid w:val="00737796"/>
    <w:rsid w:val="0073797D"/>
    <w:rsid w:val="007407AD"/>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24B"/>
    <w:rsid w:val="00755402"/>
    <w:rsid w:val="0075648F"/>
    <w:rsid w:val="00756B26"/>
    <w:rsid w:val="00756EDF"/>
    <w:rsid w:val="007600E3"/>
    <w:rsid w:val="00765C43"/>
    <w:rsid w:val="00765EFB"/>
    <w:rsid w:val="007671CA"/>
    <w:rsid w:val="00767C61"/>
    <w:rsid w:val="0077008A"/>
    <w:rsid w:val="00770F86"/>
    <w:rsid w:val="00773C1F"/>
    <w:rsid w:val="00774DA4"/>
    <w:rsid w:val="00776599"/>
    <w:rsid w:val="00780E0D"/>
    <w:rsid w:val="0078114B"/>
    <w:rsid w:val="0078178B"/>
    <w:rsid w:val="00781DD2"/>
    <w:rsid w:val="00783ECF"/>
    <w:rsid w:val="0078413A"/>
    <w:rsid w:val="0079198A"/>
    <w:rsid w:val="007947CE"/>
    <w:rsid w:val="007959E8"/>
    <w:rsid w:val="00795E9C"/>
    <w:rsid w:val="00797CF1"/>
    <w:rsid w:val="007A0521"/>
    <w:rsid w:val="007A2E12"/>
    <w:rsid w:val="007A3256"/>
    <w:rsid w:val="007A3475"/>
    <w:rsid w:val="007A41C8"/>
    <w:rsid w:val="007A54CE"/>
    <w:rsid w:val="007A61E1"/>
    <w:rsid w:val="007A6FD9"/>
    <w:rsid w:val="007A7FFA"/>
    <w:rsid w:val="007B04EB"/>
    <w:rsid w:val="007B0D4F"/>
    <w:rsid w:val="007B5A3D"/>
    <w:rsid w:val="007B5B95"/>
    <w:rsid w:val="007B68EA"/>
    <w:rsid w:val="007B7453"/>
    <w:rsid w:val="007C1E8B"/>
    <w:rsid w:val="007C2D89"/>
    <w:rsid w:val="007C3EAE"/>
    <w:rsid w:val="007C4593"/>
    <w:rsid w:val="007C4D50"/>
    <w:rsid w:val="007C5309"/>
    <w:rsid w:val="007C6069"/>
    <w:rsid w:val="007D06C4"/>
    <w:rsid w:val="007D0CD6"/>
    <w:rsid w:val="007D1352"/>
    <w:rsid w:val="007D2508"/>
    <w:rsid w:val="007D346A"/>
    <w:rsid w:val="007D6518"/>
    <w:rsid w:val="007D76BD"/>
    <w:rsid w:val="007E0BF1"/>
    <w:rsid w:val="007E7FA2"/>
    <w:rsid w:val="007F0ED8"/>
    <w:rsid w:val="007F0F63"/>
    <w:rsid w:val="007F110C"/>
    <w:rsid w:val="007F75CE"/>
    <w:rsid w:val="008013A4"/>
    <w:rsid w:val="008027CE"/>
    <w:rsid w:val="00802F42"/>
    <w:rsid w:val="00803875"/>
    <w:rsid w:val="0080429F"/>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9C6"/>
    <w:rsid w:val="00825138"/>
    <w:rsid w:val="008269DD"/>
    <w:rsid w:val="00830621"/>
    <w:rsid w:val="00831750"/>
    <w:rsid w:val="0083348C"/>
    <w:rsid w:val="008373D3"/>
    <w:rsid w:val="00840617"/>
    <w:rsid w:val="00840F84"/>
    <w:rsid w:val="00842A47"/>
    <w:rsid w:val="00843C13"/>
    <w:rsid w:val="00844D06"/>
    <w:rsid w:val="008454F8"/>
    <w:rsid w:val="0085173A"/>
    <w:rsid w:val="008529EA"/>
    <w:rsid w:val="0085576F"/>
    <w:rsid w:val="00856316"/>
    <w:rsid w:val="0085721B"/>
    <w:rsid w:val="008603CE"/>
    <w:rsid w:val="008611EF"/>
    <w:rsid w:val="008620FC"/>
    <w:rsid w:val="008627A5"/>
    <w:rsid w:val="00863E05"/>
    <w:rsid w:val="00865ACA"/>
    <w:rsid w:val="00865D28"/>
    <w:rsid w:val="00865F85"/>
    <w:rsid w:val="00867C10"/>
    <w:rsid w:val="00870439"/>
    <w:rsid w:val="00870DA1"/>
    <w:rsid w:val="008811CB"/>
    <w:rsid w:val="00883F93"/>
    <w:rsid w:val="00884DB3"/>
    <w:rsid w:val="00885A9D"/>
    <w:rsid w:val="008864F6"/>
    <w:rsid w:val="0089049D"/>
    <w:rsid w:val="008928C9"/>
    <w:rsid w:val="008930CB"/>
    <w:rsid w:val="008938DC"/>
    <w:rsid w:val="00893FD1"/>
    <w:rsid w:val="00894836"/>
    <w:rsid w:val="00895172"/>
    <w:rsid w:val="00895680"/>
    <w:rsid w:val="0089634B"/>
    <w:rsid w:val="00896DFF"/>
    <w:rsid w:val="0089762C"/>
    <w:rsid w:val="008A175A"/>
    <w:rsid w:val="008A1893"/>
    <w:rsid w:val="008A3215"/>
    <w:rsid w:val="008A57E6"/>
    <w:rsid w:val="008A6034"/>
    <w:rsid w:val="008A6F81"/>
    <w:rsid w:val="008A769A"/>
    <w:rsid w:val="008B0C9C"/>
    <w:rsid w:val="008B166D"/>
    <w:rsid w:val="008B17F4"/>
    <w:rsid w:val="008B3615"/>
    <w:rsid w:val="008B3BED"/>
    <w:rsid w:val="008B4AC4"/>
    <w:rsid w:val="008B50C8"/>
    <w:rsid w:val="008B5281"/>
    <w:rsid w:val="008B7B48"/>
    <w:rsid w:val="008B7E05"/>
    <w:rsid w:val="008C1797"/>
    <w:rsid w:val="008C219C"/>
    <w:rsid w:val="008C3E74"/>
    <w:rsid w:val="008C475E"/>
    <w:rsid w:val="008C619A"/>
    <w:rsid w:val="008D0CE8"/>
    <w:rsid w:val="008D0E80"/>
    <w:rsid w:val="008D2D1D"/>
    <w:rsid w:val="008D3033"/>
    <w:rsid w:val="008D453D"/>
    <w:rsid w:val="008D4C0B"/>
    <w:rsid w:val="008D53AD"/>
    <w:rsid w:val="008D562B"/>
    <w:rsid w:val="008D5733"/>
    <w:rsid w:val="008D622B"/>
    <w:rsid w:val="008D666C"/>
    <w:rsid w:val="008D6C8D"/>
    <w:rsid w:val="008D7B54"/>
    <w:rsid w:val="008E02D3"/>
    <w:rsid w:val="008E0C9D"/>
    <w:rsid w:val="008E1648"/>
    <w:rsid w:val="008E1B3E"/>
    <w:rsid w:val="008E2319"/>
    <w:rsid w:val="008E4BB6"/>
    <w:rsid w:val="008E5518"/>
    <w:rsid w:val="008E6A84"/>
    <w:rsid w:val="008F0CDC"/>
    <w:rsid w:val="008F17A3"/>
    <w:rsid w:val="008F1ED3"/>
    <w:rsid w:val="008F23A5"/>
    <w:rsid w:val="008F4C29"/>
    <w:rsid w:val="008F70BD"/>
    <w:rsid w:val="008F7371"/>
    <w:rsid w:val="008F788F"/>
    <w:rsid w:val="008F7EA2"/>
    <w:rsid w:val="00902722"/>
    <w:rsid w:val="009027BC"/>
    <w:rsid w:val="009062E6"/>
    <w:rsid w:val="00911BE5"/>
    <w:rsid w:val="00913CA9"/>
    <w:rsid w:val="009145AE"/>
    <w:rsid w:val="009146CE"/>
    <w:rsid w:val="00914CA7"/>
    <w:rsid w:val="009159F4"/>
    <w:rsid w:val="00915C3E"/>
    <w:rsid w:val="009161A8"/>
    <w:rsid w:val="00916BF0"/>
    <w:rsid w:val="00916EB4"/>
    <w:rsid w:val="0092037E"/>
    <w:rsid w:val="00923BC7"/>
    <w:rsid w:val="009245F5"/>
    <w:rsid w:val="009249EC"/>
    <w:rsid w:val="009273B3"/>
    <w:rsid w:val="009305B5"/>
    <w:rsid w:val="00930AB5"/>
    <w:rsid w:val="00932AC2"/>
    <w:rsid w:val="0093421F"/>
    <w:rsid w:val="00940DC8"/>
    <w:rsid w:val="009429D5"/>
    <w:rsid w:val="00942BF1"/>
    <w:rsid w:val="00945180"/>
    <w:rsid w:val="00945428"/>
    <w:rsid w:val="0094607B"/>
    <w:rsid w:val="00953604"/>
    <w:rsid w:val="0095496B"/>
    <w:rsid w:val="009610DC"/>
    <w:rsid w:val="00961490"/>
    <w:rsid w:val="0096381A"/>
    <w:rsid w:val="0096423F"/>
    <w:rsid w:val="00965E04"/>
    <w:rsid w:val="009674AD"/>
    <w:rsid w:val="00970CDC"/>
    <w:rsid w:val="00973BEA"/>
    <w:rsid w:val="00977010"/>
    <w:rsid w:val="00977D02"/>
    <w:rsid w:val="009809BB"/>
    <w:rsid w:val="0098364B"/>
    <w:rsid w:val="009911AF"/>
    <w:rsid w:val="00991875"/>
    <w:rsid w:val="00991CB0"/>
    <w:rsid w:val="00991F92"/>
    <w:rsid w:val="00992985"/>
    <w:rsid w:val="00993889"/>
    <w:rsid w:val="0099551B"/>
    <w:rsid w:val="00997BF1"/>
    <w:rsid w:val="009A089C"/>
    <w:rsid w:val="009A118E"/>
    <w:rsid w:val="009A21CD"/>
    <w:rsid w:val="009A278C"/>
    <w:rsid w:val="009A2BC2"/>
    <w:rsid w:val="009A3E83"/>
    <w:rsid w:val="009A42C1"/>
    <w:rsid w:val="009A4646"/>
    <w:rsid w:val="009A5429"/>
    <w:rsid w:val="009A72AD"/>
    <w:rsid w:val="009B09E0"/>
    <w:rsid w:val="009B0BC5"/>
    <w:rsid w:val="009B1247"/>
    <w:rsid w:val="009B46F9"/>
    <w:rsid w:val="009B6029"/>
    <w:rsid w:val="009B6971"/>
    <w:rsid w:val="009B77C2"/>
    <w:rsid w:val="009C036C"/>
    <w:rsid w:val="009C15D6"/>
    <w:rsid w:val="009C27F1"/>
    <w:rsid w:val="009C2922"/>
    <w:rsid w:val="009C3152"/>
    <w:rsid w:val="009C373D"/>
    <w:rsid w:val="009C4CFA"/>
    <w:rsid w:val="009C5070"/>
    <w:rsid w:val="009D0067"/>
    <w:rsid w:val="009D112C"/>
    <w:rsid w:val="009D47FA"/>
    <w:rsid w:val="009D4C5B"/>
    <w:rsid w:val="009D50D2"/>
    <w:rsid w:val="009D6BCA"/>
    <w:rsid w:val="009E0F62"/>
    <w:rsid w:val="009E4A58"/>
    <w:rsid w:val="009E5A2D"/>
    <w:rsid w:val="009E5AB2"/>
    <w:rsid w:val="009E6219"/>
    <w:rsid w:val="009E64F6"/>
    <w:rsid w:val="009F03B3"/>
    <w:rsid w:val="00A0096C"/>
    <w:rsid w:val="00A01757"/>
    <w:rsid w:val="00A028C0"/>
    <w:rsid w:val="00A02BAE"/>
    <w:rsid w:val="00A06A6B"/>
    <w:rsid w:val="00A07E47"/>
    <w:rsid w:val="00A129D0"/>
    <w:rsid w:val="00A12C33"/>
    <w:rsid w:val="00A1360F"/>
    <w:rsid w:val="00A138BA"/>
    <w:rsid w:val="00A14C8E"/>
    <w:rsid w:val="00A153D9"/>
    <w:rsid w:val="00A15F09"/>
    <w:rsid w:val="00A169B6"/>
    <w:rsid w:val="00A21461"/>
    <w:rsid w:val="00A2271D"/>
    <w:rsid w:val="00A237D5"/>
    <w:rsid w:val="00A30EFC"/>
    <w:rsid w:val="00A31984"/>
    <w:rsid w:val="00A322C0"/>
    <w:rsid w:val="00A32D73"/>
    <w:rsid w:val="00A32EC1"/>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7FA"/>
    <w:rsid w:val="00A57DCF"/>
    <w:rsid w:val="00A63980"/>
    <w:rsid w:val="00A648CD"/>
    <w:rsid w:val="00A6537A"/>
    <w:rsid w:val="00A65BAD"/>
    <w:rsid w:val="00A66353"/>
    <w:rsid w:val="00A67866"/>
    <w:rsid w:val="00A67AF8"/>
    <w:rsid w:val="00A70B07"/>
    <w:rsid w:val="00A70DC7"/>
    <w:rsid w:val="00A719A7"/>
    <w:rsid w:val="00A71B55"/>
    <w:rsid w:val="00A723F8"/>
    <w:rsid w:val="00A77CCB"/>
    <w:rsid w:val="00A83A4C"/>
    <w:rsid w:val="00A83D8D"/>
    <w:rsid w:val="00A83F3D"/>
    <w:rsid w:val="00A8446B"/>
    <w:rsid w:val="00A8473F"/>
    <w:rsid w:val="00A862D6"/>
    <w:rsid w:val="00A8715E"/>
    <w:rsid w:val="00A87BF5"/>
    <w:rsid w:val="00A9295B"/>
    <w:rsid w:val="00A92E0D"/>
    <w:rsid w:val="00A93B09"/>
    <w:rsid w:val="00A940B1"/>
    <w:rsid w:val="00A94247"/>
    <w:rsid w:val="00A952D7"/>
    <w:rsid w:val="00A963F7"/>
    <w:rsid w:val="00A96AD8"/>
    <w:rsid w:val="00AA052C"/>
    <w:rsid w:val="00AA1668"/>
    <w:rsid w:val="00AA1E45"/>
    <w:rsid w:val="00AA4286"/>
    <w:rsid w:val="00AA456B"/>
    <w:rsid w:val="00AA57F5"/>
    <w:rsid w:val="00AA672E"/>
    <w:rsid w:val="00AA6EC9"/>
    <w:rsid w:val="00AB1133"/>
    <w:rsid w:val="00AB303E"/>
    <w:rsid w:val="00AB41D5"/>
    <w:rsid w:val="00AB6309"/>
    <w:rsid w:val="00AB6C5F"/>
    <w:rsid w:val="00AB7129"/>
    <w:rsid w:val="00AC27A6"/>
    <w:rsid w:val="00AC2B8F"/>
    <w:rsid w:val="00AC30F7"/>
    <w:rsid w:val="00AC3A5A"/>
    <w:rsid w:val="00AC4D95"/>
    <w:rsid w:val="00AC5DF4"/>
    <w:rsid w:val="00AD0AEF"/>
    <w:rsid w:val="00AD11B7"/>
    <w:rsid w:val="00AD1A94"/>
    <w:rsid w:val="00AD1C05"/>
    <w:rsid w:val="00AD4126"/>
    <w:rsid w:val="00AD421C"/>
    <w:rsid w:val="00AD44FA"/>
    <w:rsid w:val="00AD5F85"/>
    <w:rsid w:val="00AE070A"/>
    <w:rsid w:val="00AE101C"/>
    <w:rsid w:val="00AE37E5"/>
    <w:rsid w:val="00AE5EB4"/>
    <w:rsid w:val="00AE6248"/>
    <w:rsid w:val="00AF0C18"/>
    <w:rsid w:val="00AF136F"/>
    <w:rsid w:val="00AF3661"/>
    <w:rsid w:val="00AF47C5"/>
    <w:rsid w:val="00AF5398"/>
    <w:rsid w:val="00AF5C1C"/>
    <w:rsid w:val="00AF6D2A"/>
    <w:rsid w:val="00B049AF"/>
    <w:rsid w:val="00B07242"/>
    <w:rsid w:val="00B10534"/>
    <w:rsid w:val="00B113DB"/>
    <w:rsid w:val="00B11D8A"/>
    <w:rsid w:val="00B12981"/>
    <w:rsid w:val="00B147DD"/>
    <w:rsid w:val="00B156FD"/>
    <w:rsid w:val="00B21F61"/>
    <w:rsid w:val="00B261F1"/>
    <w:rsid w:val="00B2651E"/>
    <w:rsid w:val="00B265BC"/>
    <w:rsid w:val="00B268BB"/>
    <w:rsid w:val="00B27E0B"/>
    <w:rsid w:val="00B31F3A"/>
    <w:rsid w:val="00B31FB1"/>
    <w:rsid w:val="00B33952"/>
    <w:rsid w:val="00B33C5E"/>
    <w:rsid w:val="00B34032"/>
    <w:rsid w:val="00B342F4"/>
    <w:rsid w:val="00B34369"/>
    <w:rsid w:val="00B34DC2"/>
    <w:rsid w:val="00B378E5"/>
    <w:rsid w:val="00B41349"/>
    <w:rsid w:val="00B4346D"/>
    <w:rsid w:val="00B440F4"/>
    <w:rsid w:val="00B4426E"/>
    <w:rsid w:val="00B447A5"/>
    <w:rsid w:val="00B4654C"/>
    <w:rsid w:val="00B46AF0"/>
    <w:rsid w:val="00B47293"/>
    <w:rsid w:val="00B50E50"/>
    <w:rsid w:val="00B52120"/>
    <w:rsid w:val="00B54ABC"/>
    <w:rsid w:val="00B54DDE"/>
    <w:rsid w:val="00B56FBE"/>
    <w:rsid w:val="00B60ACF"/>
    <w:rsid w:val="00B62B58"/>
    <w:rsid w:val="00B6413D"/>
    <w:rsid w:val="00B65149"/>
    <w:rsid w:val="00B66567"/>
    <w:rsid w:val="00B66F52"/>
    <w:rsid w:val="00B66FE5"/>
    <w:rsid w:val="00B72629"/>
    <w:rsid w:val="00B72880"/>
    <w:rsid w:val="00B758BF"/>
    <w:rsid w:val="00B75DF0"/>
    <w:rsid w:val="00B77EC8"/>
    <w:rsid w:val="00B827A6"/>
    <w:rsid w:val="00B831CE"/>
    <w:rsid w:val="00B86677"/>
    <w:rsid w:val="00B86A26"/>
    <w:rsid w:val="00B87131"/>
    <w:rsid w:val="00B939B1"/>
    <w:rsid w:val="00B96D40"/>
    <w:rsid w:val="00B97386"/>
    <w:rsid w:val="00BA0591"/>
    <w:rsid w:val="00BA263B"/>
    <w:rsid w:val="00BA36DD"/>
    <w:rsid w:val="00BA42B2"/>
    <w:rsid w:val="00BA58D4"/>
    <w:rsid w:val="00BA5B9E"/>
    <w:rsid w:val="00BA7C9A"/>
    <w:rsid w:val="00BB195C"/>
    <w:rsid w:val="00BB203B"/>
    <w:rsid w:val="00BB5F8F"/>
    <w:rsid w:val="00BB657A"/>
    <w:rsid w:val="00BC0D61"/>
    <w:rsid w:val="00BC10E1"/>
    <w:rsid w:val="00BC16CC"/>
    <w:rsid w:val="00BC1A4E"/>
    <w:rsid w:val="00BC4790"/>
    <w:rsid w:val="00BC5DC7"/>
    <w:rsid w:val="00BC6B8B"/>
    <w:rsid w:val="00BC73D8"/>
    <w:rsid w:val="00BD2432"/>
    <w:rsid w:val="00BD52D7"/>
    <w:rsid w:val="00BD5AD2"/>
    <w:rsid w:val="00BD65A6"/>
    <w:rsid w:val="00BD6F88"/>
    <w:rsid w:val="00BE22F3"/>
    <w:rsid w:val="00BE5B52"/>
    <w:rsid w:val="00BE7B8D"/>
    <w:rsid w:val="00BF0993"/>
    <w:rsid w:val="00BF10A9"/>
    <w:rsid w:val="00BF1703"/>
    <w:rsid w:val="00BF231C"/>
    <w:rsid w:val="00BF51E5"/>
    <w:rsid w:val="00BF74A6"/>
    <w:rsid w:val="00C00E05"/>
    <w:rsid w:val="00C013AD"/>
    <w:rsid w:val="00C01AA0"/>
    <w:rsid w:val="00C03BEA"/>
    <w:rsid w:val="00C04904"/>
    <w:rsid w:val="00C056B3"/>
    <w:rsid w:val="00C103E5"/>
    <w:rsid w:val="00C13319"/>
    <w:rsid w:val="00C13EE9"/>
    <w:rsid w:val="00C17711"/>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4E1C"/>
    <w:rsid w:val="00C50BD0"/>
    <w:rsid w:val="00C521D6"/>
    <w:rsid w:val="00C54BF5"/>
    <w:rsid w:val="00C55232"/>
    <w:rsid w:val="00C553A4"/>
    <w:rsid w:val="00C55A06"/>
    <w:rsid w:val="00C55D03"/>
    <w:rsid w:val="00C573A5"/>
    <w:rsid w:val="00C601BC"/>
    <w:rsid w:val="00C6329F"/>
    <w:rsid w:val="00C63340"/>
    <w:rsid w:val="00C643F9"/>
    <w:rsid w:val="00C64E95"/>
    <w:rsid w:val="00C6621F"/>
    <w:rsid w:val="00C71372"/>
    <w:rsid w:val="00C72410"/>
    <w:rsid w:val="00C7287F"/>
    <w:rsid w:val="00C80982"/>
    <w:rsid w:val="00C80CB8"/>
    <w:rsid w:val="00C819F8"/>
    <w:rsid w:val="00C8248C"/>
    <w:rsid w:val="00C84E33"/>
    <w:rsid w:val="00C86D6F"/>
    <w:rsid w:val="00C905FC"/>
    <w:rsid w:val="00C92390"/>
    <w:rsid w:val="00C92D03"/>
    <w:rsid w:val="00C9319C"/>
    <w:rsid w:val="00C9435D"/>
    <w:rsid w:val="00C94DF2"/>
    <w:rsid w:val="00C96741"/>
    <w:rsid w:val="00CA28B0"/>
    <w:rsid w:val="00CA2D1B"/>
    <w:rsid w:val="00CA375D"/>
    <w:rsid w:val="00CA42C5"/>
    <w:rsid w:val="00CA505D"/>
    <w:rsid w:val="00CA5B3E"/>
    <w:rsid w:val="00CA662A"/>
    <w:rsid w:val="00CA7AFD"/>
    <w:rsid w:val="00CA7C3C"/>
    <w:rsid w:val="00CB0189"/>
    <w:rsid w:val="00CB0BA2"/>
    <w:rsid w:val="00CB1681"/>
    <w:rsid w:val="00CB1A11"/>
    <w:rsid w:val="00CB1A42"/>
    <w:rsid w:val="00CB1B0C"/>
    <w:rsid w:val="00CB1FBF"/>
    <w:rsid w:val="00CB2C0B"/>
    <w:rsid w:val="00CB517D"/>
    <w:rsid w:val="00CC038D"/>
    <w:rsid w:val="00CC08DB"/>
    <w:rsid w:val="00CC1307"/>
    <w:rsid w:val="00CC2EC7"/>
    <w:rsid w:val="00CC39FF"/>
    <w:rsid w:val="00CC3C2F"/>
    <w:rsid w:val="00CC4446"/>
    <w:rsid w:val="00CC4AC8"/>
    <w:rsid w:val="00CC5233"/>
    <w:rsid w:val="00CC5B60"/>
    <w:rsid w:val="00CC5DE6"/>
    <w:rsid w:val="00CC6E4E"/>
    <w:rsid w:val="00CC6FE8"/>
    <w:rsid w:val="00CC7202"/>
    <w:rsid w:val="00CC78AA"/>
    <w:rsid w:val="00CD0862"/>
    <w:rsid w:val="00CD0DC3"/>
    <w:rsid w:val="00CD2808"/>
    <w:rsid w:val="00CD28BF"/>
    <w:rsid w:val="00CD4092"/>
    <w:rsid w:val="00CD4A20"/>
    <w:rsid w:val="00CD50A1"/>
    <w:rsid w:val="00CD519E"/>
    <w:rsid w:val="00CD561D"/>
    <w:rsid w:val="00CD7AED"/>
    <w:rsid w:val="00CD7FF3"/>
    <w:rsid w:val="00CE0346"/>
    <w:rsid w:val="00CE0C4F"/>
    <w:rsid w:val="00CE30EA"/>
    <w:rsid w:val="00CF048A"/>
    <w:rsid w:val="00CF155A"/>
    <w:rsid w:val="00CF2947"/>
    <w:rsid w:val="00CF686F"/>
    <w:rsid w:val="00CF6E60"/>
    <w:rsid w:val="00CF7737"/>
    <w:rsid w:val="00CF7BCA"/>
    <w:rsid w:val="00D008FD"/>
    <w:rsid w:val="00D0257C"/>
    <w:rsid w:val="00D0321C"/>
    <w:rsid w:val="00D035EC"/>
    <w:rsid w:val="00D04171"/>
    <w:rsid w:val="00D05CB0"/>
    <w:rsid w:val="00D0682D"/>
    <w:rsid w:val="00D06AB1"/>
    <w:rsid w:val="00D072ED"/>
    <w:rsid w:val="00D07A16"/>
    <w:rsid w:val="00D1067E"/>
    <w:rsid w:val="00D10F50"/>
    <w:rsid w:val="00D11272"/>
    <w:rsid w:val="00D126F5"/>
    <w:rsid w:val="00D1489E"/>
    <w:rsid w:val="00D14F00"/>
    <w:rsid w:val="00D20737"/>
    <w:rsid w:val="00D21E81"/>
    <w:rsid w:val="00D223DE"/>
    <w:rsid w:val="00D23BF4"/>
    <w:rsid w:val="00D25E37"/>
    <w:rsid w:val="00D2661A"/>
    <w:rsid w:val="00D27582"/>
    <w:rsid w:val="00D27EC4"/>
    <w:rsid w:val="00D300B0"/>
    <w:rsid w:val="00D32719"/>
    <w:rsid w:val="00D33333"/>
    <w:rsid w:val="00D33457"/>
    <w:rsid w:val="00D352A2"/>
    <w:rsid w:val="00D3660F"/>
    <w:rsid w:val="00D40E31"/>
    <w:rsid w:val="00D4162B"/>
    <w:rsid w:val="00D433AD"/>
    <w:rsid w:val="00D4514F"/>
    <w:rsid w:val="00D451E2"/>
    <w:rsid w:val="00D45E89"/>
    <w:rsid w:val="00D45E8D"/>
    <w:rsid w:val="00D466AE"/>
    <w:rsid w:val="00D4734F"/>
    <w:rsid w:val="00D47571"/>
    <w:rsid w:val="00D51BF3"/>
    <w:rsid w:val="00D56D53"/>
    <w:rsid w:val="00D628EB"/>
    <w:rsid w:val="00D66846"/>
    <w:rsid w:val="00D675FB"/>
    <w:rsid w:val="00D71F25"/>
    <w:rsid w:val="00D72A9C"/>
    <w:rsid w:val="00D72DFC"/>
    <w:rsid w:val="00D77031"/>
    <w:rsid w:val="00D81CAE"/>
    <w:rsid w:val="00D84941"/>
    <w:rsid w:val="00D84FA1"/>
    <w:rsid w:val="00D851F0"/>
    <w:rsid w:val="00D86097"/>
    <w:rsid w:val="00D86DB7"/>
    <w:rsid w:val="00D926D0"/>
    <w:rsid w:val="00D93030"/>
    <w:rsid w:val="00D932BD"/>
    <w:rsid w:val="00D950E1"/>
    <w:rsid w:val="00D952A6"/>
    <w:rsid w:val="00D97F99"/>
    <w:rsid w:val="00DA0A33"/>
    <w:rsid w:val="00DA1C90"/>
    <w:rsid w:val="00DA1E08"/>
    <w:rsid w:val="00DA24F8"/>
    <w:rsid w:val="00DA28E8"/>
    <w:rsid w:val="00DA38D3"/>
    <w:rsid w:val="00DA3932"/>
    <w:rsid w:val="00DA3AFC"/>
    <w:rsid w:val="00DA5191"/>
    <w:rsid w:val="00DA64F8"/>
    <w:rsid w:val="00DA6C15"/>
    <w:rsid w:val="00DB0258"/>
    <w:rsid w:val="00DB1FFA"/>
    <w:rsid w:val="00DB38EE"/>
    <w:rsid w:val="00DB498B"/>
    <w:rsid w:val="00DB66CA"/>
    <w:rsid w:val="00DB6BCA"/>
    <w:rsid w:val="00DB73F7"/>
    <w:rsid w:val="00DC0321"/>
    <w:rsid w:val="00DC09DC"/>
    <w:rsid w:val="00DC227A"/>
    <w:rsid w:val="00DC3067"/>
    <w:rsid w:val="00DC370B"/>
    <w:rsid w:val="00DC5B90"/>
    <w:rsid w:val="00DD00FF"/>
    <w:rsid w:val="00DD0619"/>
    <w:rsid w:val="00DD07FB"/>
    <w:rsid w:val="00DD25C6"/>
    <w:rsid w:val="00DD4FE5"/>
    <w:rsid w:val="00DD54B0"/>
    <w:rsid w:val="00DD57EE"/>
    <w:rsid w:val="00DD6BCC"/>
    <w:rsid w:val="00DE0239"/>
    <w:rsid w:val="00DE0A4B"/>
    <w:rsid w:val="00DE2410"/>
    <w:rsid w:val="00DE2939"/>
    <w:rsid w:val="00DE6E81"/>
    <w:rsid w:val="00DE703F"/>
    <w:rsid w:val="00DE7595"/>
    <w:rsid w:val="00DF1961"/>
    <w:rsid w:val="00DF2B17"/>
    <w:rsid w:val="00DF30AA"/>
    <w:rsid w:val="00DF44DE"/>
    <w:rsid w:val="00DF5F11"/>
    <w:rsid w:val="00E0044C"/>
    <w:rsid w:val="00E01138"/>
    <w:rsid w:val="00E01823"/>
    <w:rsid w:val="00E01DC7"/>
    <w:rsid w:val="00E02DFB"/>
    <w:rsid w:val="00E030F9"/>
    <w:rsid w:val="00E0311A"/>
    <w:rsid w:val="00E03138"/>
    <w:rsid w:val="00E04300"/>
    <w:rsid w:val="00E05526"/>
    <w:rsid w:val="00E05D88"/>
    <w:rsid w:val="00E06404"/>
    <w:rsid w:val="00E065D2"/>
    <w:rsid w:val="00E115D4"/>
    <w:rsid w:val="00E11A85"/>
    <w:rsid w:val="00E12495"/>
    <w:rsid w:val="00E13A1A"/>
    <w:rsid w:val="00E14266"/>
    <w:rsid w:val="00E147C3"/>
    <w:rsid w:val="00E15CCD"/>
    <w:rsid w:val="00E202EF"/>
    <w:rsid w:val="00E210B5"/>
    <w:rsid w:val="00E23D99"/>
    <w:rsid w:val="00E2552F"/>
    <w:rsid w:val="00E3137A"/>
    <w:rsid w:val="00E32CCF"/>
    <w:rsid w:val="00E34A98"/>
    <w:rsid w:val="00E35D1E"/>
    <w:rsid w:val="00E364F9"/>
    <w:rsid w:val="00E365FA"/>
    <w:rsid w:val="00E36789"/>
    <w:rsid w:val="00E4021B"/>
    <w:rsid w:val="00E44A83"/>
    <w:rsid w:val="00E452C0"/>
    <w:rsid w:val="00E502C1"/>
    <w:rsid w:val="00E502DD"/>
    <w:rsid w:val="00E50D3A"/>
    <w:rsid w:val="00E51387"/>
    <w:rsid w:val="00E51E68"/>
    <w:rsid w:val="00E52EFD"/>
    <w:rsid w:val="00E5408A"/>
    <w:rsid w:val="00E56800"/>
    <w:rsid w:val="00E60C63"/>
    <w:rsid w:val="00E6117E"/>
    <w:rsid w:val="00E62FF9"/>
    <w:rsid w:val="00E635D6"/>
    <w:rsid w:val="00E639BC"/>
    <w:rsid w:val="00E664CC"/>
    <w:rsid w:val="00E67476"/>
    <w:rsid w:val="00E70378"/>
    <w:rsid w:val="00E70388"/>
    <w:rsid w:val="00E70F92"/>
    <w:rsid w:val="00E71E22"/>
    <w:rsid w:val="00E73B00"/>
    <w:rsid w:val="00E74C54"/>
    <w:rsid w:val="00E76543"/>
    <w:rsid w:val="00E77A03"/>
    <w:rsid w:val="00E8028F"/>
    <w:rsid w:val="00E822E8"/>
    <w:rsid w:val="00E82554"/>
    <w:rsid w:val="00E82606"/>
    <w:rsid w:val="00E846C8"/>
    <w:rsid w:val="00E84957"/>
    <w:rsid w:val="00E84A55"/>
    <w:rsid w:val="00E85BFF"/>
    <w:rsid w:val="00E90391"/>
    <w:rsid w:val="00E906C2"/>
    <w:rsid w:val="00E908B5"/>
    <w:rsid w:val="00E910BF"/>
    <w:rsid w:val="00E9311F"/>
    <w:rsid w:val="00E934D1"/>
    <w:rsid w:val="00E93ABF"/>
    <w:rsid w:val="00E94AF0"/>
    <w:rsid w:val="00E95D13"/>
    <w:rsid w:val="00E95DD3"/>
    <w:rsid w:val="00E969D5"/>
    <w:rsid w:val="00EA2CC8"/>
    <w:rsid w:val="00EA4A67"/>
    <w:rsid w:val="00EA58D1"/>
    <w:rsid w:val="00EA61BC"/>
    <w:rsid w:val="00EA681A"/>
    <w:rsid w:val="00EA735B"/>
    <w:rsid w:val="00EB17DE"/>
    <w:rsid w:val="00EB1E69"/>
    <w:rsid w:val="00EB2086"/>
    <w:rsid w:val="00EB4261"/>
    <w:rsid w:val="00EB5EDF"/>
    <w:rsid w:val="00EB60FE"/>
    <w:rsid w:val="00EB74DB"/>
    <w:rsid w:val="00EC5359"/>
    <w:rsid w:val="00EC562A"/>
    <w:rsid w:val="00EC607E"/>
    <w:rsid w:val="00ED067A"/>
    <w:rsid w:val="00ED2B50"/>
    <w:rsid w:val="00EE0350"/>
    <w:rsid w:val="00EE0719"/>
    <w:rsid w:val="00EE0E80"/>
    <w:rsid w:val="00EE3DD5"/>
    <w:rsid w:val="00EE54A6"/>
    <w:rsid w:val="00EE613F"/>
    <w:rsid w:val="00EE7295"/>
    <w:rsid w:val="00EE7869"/>
    <w:rsid w:val="00EF03A8"/>
    <w:rsid w:val="00EF054A"/>
    <w:rsid w:val="00EF1919"/>
    <w:rsid w:val="00EF3235"/>
    <w:rsid w:val="00EF7E72"/>
    <w:rsid w:val="00F00362"/>
    <w:rsid w:val="00F0519D"/>
    <w:rsid w:val="00F06D37"/>
    <w:rsid w:val="00F07B9D"/>
    <w:rsid w:val="00F11586"/>
    <w:rsid w:val="00F1183B"/>
    <w:rsid w:val="00F11C9F"/>
    <w:rsid w:val="00F12263"/>
    <w:rsid w:val="00F1409D"/>
    <w:rsid w:val="00F14214"/>
    <w:rsid w:val="00F142BE"/>
    <w:rsid w:val="00F157A9"/>
    <w:rsid w:val="00F22728"/>
    <w:rsid w:val="00F2275D"/>
    <w:rsid w:val="00F25BB6"/>
    <w:rsid w:val="00F26979"/>
    <w:rsid w:val="00F26B7E"/>
    <w:rsid w:val="00F27A3B"/>
    <w:rsid w:val="00F33817"/>
    <w:rsid w:val="00F355FB"/>
    <w:rsid w:val="00F420D5"/>
    <w:rsid w:val="00F42B29"/>
    <w:rsid w:val="00F451EA"/>
    <w:rsid w:val="00F45447"/>
    <w:rsid w:val="00F456C6"/>
    <w:rsid w:val="00F4577B"/>
    <w:rsid w:val="00F46496"/>
    <w:rsid w:val="00F466C0"/>
    <w:rsid w:val="00F474D0"/>
    <w:rsid w:val="00F50179"/>
    <w:rsid w:val="00F515EE"/>
    <w:rsid w:val="00F56511"/>
    <w:rsid w:val="00F569F8"/>
    <w:rsid w:val="00F6194E"/>
    <w:rsid w:val="00F623AC"/>
    <w:rsid w:val="00F634A6"/>
    <w:rsid w:val="00F6412A"/>
    <w:rsid w:val="00F650A5"/>
    <w:rsid w:val="00F65893"/>
    <w:rsid w:val="00F66A4A"/>
    <w:rsid w:val="00F679A9"/>
    <w:rsid w:val="00F71E22"/>
    <w:rsid w:val="00F72142"/>
    <w:rsid w:val="00F7255B"/>
    <w:rsid w:val="00F72AE7"/>
    <w:rsid w:val="00F72DED"/>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3CA"/>
    <w:rsid w:val="00FA369A"/>
    <w:rsid w:val="00FA3800"/>
    <w:rsid w:val="00FA4DAC"/>
    <w:rsid w:val="00FA662D"/>
    <w:rsid w:val="00FA73B1"/>
    <w:rsid w:val="00FB0CB9"/>
    <w:rsid w:val="00FB231D"/>
    <w:rsid w:val="00FB45F1"/>
    <w:rsid w:val="00FB470E"/>
    <w:rsid w:val="00FB4A72"/>
    <w:rsid w:val="00FB54E8"/>
    <w:rsid w:val="00FB7054"/>
    <w:rsid w:val="00FC10A3"/>
    <w:rsid w:val="00FC17B7"/>
    <w:rsid w:val="00FC1873"/>
    <w:rsid w:val="00FC2CB7"/>
    <w:rsid w:val="00FC3FF4"/>
    <w:rsid w:val="00FC4090"/>
    <w:rsid w:val="00FC55B4"/>
    <w:rsid w:val="00FD00E6"/>
    <w:rsid w:val="00FD09A1"/>
    <w:rsid w:val="00FD253B"/>
    <w:rsid w:val="00FD2A7C"/>
    <w:rsid w:val="00FD3605"/>
    <w:rsid w:val="00FD59EB"/>
    <w:rsid w:val="00FD5D10"/>
    <w:rsid w:val="00FD7299"/>
    <w:rsid w:val="00FE1FBE"/>
    <w:rsid w:val="00FE3603"/>
    <w:rsid w:val="00FE3901"/>
    <w:rsid w:val="00FE39D3"/>
    <w:rsid w:val="00FE4BCE"/>
    <w:rsid w:val="00FE54AE"/>
    <w:rsid w:val="00FE576A"/>
    <w:rsid w:val="00FE7E79"/>
    <w:rsid w:val="00FF3E7D"/>
    <w:rsid w:val="00FF5B99"/>
    <w:rsid w:val="00FF730C"/>
    <w:rsid w:val="00FF73F4"/>
    <w:rsid w:val="00FF7CE4"/>
    <w:rsid w:val="00FF7E39"/>
    <w:rsid w:val="018F60B7"/>
    <w:rsid w:val="02963DFC"/>
    <w:rsid w:val="02EC1CFB"/>
    <w:rsid w:val="02F91BBE"/>
    <w:rsid w:val="030E7E36"/>
    <w:rsid w:val="03653C1D"/>
    <w:rsid w:val="03DE5572"/>
    <w:rsid w:val="04F33787"/>
    <w:rsid w:val="051554AC"/>
    <w:rsid w:val="056D52E8"/>
    <w:rsid w:val="05956642"/>
    <w:rsid w:val="06F57176"/>
    <w:rsid w:val="079C3C62"/>
    <w:rsid w:val="07E54C4F"/>
    <w:rsid w:val="083245C7"/>
    <w:rsid w:val="09F91840"/>
    <w:rsid w:val="0A424F95"/>
    <w:rsid w:val="0C425B2A"/>
    <w:rsid w:val="0C7852A5"/>
    <w:rsid w:val="0D2518FD"/>
    <w:rsid w:val="0D5A1288"/>
    <w:rsid w:val="0D6E60A1"/>
    <w:rsid w:val="0D9B17A3"/>
    <w:rsid w:val="0DA70C7B"/>
    <w:rsid w:val="0DEB14A0"/>
    <w:rsid w:val="0E42674F"/>
    <w:rsid w:val="0F376500"/>
    <w:rsid w:val="10E552EB"/>
    <w:rsid w:val="11F272A1"/>
    <w:rsid w:val="1202080E"/>
    <w:rsid w:val="140B464A"/>
    <w:rsid w:val="145A2EDB"/>
    <w:rsid w:val="15CE3B81"/>
    <w:rsid w:val="168D7598"/>
    <w:rsid w:val="17166F3D"/>
    <w:rsid w:val="177249E0"/>
    <w:rsid w:val="179C1D0B"/>
    <w:rsid w:val="17BA382A"/>
    <w:rsid w:val="17F51445"/>
    <w:rsid w:val="18A8690B"/>
    <w:rsid w:val="19200578"/>
    <w:rsid w:val="19881CA8"/>
    <w:rsid w:val="1A0B2A3A"/>
    <w:rsid w:val="1A1C7A96"/>
    <w:rsid w:val="1A8B2040"/>
    <w:rsid w:val="1B2B0366"/>
    <w:rsid w:val="1BAF5A1C"/>
    <w:rsid w:val="1C1E0C92"/>
    <w:rsid w:val="1C802FFB"/>
    <w:rsid w:val="1DF779ED"/>
    <w:rsid w:val="1E197963"/>
    <w:rsid w:val="1F59095F"/>
    <w:rsid w:val="21584C46"/>
    <w:rsid w:val="216763D1"/>
    <w:rsid w:val="21B06830"/>
    <w:rsid w:val="21E40288"/>
    <w:rsid w:val="221E7C3E"/>
    <w:rsid w:val="22B43BE9"/>
    <w:rsid w:val="23017C66"/>
    <w:rsid w:val="239D4B92"/>
    <w:rsid w:val="247E49C4"/>
    <w:rsid w:val="259C77F7"/>
    <w:rsid w:val="25C2467F"/>
    <w:rsid w:val="26FC38DB"/>
    <w:rsid w:val="28F72F97"/>
    <w:rsid w:val="2A644032"/>
    <w:rsid w:val="2D095047"/>
    <w:rsid w:val="2DBC028C"/>
    <w:rsid w:val="2F087CAC"/>
    <w:rsid w:val="3253123E"/>
    <w:rsid w:val="332E5807"/>
    <w:rsid w:val="3330157F"/>
    <w:rsid w:val="35475FA5"/>
    <w:rsid w:val="35A2480D"/>
    <w:rsid w:val="35C12962"/>
    <w:rsid w:val="35EC6F1A"/>
    <w:rsid w:val="361231BE"/>
    <w:rsid w:val="371F417F"/>
    <w:rsid w:val="3847771B"/>
    <w:rsid w:val="396159B3"/>
    <w:rsid w:val="396957EB"/>
    <w:rsid w:val="39CE564E"/>
    <w:rsid w:val="39D2513E"/>
    <w:rsid w:val="3A663AD8"/>
    <w:rsid w:val="3C814BF9"/>
    <w:rsid w:val="3D1C4922"/>
    <w:rsid w:val="3FE761A7"/>
    <w:rsid w:val="4036290E"/>
    <w:rsid w:val="407F6989"/>
    <w:rsid w:val="414C1C7A"/>
    <w:rsid w:val="41C72E85"/>
    <w:rsid w:val="41E719A3"/>
    <w:rsid w:val="41FF4F3E"/>
    <w:rsid w:val="4278637E"/>
    <w:rsid w:val="42AF42C4"/>
    <w:rsid w:val="4379487C"/>
    <w:rsid w:val="43EE093F"/>
    <w:rsid w:val="44503D4F"/>
    <w:rsid w:val="44A56332"/>
    <w:rsid w:val="453E514E"/>
    <w:rsid w:val="456DAF94"/>
    <w:rsid w:val="4677103C"/>
    <w:rsid w:val="47B265AF"/>
    <w:rsid w:val="487B4576"/>
    <w:rsid w:val="48822425"/>
    <w:rsid w:val="48DA6428"/>
    <w:rsid w:val="494A6687"/>
    <w:rsid w:val="49652064"/>
    <w:rsid w:val="497569F9"/>
    <w:rsid w:val="49956422"/>
    <w:rsid w:val="4AC353A4"/>
    <w:rsid w:val="4AE01685"/>
    <w:rsid w:val="4CB22BAD"/>
    <w:rsid w:val="4D1653F6"/>
    <w:rsid w:val="4D7A7E75"/>
    <w:rsid w:val="4D955768"/>
    <w:rsid w:val="4D9B2A3B"/>
    <w:rsid w:val="4EBD1AA2"/>
    <w:rsid w:val="513E479B"/>
    <w:rsid w:val="516F72BF"/>
    <w:rsid w:val="51B178D7"/>
    <w:rsid w:val="530D6D8F"/>
    <w:rsid w:val="54BD6BD7"/>
    <w:rsid w:val="551C150B"/>
    <w:rsid w:val="5523289A"/>
    <w:rsid w:val="55540CA5"/>
    <w:rsid w:val="55967510"/>
    <w:rsid w:val="55BB7B39"/>
    <w:rsid w:val="566B44F9"/>
    <w:rsid w:val="582E57DE"/>
    <w:rsid w:val="588418A2"/>
    <w:rsid w:val="589B4D0C"/>
    <w:rsid w:val="58FC706B"/>
    <w:rsid w:val="5980650D"/>
    <w:rsid w:val="59B77A55"/>
    <w:rsid w:val="5BD3243B"/>
    <w:rsid w:val="5DB744C7"/>
    <w:rsid w:val="60885CA7"/>
    <w:rsid w:val="60F62DBE"/>
    <w:rsid w:val="6246012E"/>
    <w:rsid w:val="633A30DC"/>
    <w:rsid w:val="637A3456"/>
    <w:rsid w:val="653A0CB3"/>
    <w:rsid w:val="655A2308"/>
    <w:rsid w:val="668F1B3D"/>
    <w:rsid w:val="66B509E3"/>
    <w:rsid w:val="69801EF6"/>
    <w:rsid w:val="69BD4F96"/>
    <w:rsid w:val="69F825E1"/>
    <w:rsid w:val="6AB46016"/>
    <w:rsid w:val="6B607F4C"/>
    <w:rsid w:val="6BB87D88"/>
    <w:rsid w:val="6D0668D1"/>
    <w:rsid w:val="6D252D16"/>
    <w:rsid w:val="6D5633EB"/>
    <w:rsid w:val="6FDF0548"/>
    <w:rsid w:val="720A1170"/>
    <w:rsid w:val="721750DD"/>
    <w:rsid w:val="729055BB"/>
    <w:rsid w:val="72F35B4A"/>
    <w:rsid w:val="73282B26"/>
    <w:rsid w:val="73702CF6"/>
    <w:rsid w:val="73832A2A"/>
    <w:rsid w:val="744C085C"/>
    <w:rsid w:val="75504D1A"/>
    <w:rsid w:val="774C42C0"/>
    <w:rsid w:val="77C019AB"/>
    <w:rsid w:val="794B223C"/>
    <w:rsid w:val="79703A50"/>
    <w:rsid w:val="797F5A41"/>
    <w:rsid w:val="79E47F9A"/>
    <w:rsid w:val="7AFC22C5"/>
    <w:rsid w:val="7B87464D"/>
    <w:rsid w:val="7B8E4DE1"/>
    <w:rsid w:val="7BA46C3F"/>
    <w:rsid w:val="7BAC0D64"/>
    <w:rsid w:val="7E1E2B1C"/>
    <w:rsid w:val="7E374B3D"/>
    <w:rsid w:val="7F8042C1"/>
    <w:rsid w:val="7F8F58AE"/>
    <w:rsid w:val="7F936639"/>
    <w:rsid w:val="7FF3D7C6"/>
    <w:rsid w:val="BDB53514"/>
    <w:rsid w:val="BDEF5F68"/>
    <w:rsid w:val="C6EFA416"/>
    <w:rsid w:val="DDFF758D"/>
    <w:rsid w:val="DFFB039F"/>
    <w:rsid w:val="DFFBEE1F"/>
    <w:rsid w:val="DFFF63CD"/>
    <w:rsid w:val="ED2F3011"/>
    <w:rsid w:val="FBF5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rFonts w:ascii="Times New Roman" w:hAnsi="Times New Roman"/>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tabs>
        <w:tab w:val="left" w:pos="851"/>
      </w:tabs>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2"/>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3"/>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tabs>
        <w:tab w:val="left" w:pos="851"/>
      </w:tabs>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4"/>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tabs>
        <w:tab w:val="left" w:pos="851"/>
      </w:tabs>
      <w:ind w:firstLine="0" w:firstLineChars="0"/>
    </w:pPr>
  </w:style>
  <w:style w:type="paragraph" w:customStyle="1" w:styleId="192">
    <w:name w:val="标准文件_三级项2"/>
    <w:basedOn w:val="60"/>
    <w:qFormat/>
    <w:uiPriority w:val="0"/>
    <w:pPr>
      <w:numPr>
        <w:ilvl w:val="0"/>
        <w:numId w:val="29"/>
      </w:numPr>
      <w:spacing w:line="300" w:lineRule="exact"/>
      <w:ind w:firstLineChars="0"/>
    </w:pPr>
    <w:rPr>
      <w:rFonts w:ascii="Times New Roman"/>
    </w:rPr>
  </w:style>
  <w:style w:type="paragraph" w:customStyle="1" w:styleId="193">
    <w:name w:val="标准文件_一级项2"/>
    <w:basedOn w:val="60"/>
    <w:qFormat/>
    <w:uiPriority w:val="0"/>
    <w:pPr>
      <w:numPr>
        <w:ilvl w:val="0"/>
        <w:numId w:val="30"/>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1"/>
    <w:link w:val="13"/>
    <w:qFormat/>
    <w:uiPriority w:val="99"/>
    <w:rPr>
      <w:rFonts w:ascii="Calibri" w:hAnsi="Calibri"/>
      <w:kern w:val="2"/>
      <w:sz w:val="21"/>
      <w:szCs w:val="21"/>
    </w:rPr>
  </w:style>
  <w:style w:type="character" w:customStyle="1" w:styleId="236">
    <w:name w:val="批注主题 字符"/>
    <w:basedOn w:val="235"/>
    <w:link w:val="28"/>
    <w:semiHidden/>
    <w:qFormat/>
    <w:uiPriority w:val="99"/>
    <w:rPr>
      <w:rFonts w:ascii="Calibri" w:hAnsi="Calibri"/>
      <w:b/>
      <w:bCs/>
      <w:kern w:val="2"/>
      <w:sz w:val="21"/>
      <w:szCs w:val="21"/>
    </w:rPr>
  </w:style>
  <w:style w:type="paragraph" w:customStyle="1" w:styleId="237">
    <w:name w:val="修订2"/>
    <w:hidden/>
    <w:unhideWhenUsed/>
    <w:qFormat/>
    <w:uiPriority w:val="99"/>
    <w:rPr>
      <w:rFonts w:ascii="Calibri" w:hAnsi="Calibri" w:eastAsia="宋体" w:cs="Times New Roman"/>
      <w:kern w:val="2"/>
      <w:sz w:val="21"/>
      <w:szCs w:val="21"/>
      <w:lang w:val="en-US" w:eastAsia="zh-CN" w:bidi="ar-SA"/>
    </w:rPr>
  </w:style>
  <w:style w:type="paragraph" w:customStyle="1" w:styleId="238">
    <w:name w:val="修订3"/>
    <w:hidden/>
    <w:unhideWhenUsed/>
    <w:qFormat/>
    <w:uiPriority w:val="99"/>
    <w:rPr>
      <w:rFonts w:ascii="Calibri" w:hAnsi="Calibri" w:eastAsia="宋体" w:cs="Times New Roman"/>
      <w:kern w:val="2"/>
      <w:sz w:val="21"/>
      <w:szCs w:val="21"/>
      <w:lang w:val="en-US" w:eastAsia="zh-CN" w:bidi="ar-SA"/>
    </w:rPr>
  </w:style>
  <w:style w:type="paragraph" w:customStyle="1" w:styleId="239">
    <w:name w:val="段"/>
    <w:link w:val="2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0">
    <w:name w:val="段 Char"/>
    <w:link w:val="239"/>
    <w:qFormat/>
    <w:uiPriority w:val="0"/>
    <w:rPr>
      <w:rFonts w:ascii="宋体"/>
      <w:sz w:val="21"/>
    </w:rPr>
  </w:style>
  <w:style w:type="paragraph" w:customStyle="1" w:styleId="241">
    <w:name w:val="前言、引言标题"/>
    <w:next w:val="239"/>
    <w:qFormat/>
    <w:uiPriority w:val="0"/>
    <w:pPr>
      <w:keepNext/>
      <w:pageBreakBefore/>
      <w:shd w:val="clear" w:color="FFFFFF" w:fill="FFFFFF"/>
      <w:tabs>
        <w:tab w:val="left" w:pos="653"/>
        <w:tab w:val="center" w:pos="4677"/>
      </w:tabs>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23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3">
    <w:name w:val="参考文献"/>
    <w:basedOn w:val="1"/>
    <w:next w:val="23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2E75202C8A4496850C6776890D528E"/>
        <w:style w:val=""/>
        <w:category>
          <w:name w:val="常规"/>
          <w:gallery w:val="placeholder"/>
        </w:category>
        <w:types>
          <w:type w:val="bbPlcHdr"/>
        </w:types>
        <w:behaviors>
          <w:behavior w:val="content"/>
        </w:behaviors>
        <w:description w:val=""/>
        <w:guid w:val="{E5124EC7-7EAB-4B57-BED8-79CCAC326248}"/>
      </w:docPartPr>
      <w:docPartBody>
        <w:p>
          <w:pPr>
            <w:pStyle w:val="5"/>
            <w:rPr>
              <w:rFonts w:hint="eastAsia"/>
            </w:rPr>
          </w:pPr>
          <w:r>
            <w:rPr>
              <w:rStyle w:val="4"/>
              <w:rFonts w:hint="eastAsia"/>
            </w:rPr>
            <w:t>单击或点击此处输入文字。</w:t>
          </w:r>
        </w:p>
      </w:docPartBody>
    </w:docPart>
    <w:docPart>
      <w:docPartPr>
        <w:name w:val="99C71B6E4A7A43F7B91E708091CB1DDC"/>
        <w:style w:val=""/>
        <w:category>
          <w:name w:val="常规"/>
          <w:gallery w:val="placeholder"/>
        </w:category>
        <w:types>
          <w:type w:val="bbPlcHdr"/>
        </w:types>
        <w:behaviors>
          <w:behavior w:val="content"/>
        </w:behaviors>
        <w:description w:val=""/>
        <w:guid w:val="{B3620E53-B13E-45A9-BAAC-B1E5AE3746A6}"/>
      </w:docPartPr>
      <w:docPartBody>
        <w:p>
          <w:pPr>
            <w:pStyle w:val="6"/>
            <w:rPr>
              <w:rFonts w:hint="eastAsia"/>
            </w:rPr>
          </w:pPr>
          <w:r>
            <w:rPr>
              <w:rStyle w:val="4"/>
              <w:rFonts w:hint="eastAsia"/>
            </w:rPr>
            <w:t>选择一项。</w:t>
          </w:r>
        </w:p>
      </w:docPartBody>
    </w:docPart>
    <w:docPart>
      <w:docPartPr>
        <w:name w:val="986CBE8EE23B4D20A525E2DD549BD093"/>
        <w:style w:val=""/>
        <w:category>
          <w:name w:val="常规"/>
          <w:gallery w:val="placeholder"/>
        </w:category>
        <w:types>
          <w:type w:val="bbPlcHdr"/>
        </w:types>
        <w:behaviors>
          <w:behavior w:val="content"/>
        </w:behaviors>
        <w:description w:val=""/>
        <w:guid w:val="{F04A0134-5E27-40BB-AA5F-5DB929CCA657}"/>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00"/>
    <w:rsid w:val="00067006"/>
    <w:rsid w:val="000673BB"/>
    <w:rsid w:val="000A104B"/>
    <w:rsid w:val="000B1029"/>
    <w:rsid w:val="000B1C58"/>
    <w:rsid w:val="000C0B58"/>
    <w:rsid w:val="000D730D"/>
    <w:rsid w:val="000D76A0"/>
    <w:rsid w:val="00193E7E"/>
    <w:rsid w:val="00255A68"/>
    <w:rsid w:val="00264259"/>
    <w:rsid w:val="00276DF8"/>
    <w:rsid w:val="00291E35"/>
    <w:rsid w:val="00295944"/>
    <w:rsid w:val="002A68E9"/>
    <w:rsid w:val="002C0A4A"/>
    <w:rsid w:val="002F6DCE"/>
    <w:rsid w:val="00306D00"/>
    <w:rsid w:val="003538A7"/>
    <w:rsid w:val="004451F9"/>
    <w:rsid w:val="004E14B7"/>
    <w:rsid w:val="004E201A"/>
    <w:rsid w:val="004E6807"/>
    <w:rsid w:val="00502E81"/>
    <w:rsid w:val="00531106"/>
    <w:rsid w:val="00537DD1"/>
    <w:rsid w:val="005A757B"/>
    <w:rsid w:val="005C4DE5"/>
    <w:rsid w:val="00605F7B"/>
    <w:rsid w:val="006B6B7A"/>
    <w:rsid w:val="006E5E86"/>
    <w:rsid w:val="00732D5E"/>
    <w:rsid w:val="007947CE"/>
    <w:rsid w:val="007F178D"/>
    <w:rsid w:val="008025D3"/>
    <w:rsid w:val="0080429F"/>
    <w:rsid w:val="008219C5"/>
    <w:rsid w:val="00881B19"/>
    <w:rsid w:val="0089185E"/>
    <w:rsid w:val="008A0E1D"/>
    <w:rsid w:val="0099640F"/>
    <w:rsid w:val="00A0193B"/>
    <w:rsid w:val="00A034F6"/>
    <w:rsid w:val="00A101DA"/>
    <w:rsid w:val="00A24E5E"/>
    <w:rsid w:val="00A556EB"/>
    <w:rsid w:val="00AA1668"/>
    <w:rsid w:val="00AF14A3"/>
    <w:rsid w:val="00AF3661"/>
    <w:rsid w:val="00B2305D"/>
    <w:rsid w:val="00BB79C8"/>
    <w:rsid w:val="00BC29FF"/>
    <w:rsid w:val="00BE34FC"/>
    <w:rsid w:val="00C56091"/>
    <w:rsid w:val="00C6621F"/>
    <w:rsid w:val="00C73092"/>
    <w:rsid w:val="00C84281"/>
    <w:rsid w:val="00CD0862"/>
    <w:rsid w:val="00CD7AED"/>
    <w:rsid w:val="00D15EF1"/>
    <w:rsid w:val="00D23BF4"/>
    <w:rsid w:val="00D325C5"/>
    <w:rsid w:val="00D73F8B"/>
    <w:rsid w:val="00DF30AA"/>
    <w:rsid w:val="00E115D4"/>
    <w:rsid w:val="00E13A1A"/>
    <w:rsid w:val="00E265D6"/>
    <w:rsid w:val="00E92C17"/>
    <w:rsid w:val="00EA2CC8"/>
    <w:rsid w:val="00EE6FA7"/>
    <w:rsid w:val="00EF03A8"/>
    <w:rsid w:val="00F0519D"/>
    <w:rsid w:val="00F42B29"/>
    <w:rsid w:val="00FB3F22"/>
    <w:rsid w:val="00FB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D2E75202C8A4496850C6776890D52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9C71B6E4A7A43F7B91E708091CB1DD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86CBE8EE23B4D20A525E2DD549BD0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2828</Words>
  <Characters>3280</Characters>
  <Lines>138</Lines>
  <Paragraphs>166</Paragraphs>
  <TotalTime>135</TotalTime>
  <ScaleCrop>false</ScaleCrop>
  <LinksUpToDate>false</LinksUpToDate>
  <CharactersWithSpaces>3555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2025-11-19T06:32:00Z</dcterms:created>
  <dc:creator>Ying CHEN</dc:creator>
  <cp:lastModifiedBy>zxz</cp:lastModifiedBy>
  <cp:lastPrinted>2025-08-16T15:23:00Z</cp:lastPrinted>
  <dcterms:modified xsi:type="dcterms:W3CDTF">2026-01-16T11:56:36Z</dcterms:modified>
  <dc:title>地方标准</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eyJoZGlkIjoiODVmMmRiNTRjZjI4MzgzOGE3YWQ0NGM5NWMzYTY0OGEiLCJ1c2VySWQiOiIxMTMyNTk2NzQzIn0=</vt:lpwstr>
  </property>
  <property fmtid="{D5CDD505-2E9C-101B-9397-08002B2CF9AE}" pid="15" name="KSOProductBuildVer">
    <vt:lpwstr>2052-11.8.2.10386</vt:lpwstr>
  </property>
  <property fmtid="{D5CDD505-2E9C-101B-9397-08002B2CF9AE}" pid="16" name="ICV">
    <vt:lpwstr>A35B38EFEA8E391E53085A69464655F2_43</vt:lpwstr>
  </property>
</Properties>
</file>