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A7DD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F20AEFD">
            <w:pPr>
              <w:pStyle w:val="20"/>
              <w:framePr w:wrap="notBeside" w:vAnchor="page" w:hAnchor="page" w:x="1372" w:y="568"/>
              <w:tabs>
                <w:tab w:val="clear" w:pos="4153"/>
                <w:tab w:val="clear" w:pos="8306"/>
              </w:tabs>
              <w:spacing w:line="240" w:lineRule="auto"/>
              <w:jc w:val="left"/>
              <w:rPr>
                <w:rFonts w:ascii="黑体" w:hAnsi="黑体" w:eastAsia="黑体"/>
                <w:sz w:val="21"/>
                <w:szCs w:val="21"/>
                <w:highlight w:val="none"/>
              </w:rPr>
            </w:pPr>
            <w:r>
              <w:rPr>
                <w:rFonts w:ascii="Times New Roman" w:hAnsi="Times New Roman" w:eastAsia="黑体"/>
                <w:sz w:val="21"/>
                <w:szCs w:val="21"/>
                <w:highlight w:val="none"/>
              </w:rPr>
              <w:t>ICS</w:t>
            </w:r>
            <w:r>
              <w:rPr>
                <w:rFonts w:ascii="黑体" w:hAnsi="黑体" w:eastAsia="黑体"/>
                <w:sz w:val="21"/>
                <w:szCs w:val="21"/>
                <w:highlight w:val="none"/>
              </w:rPr>
              <w:t xml:space="preserve">  </w:t>
            </w:r>
          </w:p>
        </w:tc>
        <w:tc>
          <w:tcPr>
            <w:tcW w:w="8855" w:type="dxa"/>
          </w:tcPr>
          <w:p w14:paraId="0C66EDFE">
            <w:pPr>
              <w:pStyle w:val="20"/>
              <w:framePr w:wrap="notBeside" w:vAnchor="page" w:hAnchor="page" w:x="1372" w:y="568"/>
              <w:tabs>
                <w:tab w:val="clear" w:pos="4153"/>
                <w:tab w:val="clear" w:pos="8306"/>
              </w:tabs>
              <w:spacing w:line="240" w:lineRule="auto"/>
              <w:jc w:val="both"/>
              <w:rPr>
                <w:rFonts w:ascii="黑体" w:hAnsi="黑体" w:eastAsia="黑体"/>
                <w:sz w:val="21"/>
                <w:szCs w:val="21"/>
                <w:highlight w:val="none"/>
              </w:rPr>
            </w:pPr>
            <w:r>
              <w:rPr>
                <w:rFonts w:ascii="黑体" w:hAnsi="黑体" w:eastAsia="黑体"/>
                <w:sz w:val="21"/>
                <w:szCs w:val="21"/>
                <w:highlight w:val="none"/>
              </w:rPr>
              <w:fldChar w:fldCharType="begin">
                <w:ffData>
                  <w:name w:val="ICS"/>
                  <w:enabled/>
                  <w:calcOnExit w:val="0"/>
                  <w:textInput>
                    <w:default w:val="点击此处添加ICS号"/>
                  </w:textInput>
                </w:ffData>
              </w:fldChar>
            </w:r>
            <w:bookmarkStart w:id="0" w:name="ICS"/>
            <w:r>
              <w:rPr>
                <w:rFonts w:ascii="黑体" w:hAnsi="黑体" w:eastAsia="黑体"/>
                <w:sz w:val="21"/>
                <w:szCs w:val="21"/>
                <w:highlight w:val="none"/>
              </w:rPr>
              <w:instrText xml:space="preserve"> FORMTEXT </w:instrText>
            </w:r>
            <w:r>
              <w:rPr>
                <w:rFonts w:ascii="黑体" w:hAnsi="黑体" w:eastAsia="黑体"/>
                <w:sz w:val="21"/>
                <w:szCs w:val="21"/>
                <w:highlight w:val="none"/>
              </w:rPr>
              <w:fldChar w:fldCharType="separate"/>
            </w:r>
            <w:r>
              <w:rPr>
                <w:rFonts w:ascii="黑体" w:hAnsi="黑体" w:eastAsia="黑体"/>
                <w:sz w:val="21"/>
                <w:szCs w:val="21"/>
                <w:highlight w:val="none"/>
              </w:rPr>
              <w:t xml:space="preserve"> </w:t>
            </w:r>
            <w:r>
              <w:rPr>
                <w:rFonts w:ascii="黑体" w:hAnsi="黑体" w:eastAsia="黑体"/>
                <w:sz w:val="21"/>
                <w:szCs w:val="21"/>
                <w:highlight w:val="none"/>
              </w:rPr>
              <w:fldChar w:fldCharType="end"/>
            </w:r>
            <w:bookmarkEnd w:id="0"/>
          </w:p>
        </w:tc>
      </w:tr>
      <w:tr w14:paraId="183E1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63D86B1">
            <w:pPr>
              <w:pStyle w:val="20"/>
              <w:framePr w:wrap="notBeside" w:vAnchor="page" w:hAnchor="page" w:x="1372" w:y="568"/>
              <w:tabs>
                <w:tab w:val="clear" w:pos="4153"/>
                <w:tab w:val="clear" w:pos="8306"/>
              </w:tabs>
              <w:spacing w:before="40" w:line="240" w:lineRule="auto"/>
              <w:jc w:val="left"/>
              <w:rPr>
                <w:rFonts w:ascii="黑体" w:hAnsi="黑体" w:eastAsia="黑体"/>
                <w:sz w:val="21"/>
                <w:szCs w:val="21"/>
                <w:highlight w:val="none"/>
              </w:rPr>
            </w:pPr>
            <w:r>
              <w:rPr>
                <w:rFonts w:ascii="Times New Roman" w:hAnsi="Times New Roman" w:eastAsia="黑体"/>
                <w:sz w:val="21"/>
                <w:szCs w:val="21"/>
                <w:highlight w:val="none"/>
              </w:rPr>
              <w:t xml:space="preserve">CCS </w:t>
            </w:r>
            <w:r>
              <w:rPr>
                <w:rFonts w:ascii="黑体" w:hAnsi="黑体" w:eastAsia="黑体"/>
                <w:sz w:val="21"/>
                <w:szCs w:val="21"/>
                <w:highlight w:val="none"/>
              </w:rPr>
              <w:t xml:space="preserve"> </w:t>
            </w:r>
          </w:p>
        </w:tc>
        <w:tc>
          <w:tcPr>
            <w:tcW w:w="8855" w:type="dxa"/>
          </w:tcPr>
          <w:p w14:paraId="27435963">
            <w:pPr>
              <w:pStyle w:val="20"/>
              <w:framePr w:wrap="notBeside" w:vAnchor="page" w:hAnchor="page" w:x="1372" w:y="568"/>
              <w:tabs>
                <w:tab w:val="clear" w:pos="4153"/>
                <w:tab w:val="clear" w:pos="8306"/>
              </w:tabs>
              <w:spacing w:before="40" w:line="240" w:lineRule="auto"/>
              <w:jc w:val="left"/>
              <w:rPr>
                <w:rFonts w:ascii="黑体" w:hAnsi="黑体" w:eastAsia="黑体"/>
                <w:sz w:val="21"/>
                <w:szCs w:val="21"/>
                <w:highlight w:val="none"/>
              </w:rPr>
            </w:pPr>
          </w:p>
        </w:tc>
      </w:tr>
    </w:tbl>
    <w:tbl>
      <w:tblPr>
        <w:tblStyle w:val="31"/>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7B41FB7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6528F9A2">
            <w:pPr>
              <w:pStyle w:val="54"/>
              <w:framePr w:w="0" w:hRule="auto" w:wrap="auto" w:vAnchor="margin" w:hAnchor="text" w:xAlign="left" w:yAlign="inline"/>
              <w:rPr>
                <w:rFonts w:ascii="宋体" w:hAnsi="宋体"/>
                <w:sz w:val="28"/>
                <w:szCs w:val="28"/>
                <w:highlight w:val="none"/>
              </w:rPr>
            </w:pPr>
            <w:bookmarkStart w:id="1" w:name="_Hlk26473981"/>
            <w:r>
              <w:rPr>
                <w:highlight w:val="none"/>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highlight w:val="none"/>
              </w:rPr>
              <w:t xml:space="preserve"> </w:t>
            </w:r>
            <w:r>
              <w:rPr>
                <w:rFonts w:hint="eastAsia"/>
                <w:highlight w:val="none"/>
              </w:rPr>
              <w:t>11</w:t>
            </w:r>
          </w:p>
        </w:tc>
      </w:tr>
    </w:tbl>
    <w:p w14:paraId="22C9ED8C">
      <w:pPr>
        <w:pStyle w:val="55"/>
        <w:framePr w:w="9639" w:h="624" w:hRule="exact" w:hSpace="181" w:vSpace="181" w:wrap="around" w:hAnchor="page" w:x="1305" w:y="2269"/>
        <w:rPr>
          <w:rFonts w:ascii="黑体" w:hAnsi="黑体" w:eastAsia="黑体"/>
          <w:b w:val="0"/>
          <w:bCs w:val="0"/>
          <w:w w:val="100"/>
          <w:sz w:val="48"/>
          <w:szCs w:val="48"/>
          <w:highlight w:val="none"/>
        </w:rPr>
      </w:pPr>
      <w:r>
        <w:rPr>
          <w:rFonts w:ascii="黑体" w:eastAsia="黑体"/>
          <w:b w:val="0"/>
          <w:w w:val="100"/>
          <w:sz w:val="48"/>
          <w:highlight w:val="none"/>
        </w:rPr>
        <w:fldChar w:fldCharType="begin">
          <w:ffData>
            <w:name w:val="c2"/>
            <w:enabled/>
            <w:calcOnExit w:val="0"/>
            <w:textInput/>
          </w:ffData>
        </w:fldChar>
      </w:r>
      <w:bookmarkStart w:id="2" w:name="c2"/>
      <w:r>
        <w:rPr>
          <w:rFonts w:ascii="黑体" w:eastAsia="黑体"/>
          <w:b w:val="0"/>
          <w:w w:val="100"/>
          <w:sz w:val="48"/>
          <w:highlight w:val="none"/>
        </w:rPr>
        <w:instrText xml:space="preserve"> FORMTEXT </w:instrText>
      </w:r>
      <w:r>
        <w:rPr>
          <w:rFonts w:ascii="黑体" w:eastAsia="黑体"/>
          <w:b w:val="0"/>
          <w:w w:val="100"/>
          <w:sz w:val="48"/>
          <w:highlight w:val="none"/>
        </w:rPr>
        <w:fldChar w:fldCharType="separate"/>
      </w:r>
      <w:r>
        <w:rPr>
          <w:rFonts w:hint="eastAsia" w:ascii="黑体" w:eastAsia="黑体"/>
          <w:b w:val="0"/>
          <w:w w:val="100"/>
          <w:sz w:val="48"/>
          <w:highlight w:val="none"/>
        </w:rPr>
        <w:t>北京市</w:t>
      </w:r>
      <w:r>
        <w:rPr>
          <w:rFonts w:ascii="黑体" w:eastAsia="黑体"/>
          <w:b w:val="0"/>
          <w:w w:val="100"/>
          <w:sz w:val="48"/>
          <w:highlight w:val="none"/>
        </w:rPr>
        <w:fldChar w:fldCharType="end"/>
      </w:r>
      <w:bookmarkEnd w:id="2"/>
      <w:r>
        <w:rPr>
          <w:rFonts w:hint="eastAsia" w:ascii="黑体" w:hAnsi="黑体" w:eastAsia="黑体"/>
          <w:b w:val="0"/>
          <w:bCs w:val="0"/>
          <w:w w:val="100"/>
          <w:sz w:val="48"/>
          <w:szCs w:val="48"/>
          <w:highlight w:val="none"/>
        </w:rPr>
        <w:t>地方标准</w:t>
      </w:r>
    </w:p>
    <w:bookmarkEnd w:id="1"/>
    <w:p w14:paraId="0946E98F">
      <w:pPr>
        <w:pStyle w:val="200"/>
        <w:rPr>
          <w:highlight w:val="none"/>
          <w:lang w:val="fr-FR"/>
        </w:rPr>
      </w:pPr>
      <w:r>
        <w:rPr>
          <w:highlight w:val="none"/>
          <w:lang w:val="fr-FR"/>
        </w:rPr>
        <w:t>DB</w:t>
      </w:r>
      <w:r>
        <w:rPr>
          <w:highlight w:val="none"/>
        </w:rPr>
        <w:fldChar w:fldCharType="begin">
          <w:ffData>
            <w:name w:val="文字1"/>
            <w:enabled/>
            <w:calcOnExit w:val="0"/>
            <w:textInput>
              <w:default w:val="11/T"/>
            </w:textInput>
          </w:ffData>
        </w:fldChar>
      </w:r>
      <w:r>
        <w:rPr>
          <w:highlight w:val="none"/>
        </w:rPr>
        <w:instrText xml:space="preserve"> </w:instrText>
      </w:r>
      <w:bookmarkStart w:id="3" w:name="文字1"/>
      <w:r>
        <w:rPr>
          <w:highlight w:val="none"/>
        </w:rPr>
        <w:instrText xml:space="preserve">FORMTEXT </w:instrText>
      </w:r>
      <w:r>
        <w:rPr>
          <w:highlight w:val="none"/>
        </w:rPr>
        <w:fldChar w:fldCharType="separate"/>
      </w:r>
      <w:r>
        <w:rPr>
          <w:highlight w:val="none"/>
        </w:rPr>
        <w:t>11/T</w:t>
      </w:r>
      <w:r>
        <w:rPr>
          <w:highlight w:val="none"/>
        </w:rPr>
        <w:fldChar w:fldCharType="end"/>
      </w:r>
      <w:bookmarkEnd w:id="3"/>
      <w:r>
        <w:rPr>
          <w:highlight w:val="none"/>
          <w:lang w:val="fr-FR"/>
        </w:rPr>
        <w:t xml:space="preserve"> </w:t>
      </w:r>
      <w:r>
        <w:rPr>
          <w:highlight w:val="none"/>
        </w:rPr>
        <w:fldChar w:fldCharType="begin">
          <w:ffData>
            <w:name w:val="NSTD_CODE_F"/>
            <w:enabled/>
            <w:calcOnExit w:val="0"/>
            <w:textInput>
              <w:default w:val="XXXX"/>
            </w:textInput>
          </w:ffData>
        </w:fldChar>
      </w:r>
      <w:bookmarkStart w:id="4" w:name="NSTD_CODE_F"/>
      <w:r>
        <w:rPr>
          <w:highlight w:val="none"/>
          <w:lang w:val="fr-FR"/>
        </w:rPr>
        <w:instrText xml:space="preserve"> FORMTEXT </w:instrText>
      </w:r>
      <w:r>
        <w:rPr>
          <w:highlight w:val="none"/>
        </w:rPr>
        <w:fldChar w:fldCharType="separate"/>
      </w:r>
      <w:r>
        <w:rPr>
          <w:highlight w:val="none"/>
          <w:lang w:val="fr-FR"/>
        </w:rPr>
        <w:t>XXXX</w:t>
      </w:r>
      <w:r>
        <w:rPr>
          <w:highlight w:val="none"/>
        </w:rPr>
        <w:fldChar w:fldCharType="end"/>
      </w:r>
      <w:bookmarkEnd w:id="4"/>
      <w:r>
        <w:rPr>
          <w:rFonts w:hAnsi="黑体"/>
          <w:highlight w:val="none"/>
          <w:lang w:val="fr-FR"/>
        </w:rPr>
        <w:t>—</w:t>
      </w:r>
      <w:r>
        <w:rPr>
          <w:highlight w:val="none"/>
        </w:rPr>
        <w:fldChar w:fldCharType="begin">
          <w:ffData>
            <w:name w:val="NSTD_CODE_B"/>
            <w:enabled/>
            <w:calcOnExit w:val="0"/>
            <w:textInput>
              <w:default w:val="XXXX"/>
            </w:textInput>
          </w:ffData>
        </w:fldChar>
      </w:r>
      <w:bookmarkStart w:id="5" w:name="NSTD_CODE_B"/>
      <w:r>
        <w:rPr>
          <w:highlight w:val="none"/>
          <w:lang w:val="fr-FR"/>
        </w:rPr>
        <w:instrText xml:space="preserve"> FORMTEXT </w:instrText>
      </w:r>
      <w:r>
        <w:rPr>
          <w:highlight w:val="none"/>
        </w:rPr>
        <w:fldChar w:fldCharType="separate"/>
      </w:r>
      <w:r>
        <w:rPr>
          <w:highlight w:val="none"/>
          <w:lang w:val="fr-FR"/>
        </w:rPr>
        <w:t>XXXX</w:t>
      </w:r>
      <w:r>
        <w:rPr>
          <w:highlight w:val="none"/>
        </w:rPr>
        <w:fldChar w:fldCharType="end"/>
      </w:r>
      <w:bookmarkEnd w:id="5"/>
    </w:p>
    <w:p w14:paraId="5730F837">
      <w:pPr>
        <w:pStyle w:val="201"/>
        <w:rPr>
          <w:rFonts w:hAnsi="黑体"/>
          <w:highlight w:val="none"/>
        </w:rPr>
      </w:pPr>
      <w:r>
        <w:rPr>
          <w:rFonts w:hAnsi="黑体"/>
          <w:highlight w:val="none"/>
        </w:rPr>
        <w:fldChar w:fldCharType="begin">
          <w:ffData>
            <w:name w:val="OSTD_CODE"/>
            <w:enabled/>
            <w:calcOnExit w:val="0"/>
            <w:textInput/>
          </w:ffData>
        </w:fldChar>
      </w:r>
      <w:bookmarkStart w:id="6" w:name="OSTD_CODE"/>
      <w:r>
        <w:rPr>
          <w:rFonts w:hAnsi="黑体"/>
          <w:highlight w:val="none"/>
        </w:rPr>
        <w:instrText xml:space="preserve"> FORMTEXT </w:instrText>
      </w:r>
      <w:r>
        <w:rPr>
          <w:rFonts w:hAnsi="黑体"/>
          <w:highlight w:val="none"/>
        </w:rPr>
        <w:fldChar w:fldCharType="separate"/>
      </w:r>
      <w:r>
        <w:rPr>
          <w:rFonts w:hAnsi="黑体"/>
          <w:highlight w:val="none"/>
        </w:rPr>
        <w:t>     </w:t>
      </w:r>
      <w:r>
        <w:rPr>
          <w:rFonts w:hAnsi="黑体"/>
          <w:highlight w:val="none"/>
        </w:rPr>
        <w:fldChar w:fldCharType="end"/>
      </w:r>
      <w:bookmarkEnd w:id="6"/>
    </w:p>
    <w:p w14:paraId="5461B4C1">
      <w:pPr>
        <w:spacing w:line="240" w:lineRule="auto"/>
        <w:rPr>
          <w:rFonts w:ascii="黑体" w:hAnsi="黑体" w:eastAsia="黑体"/>
          <w:kern w:val="0"/>
          <w:sz w:val="10"/>
          <w:szCs w:val="10"/>
          <w:highlight w:val="none"/>
        </w:rPr>
      </w:pPr>
      <w:r>
        <w:rPr>
          <w:rFonts w:ascii="黑体" w:hAnsi="黑体" w:eastAsia="黑体"/>
          <w:kern w:val="0"/>
          <w:sz w:val="10"/>
          <w:szCs w:val="10"/>
          <w:highlight w:val="none"/>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4276924">
      <w:pPr>
        <w:pStyle w:val="55"/>
        <w:framePr w:w="9639" w:h="6976" w:hRule="exact" w:hSpace="0" w:vSpace="0" w:wrap="around" w:hAnchor="page" w:y="6408"/>
        <w:jc w:val="center"/>
        <w:rPr>
          <w:rFonts w:ascii="黑体" w:hAnsi="黑体" w:eastAsia="黑体"/>
          <w:b w:val="0"/>
          <w:bCs w:val="0"/>
          <w:w w:val="100"/>
          <w:highlight w:val="none"/>
        </w:rPr>
      </w:pPr>
    </w:p>
    <w:p w14:paraId="6BEB46B8">
      <w:pPr>
        <w:pStyle w:val="202"/>
        <w:framePr w:h="6974" w:hRule="exact" w:wrap="around" w:x="1419" w:anchorLock="1"/>
        <w:rPr>
          <w:highlight w:val="none"/>
        </w:rPr>
      </w:pPr>
      <w:r>
        <w:rPr>
          <w:rFonts w:hint="eastAsia"/>
          <w:highlight w:val="none"/>
        </w:rPr>
        <w:t>城镇公共供水厂运行管理评价导则</w:t>
      </w:r>
    </w:p>
    <w:p w14:paraId="6765C02D">
      <w:pPr>
        <w:framePr w:w="9639" w:h="6974" w:hRule="exact" w:wrap="around" w:vAnchor="page" w:hAnchor="page" w:x="1419" w:y="6408" w:anchorLock="1"/>
        <w:ind w:left="-1418"/>
        <w:rPr>
          <w:highlight w:val="none"/>
        </w:rPr>
      </w:pPr>
    </w:p>
    <w:p w14:paraId="6F1D5328">
      <w:pPr>
        <w:pStyle w:val="130"/>
        <w:framePr w:w="9639" w:h="6974" w:hRule="exact" w:wrap="around" w:vAnchor="page" w:hAnchor="page" w:x="1419" w:y="6408" w:anchorLock="1"/>
        <w:textAlignment w:val="bottom"/>
        <w:rPr>
          <w:rFonts w:ascii="黑体" w:hAnsi="黑体" w:eastAsia="黑体"/>
          <w:szCs w:val="28"/>
          <w:highlight w:val="none"/>
        </w:rPr>
      </w:pPr>
      <w:bookmarkStart w:id="7" w:name="ESTD_NAME"/>
      <w:r>
        <w:rPr>
          <w:rFonts w:ascii="黑体" w:hAnsi="黑体" w:eastAsia="黑体"/>
          <w:szCs w:val="28"/>
          <w:highlight w:val="none"/>
        </w:rPr>
        <w:fldChar w:fldCharType="begin">
          <w:ffData>
            <w:name w:val="ESTD_NAME"/>
            <w:enabled/>
            <w:calcOnExit w:val="0"/>
            <w:textInput>
              <w:default w:val="Guidelines for the Evaluation of Operation and Management of Urban Public Water Treatment Plants"/>
            </w:textInput>
          </w:ffData>
        </w:fldChar>
      </w:r>
      <w:r>
        <w:rPr>
          <w:rFonts w:ascii="黑体" w:hAnsi="黑体" w:eastAsia="黑体"/>
          <w:szCs w:val="28"/>
          <w:highlight w:val="none"/>
        </w:rPr>
        <w:instrText xml:space="preserve">FORMTEXT</w:instrText>
      </w:r>
      <w:r>
        <w:rPr>
          <w:rFonts w:ascii="黑体" w:hAnsi="黑体" w:eastAsia="黑体"/>
          <w:szCs w:val="28"/>
          <w:highlight w:val="none"/>
        </w:rPr>
        <w:fldChar w:fldCharType="separate"/>
      </w:r>
      <w:r>
        <w:rPr>
          <w:rFonts w:ascii="黑体" w:hAnsi="黑体" w:eastAsia="黑体"/>
          <w:szCs w:val="28"/>
          <w:highlight w:val="none"/>
        </w:rPr>
        <w:t xml:space="preserve">Guidelines for the </w:t>
      </w:r>
      <w:r>
        <w:rPr>
          <w:rFonts w:hint="eastAsia" w:ascii="黑体" w:hAnsi="黑体" w:eastAsia="黑体"/>
          <w:szCs w:val="28"/>
          <w:highlight w:val="none"/>
          <w:lang w:val="en-US" w:eastAsia="zh-CN"/>
        </w:rPr>
        <w:t>e</w:t>
      </w:r>
      <w:r>
        <w:rPr>
          <w:rFonts w:ascii="黑体" w:hAnsi="黑体" w:eastAsia="黑体"/>
          <w:szCs w:val="28"/>
          <w:highlight w:val="none"/>
        </w:rPr>
        <w:t xml:space="preserve">valuation of </w:t>
      </w:r>
      <w:r>
        <w:rPr>
          <w:rFonts w:hint="eastAsia" w:ascii="黑体" w:hAnsi="黑体" w:eastAsia="黑体"/>
          <w:szCs w:val="28"/>
          <w:highlight w:val="none"/>
          <w:lang w:val="en-US" w:eastAsia="zh-CN"/>
        </w:rPr>
        <w:t>o</w:t>
      </w:r>
      <w:r>
        <w:rPr>
          <w:rFonts w:ascii="黑体" w:hAnsi="黑体" w:eastAsia="黑体"/>
          <w:szCs w:val="28"/>
          <w:highlight w:val="none"/>
        </w:rPr>
        <w:t xml:space="preserve">peration and </w:t>
      </w:r>
      <w:r>
        <w:rPr>
          <w:rFonts w:hint="eastAsia" w:ascii="黑体" w:hAnsi="黑体" w:eastAsia="黑体"/>
          <w:szCs w:val="28"/>
          <w:highlight w:val="none"/>
          <w:lang w:val="en-US" w:eastAsia="zh-CN"/>
        </w:rPr>
        <w:t>m</w:t>
      </w:r>
      <w:r>
        <w:rPr>
          <w:rFonts w:ascii="黑体" w:hAnsi="黑体" w:eastAsia="黑体"/>
          <w:szCs w:val="28"/>
          <w:highlight w:val="none"/>
        </w:rPr>
        <w:t xml:space="preserve">anagement of </w:t>
      </w:r>
      <w:r>
        <w:rPr>
          <w:rFonts w:hint="eastAsia" w:ascii="黑体" w:hAnsi="黑体" w:eastAsia="黑体"/>
          <w:szCs w:val="28"/>
          <w:highlight w:val="none"/>
          <w:lang w:val="en-US" w:eastAsia="zh-CN"/>
        </w:rPr>
        <w:t>u</w:t>
      </w:r>
      <w:r>
        <w:rPr>
          <w:rFonts w:ascii="黑体" w:hAnsi="黑体" w:eastAsia="黑体"/>
          <w:szCs w:val="28"/>
          <w:highlight w:val="none"/>
        </w:rPr>
        <w:t xml:space="preserve">rban </w:t>
      </w:r>
      <w:r>
        <w:rPr>
          <w:rFonts w:hint="eastAsia" w:ascii="黑体" w:hAnsi="黑体" w:eastAsia="黑体"/>
          <w:szCs w:val="28"/>
          <w:highlight w:val="none"/>
          <w:lang w:val="en-US" w:eastAsia="zh-CN"/>
        </w:rPr>
        <w:t>p</w:t>
      </w:r>
      <w:r>
        <w:rPr>
          <w:rFonts w:ascii="黑体" w:hAnsi="黑体" w:eastAsia="黑体"/>
          <w:szCs w:val="28"/>
          <w:highlight w:val="none"/>
        </w:rPr>
        <w:t xml:space="preserve">ublic </w:t>
      </w:r>
      <w:r>
        <w:rPr>
          <w:rFonts w:hint="eastAsia" w:ascii="黑体" w:hAnsi="黑体" w:eastAsia="黑体"/>
          <w:szCs w:val="28"/>
          <w:highlight w:val="none"/>
          <w:lang w:val="en-US" w:eastAsia="zh-CN"/>
        </w:rPr>
        <w:t>w</w:t>
      </w:r>
      <w:r>
        <w:rPr>
          <w:rFonts w:ascii="黑体" w:hAnsi="黑体" w:eastAsia="黑体"/>
          <w:szCs w:val="28"/>
          <w:highlight w:val="none"/>
        </w:rPr>
        <w:t xml:space="preserve">ater </w:t>
      </w:r>
      <w:r>
        <w:rPr>
          <w:rFonts w:hint="eastAsia" w:ascii="黑体" w:hAnsi="黑体" w:eastAsia="黑体"/>
          <w:szCs w:val="28"/>
          <w:highlight w:val="none"/>
          <w:lang w:val="en-US" w:eastAsia="zh-CN"/>
        </w:rPr>
        <w:t>t</w:t>
      </w:r>
      <w:r>
        <w:rPr>
          <w:rFonts w:ascii="黑体" w:hAnsi="黑体" w:eastAsia="黑体"/>
          <w:szCs w:val="28"/>
          <w:highlight w:val="none"/>
        </w:rPr>
        <w:t xml:space="preserve">reatment </w:t>
      </w:r>
      <w:r>
        <w:rPr>
          <w:rFonts w:hint="eastAsia" w:ascii="黑体" w:hAnsi="黑体" w:eastAsia="黑体"/>
          <w:szCs w:val="28"/>
          <w:highlight w:val="none"/>
          <w:lang w:val="en-US" w:eastAsia="zh-CN"/>
        </w:rPr>
        <w:t>p</w:t>
      </w:r>
      <w:r>
        <w:rPr>
          <w:rFonts w:ascii="黑体" w:hAnsi="黑体" w:eastAsia="黑体"/>
          <w:szCs w:val="28"/>
          <w:highlight w:val="none"/>
        </w:rPr>
        <w:t>lants</w:t>
      </w:r>
      <w:r>
        <w:rPr>
          <w:rFonts w:ascii="黑体" w:hAnsi="黑体" w:eastAsia="黑体"/>
          <w:szCs w:val="28"/>
          <w:highlight w:val="none"/>
        </w:rPr>
        <w:fldChar w:fldCharType="end"/>
      </w:r>
      <w:bookmarkEnd w:id="7"/>
    </w:p>
    <w:p w14:paraId="0A8FEB12">
      <w:pPr>
        <w:framePr w:w="9639" w:h="6974" w:hRule="exact" w:wrap="around" w:vAnchor="page" w:hAnchor="page" w:x="1419" w:y="6408" w:anchorLock="1"/>
        <w:spacing w:line="760" w:lineRule="exact"/>
        <w:ind w:left="-1418"/>
        <w:rPr>
          <w:highlight w:val="none"/>
        </w:rPr>
      </w:pPr>
    </w:p>
    <w:p w14:paraId="469B7788">
      <w:pPr>
        <w:pStyle w:val="130"/>
        <w:framePr w:w="9639" w:h="6974" w:hRule="exact" w:wrap="around" w:vAnchor="page" w:hAnchor="page" w:x="1419" w:y="6408" w:anchorLock="1"/>
        <w:textAlignment w:val="bottom"/>
        <w:rPr>
          <w:rFonts w:eastAsia="黑体"/>
          <w:szCs w:val="28"/>
          <w:highlight w:val="none"/>
        </w:rPr>
      </w:pPr>
    </w:p>
    <w:p w14:paraId="65C54618">
      <w:pPr>
        <w:pStyle w:val="130"/>
        <w:framePr w:w="9639" w:h="6974" w:hRule="exact" w:wrap="around" w:vAnchor="page" w:hAnchor="page" w:x="1419" w:y="6408" w:anchorLock="1"/>
        <w:spacing w:before="440" w:after="160"/>
        <w:textAlignment w:val="bottom"/>
        <w:rPr>
          <w:sz w:val="24"/>
          <w:szCs w:val="28"/>
          <w:highlight w:val="none"/>
        </w:rPr>
      </w:pPr>
      <w:bookmarkStart w:id="8" w:name="下拉1"/>
      <w:r>
        <w:rPr>
          <w:rFonts w:hint="eastAsia"/>
          <w:sz w:val="24"/>
          <w:szCs w:val="28"/>
          <w:highlight w:val="none"/>
        </w:rPr>
        <w:t>（征求意见稿）</w:t>
      </w:r>
      <w:r>
        <w:rPr>
          <w:sz w:val="24"/>
          <w:szCs w:val="28"/>
          <w:highlight w:val="none"/>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highlight w:val="none"/>
        </w:rPr>
        <w:instrText xml:space="preserve">FORMDROPDOWN</w:instrText>
      </w:r>
      <w:r>
        <w:rPr>
          <w:sz w:val="24"/>
          <w:szCs w:val="28"/>
          <w:highlight w:val="none"/>
        </w:rPr>
        <w:fldChar w:fldCharType="separate"/>
      </w:r>
      <w:r>
        <w:rPr>
          <w:sz w:val="24"/>
          <w:szCs w:val="28"/>
          <w:highlight w:val="none"/>
        </w:rPr>
        <w:fldChar w:fldCharType="end"/>
      </w:r>
      <w:bookmarkEnd w:id="8"/>
    </w:p>
    <w:p w14:paraId="5BA2D6D8">
      <w:pPr>
        <w:pStyle w:val="130"/>
        <w:framePr w:w="9639" w:h="6974" w:hRule="exact" w:wrap="around" w:vAnchor="page" w:hAnchor="page" w:x="1419" w:y="6408" w:anchorLock="1"/>
        <w:spacing w:before="180" w:line="240" w:lineRule="atLeast"/>
        <w:textAlignment w:val="bottom"/>
        <w:rPr>
          <w:sz w:val="21"/>
          <w:szCs w:val="28"/>
          <w:highlight w:val="none"/>
        </w:rPr>
      </w:pPr>
      <w:r>
        <w:rPr>
          <w:sz w:val="21"/>
          <w:szCs w:val="28"/>
          <w:highlight w:val="none"/>
        </w:rPr>
        <w:fldChar w:fldCharType="begin">
          <w:ffData>
            <w:name w:val="CMPLSH_DATE"/>
            <w:enabled/>
            <w:calcOnExit w:val="0"/>
            <w:textInput/>
          </w:ffData>
        </w:fldChar>
      </w:r>
      <w:bookmarkStart w:id="9" w:name="CMPLSH_DATE"/>
      <w:r>
        <w:rPr>
          <w:sz w:val="21"/>
          <w:szCs w:val="28"/>
          <w:highlight w:val="none"/>
        </w:rPr>
        <w:instrText xml:space="preserve"> FORMTEXT </w:instrText>
      </w:r>
      <w:r>
        <w:rPr>
          <w:sz w:val="21"/>
          <w:szCs w:val="28"/>
          <w:highlight w:val="none"/>
        </w:rPr>
        <w:fldChar w:fldCharType="separate"/>
      </w:r>
      <w:r>
        <w:rPr>
          <w:sz w:val="21"/>
          <w:szCs w:val="28"/>
          <w:highlight w:val="none"/>
        </w:rPr>
        <w:t>     </w:t>
      </w:r>
      <w:r>
        <w:rPr>
          <w:sz w:val="21"/>
          <w:szCs w:val="28"/>
          <w:highlight w:val="none"/>
        </w:rPr>
        <w:fldChar w:fldCharType="end"/>
      </w:r>
      <w:bookmarkEnd w:id="9"/>
    </w:p>
    <w:p w14:paraId="545F8F0C">
      <w:pPr>
        <w:pStyle w:val="130"/>
        <w:framePr w:w="9639" w:h="6974" w:hRule="exact" w:wrap="around" w:vAnchor="page" w:hAnchor="page" w:x="1419" w:y="6408" w:anchorLock="1"/>
        <w:spacing w:before="720" w:beforeLines="300" w:after="72" w:afterLines="30" w:line="240" w:lineRule="auto"/>
        <w:textAlignment w:val="bottom"/>
        <w:rPr>
          <w:b/>
          <w:sz w:val="21"/>
          <w:szCs w:val="28"/>
          <w:highlight w:val="none"/>
        </w:rPr>
      </w:pPr>
    </w:p>
    <w:p w14:paraId="087593A2">
      <w:pPr>
        <w:pStyle w:val="198"/>
        <w:framePr w:wrap="around" w:y="14176"/>
        <w:rPr>
          <w:highlight w:val="none"/>
        </w:rPr>
      </w:pPr>
      <w:r>
        <w:rPr>
          <w:rFonts w:ascii="黑体"/>
          <w:highlight w:val="none"/>
        </w:rPr>
        <w:fldChar w:fldCharType="begin">
          <w:ffData>
            <w:name w:val="PLSH_DATE_Y"/>
            <w:enabled/>
            <w:calcOnExit w:val="0"/>
            <w:textInput>
              <w:default w:val="XXXX"/>
              <w:maxLength w:val="4"/>
            </w:textInput>
          </w:ffData>
        </w:fldChar>
      </w:r>
      <w:bookmarkStart w:id="10" w:name="PLSH_DATE_Y"/>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10"/>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PLSH_DATE_M"/>
            <w:enabled/>
            <w:calcOnExit w:val="0"/>
            <w:textInput>
              <w:default w:val="XX"/>
              <w:maxLength w:val="2"/>
            </w:textInput>
          </w:ffData>
        </w:fldChar>
      </w:r>
      <w:bookmarkStart w:id="11" w:name="PLSH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1"/>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PLSH_DATE_D"/>
            <w:enabled/>
            <w:calcOnExit w:val="0"/>
            <w:textInput>
              <w:default w:val="XX"/>
              <w:maxLength w:val="2"/>
            </w:textInput>
          </w:ffData>
        </w:fldChar>
      </w:r>
      <w:bookmarkStart w:id="12" w:name="PLSH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2"/>
      <w:r>
        <w:rPr>
          <w:rFonts w:hint="eastAsia"/>
          <w:highlight w:val="none"/>
        </w:rPr>
        <w:t>发布</w:t>
      </w:r>
    </w:p>
    <w:p w14:paraId="5B362DE7">
      <w:pPr>
        <w:pStyle w:val="199"/>
        <w:framePr w:wrap="around" w:y="14176"/>
        <w:rPr>
          <w:highlight w:val="none"/>
        </w:rPr>
      </w:pPr>
      <w:r>
        <w:rPr>
          <w:rFonts w:ascii="黑体"/>
          <w:highlight w:val="none"/>
        </w:rPr>
        <w:fldChar w:fldCharType="begin">
          <w:ffData>
            <w:name w:val="CROT_DATE_Y"/>
            <w:enabled/>
            <w:calcOnExit w:val="0"/>
            <w:textInput>
              <w:default w:val="XXXX"/>
              <w:maxLength w:val="4"/>
            </w:textInput>
          </w:ffData>
        </w:fldChar>
      </w:r>
      <w:bookmarkStart w:id="13" w:name="CROT_DATE_Y"/>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13"/>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CROT_DATE_M"/>
            <w:enabled/>
            <w:calcOnExit w:val="0"/>
            <w:textInput>
              <w:default w:val="XX"/>
              <w:maxLength w:val="2"/>
            </w:textInput>
          </w:ffData>
        </w:fldChar>
      </w:r>
      <w:bookmarkStart w:id="14" w:name="CROT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4"/>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CROT_DATE_D"/>
            <w:enabled/>
            <w:calcOnExit w:val="0"/>
            <w:textInput>
              <w:default w:val="XX"/>
              <w:maxLength w:val="2"/>
            </w:textInput>
          </w:ffData>
        </w:fldChar>
      </w:r>
      <w:bookmarkStart w:id="15" w:name="CROT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5"/>
      <w:r>
        <w:rPr>
          <w:rFonts w:hint="eastAsia"/>
          <w:highlight w:val="none"/>
        </w:rPr>
        <w:t>实施</w:t>
      </w:r>
    </w:p>
    <w:p w14:paraId="609BEA69">
      <w:pPr>
        <w:pStyle w:val="156"/>
        <w:framePr w:h="584" w:hRule="exact" w:hSpace="181" w:vSpace="181" w:wrap="around" w:y="15027"/>
        <w:rPr>
          <w:rFonts w:hAnsi="黑体"/>
          <w:highlight w:val="none"/>
        </w:rPr>
      </w:pPr>
      <w:r>
        <w:rPr>
          <w:rFonts w:hAnsi="黑体"/>
          <w:w w:val="100"/>
          <w:sz w:val="28"/>
          <w:highlight w:val="none"/>
        </w:rPr>
        <w:fldChar w:fldCharType="begin">
          <w:ffData>
            <w:name w:val="fm"/>
            <w:enabled/>
            <w:calcOnExit w:val="0"/>
            <w:textInput/>
          </w:ffData>
        </w:fldChar>
      </w:r>
      <w:bookmarkStart w:id="16" w:name="fm"/>
      <w:r>
        <w:rPr>
          <w:rFonts w:hAnsi="黑体"/>
          <w:w w:val="100"/>
          <w:sz w:val="28"/>
          <w:highlight w:val="none"/>
        </w:rPr>
        <w:instrText xml:space="preserve"> FORMTEXT </w:instrText>
      </w:r>
      <w:r>
        <w:rPr>
          <w:rFonts w:hAnsi="黑体"/>
          <w:w w:val="100"/>
          <w:sz w:val="28"/>
          <w:highlight w:val="none"/>
        </w:rPr>
        <w:fldChar w:fldCharType="separate"/>
      </w:r>
      <w:r>
        <w:rPr>
          <w:rFonts w:hint="eastAsia" w:hAnsi="黑体"/>
          <w:w w:val="100"/>
          <w:sz w:val="28"/>
          <w:highlight w:val="none"/>
        </w:rPr>
        <w:t>北京市市场监督管理局</w:t>
      </w:r>
      <w:r>
        <w:rPr>
          <w:rFonts w:hAnsi="黑体"/>
          <w:w w:val="100"/>
          <w:sz w:val="28"/>
          <w:highlight w:val="none"/>
        </w:rPr>
        <w:fldChar w:fldCharType="end"/>
      </w:r>
      <w:bookmarkEnd w:id="16"/>
      <w:r>
        <w:rPr>
          <w:rFonts w:ascii="Times New Roman"/>
          <w:w w:val="100"/>
          <w:sz w:val="28"/>
          <w:highlight w:val="none"/>
        </w:rPr>
        <w:t>  </w:t>
      </w:r>
      <w:r>
        <w:rPr>
          <w:rStyle w:val="234"/>
          <w:rFonts w:hint="eastAsia" w:hAnsi="黑体"/>
          <w:position w:val="0"/>
          <w:highlight w:val="none"/>
        </w:rPr>
        <w:t>发</w:t>
      </w:r>
      <w:r>
        <w:rPr>
          <w:rStyle w:val="234"/>
          <w:rFonts w:hint="eastAsia" w:hAnsi="黑体"/>
          <w:spacing w:val="0"/>
          <w:position w:val="0"/>
          <w:highlight w:val="none"/>
        </w:rPr>
        <w:t>布</w:t>
      </w:r>
    </w:p>
    <w:p w14:paraId="01296998">
      <w:pPr>
        <w:rPr>
          <w:rFonts w:ascii="宋体" w:hAnsi="宋体"/>
          <w:sz w:val="28"/>
          <w:szCs w:val="28"/>
          <w:highlight w:val="none"/>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bookmarkStart w:id="121" w:name="_GoBack"/>
      <w:bookmarkEnd w:id="121"/>
      <w:r>
        <w:rPr>
          <w:rFonts w:hint="eastAsia" w:ascii="宋体" w:hAnsi="宋体"/>
          <w:sz w:val="28"/>
          <w:szCs w:val="28"/>
          <w:highlight w:val="none"/>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87990F7">
      <w:pPr>
        <w:pStyle w:val="96"/>
        <w:spacing w:after="468"/>
        <w:rPr>
          <w:highlight w:val="none"/>
        </w:rPr>
      </w:pPr>
      <w:bookmarkStart w:id="17" w:name="BookMark1"/>
      <w:r>
        <w:rPr>
          <w:rFonts w:hint="eastAsia"/>
          <w:spacing w:val="320"/>
          <w:highlight w:val="none"/>
        </w:rPr>
        <w:t>目</w:t>
      </w:r>
      <w:r>
        <w:rPr>
          <w:rFonts w:hint="eastAsia"/>
          <w:highlight w:val="none"/>
        </w:rPr>
        <w:t>次</w:t>
      </w:r>
    </w:p>
    <w:p w14:paraId="06CF91F5">
      <w:pPr>
        <w:pStyle w:val="21"/>
        <w:rPr>
          <w:rStyle w:val="36"/>
          <w:highlight w:val="none"/>
        </w:rPr>
      </w:pPr>
      <w:r>
        <w:rPr>
          <w:rStyle w:val="36"/>
          <w:highlight w:val="none"/>
        </w:rPr>
        <w:t>前言</w:t>
      </w:r>
      <w:r>
        <w:rPr>
          <w:rStyle w:val="36"/>
          <w:rFonts w:hint="eastAsia"/>
          <w:highlight w:val="none"/>
        </w:rPr>
        <w:tab/>
      </w:r>
      <w:r>
        <w:rPr>
          <w:rStyle w:val="36"/>
          <w:rFonts w:hint="eastAsia"/>
          <w:highlight w:val="none"/>
        </w:rPr>
        <w:t>Ⅱ</w:t>
      </w:r>
    </w:p>
    <w:p w14:paraId="5EBB7F5F">
      <w:pPr>
        <w:pStyle w:val="21"/>
      </w:pPr>
      <w:r>
        <w:rPr>
          <w:highlight w:val="none"/>
        </w:rPr>
        <w:fldChar w:fldCharType="begin"/>
      </w:r>
      <w:r>
        <w:rPr>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_Toc621387634 </w:instrText>
      </w:r>
      <w:r>
        <w:rPr>
          <w:highlight w:val="none"/>
        </w:rPr>
        <w:fldChar w:fldCharType="separate"/>
      </w:r>
      <w:r>
        <w:rPr>
          <w:rFonts w:hint="eastAsia" w:ascii="黑体" w:eastAsia="黑体"/>
          <w:i w:val="0"/>
        </w:rPr>
        <w:t xml:space="preserve">1 </w:t>
      </w:r>
      <w:r>
        <w:rPr>
          <w:rFonts w:hint="eastAsia"/>
          <w:highlight w:val="none"/>
        </w:rPr>
        <w:t>范围</w:t>
      </w:r>
      <w:r>
        <w:tab/>
      </w:r>
      <w:r>
        <w:fldChar w:fldCharType="begin"/>
      </w:r>
      <w:r>
        <w:instrText xml:space="preserve"> PAGEREF _Toc621387634 \h </w:instrText>
      </w:r>
      <w:r>
        <w:fldChar w:fldCharType="separate"/>
      </w:r>
      <w:r>
        <w:t>3</w:t>
      </w:r>
      <w:r>
        <w:fldChar w:fldCharType="end"/>
      </w:r>
      <w:r>
        <w:rPr>
          <w:highlight w:val="none"/>
        </w:rPr>
        <w:fldChar w:fldCharType="end"/>
      </w:r>
    </w:p>
    <w:p w14:paraId="7F64B0B9">
      <w:pPr>
        <w:pStyle w:val="21"/>
      </w:pPr>
      <w:r>
        <w:rPr>
          <w:highlight w:val="none"/>
        </w:rPr>
        <w:fldChar w:fldCharType="begin"/>
      </w:r>
      <w:r>
        <w:rPr>
          <w:highlight w:val="none"/>
        </w:rPr>
        <w:instrText xml:space="preserve"> HYPERLINK \l _Toc619251614 </w:instrText>
      </w:r>
      <w:r>
        <w:rPr>
          <w:highlight w:val="none"/>
        </w:rPr>
        <w:fldChar w:fldCharType="separate"/>
      </w:r>
      <w:r>
        <w:rPr>
          <w:rFonts w:hint="eastAsia" w:ascii="黑体" w:eastAsia="黑体"/>
          <w:i w:val="0"/>
        </w:rPr>
        <w:t xml:space="preserve">2 </w:t>
      </w:r>
      <w:r>
        <w:rPr>
          <w:rFonts w:hint="eastAsia"/>
          <w:highlight w:val="none"/>
        </w:rPr>
        <w:t>规范性引用文件</w:t>
      </w:r>
      <w:r>
        <w:tab/>
      </w:r>
      <w:r>
        <w:fldChar w:fldCharType="begin"/>
      </w:r>
      <w:r>
        <w:instrText xml:space="preserve"> PAGEREF _Toc619251614 \h </w:instrText>
      </w:r>
      <w:r>
        <w:fldChar w:fldCharType="separate"/>
      </w:r>
      <w:r>
        <w:t>3</w:t>
      </w:r>
      <w:r>
        <w:fldChar w:fldCharType="end"/>
      </w:r>
      <w:r>
        <w:rPr>
          <w:highlight w:val="none"/>
        </w:rPr>
        <w:fldChar w:fldCharType="end"/>
      </w:r>
    </w:p>
    <w:p w14:paraId="310C6CCD">
      <w:pPr>
        <w:pStyle w:val="21"/>
      </w:pPr>
      <w:r>
        <w:rPr>
          <w:highlight w:val="none"/>
        </w:rPr>
        <w:fldChar w:fldCharType="begin"/>
      </w:r>
      <w:r>
        <w:rPr>
          <w:highlight w:val="none"/>
        </w:rPr>
        <w:instrText xml:space="preserve"> HYPERLINK \l _Toc1462013062 </w:instrText>
      </w:r>
      <w:r>
        <w:rPr>
          <w:highlight w:val="none"/>
        </w:rPr>
        <w:fldChar w:fldCharType="separate"/>
      </w:r>
      <w:r>
        <w:rPr>
          <w:rFonts w:hint="eastAsia" w:ascii="黑体" w:eastAsia="黑体"/>
          <w:i w:val="0"/>
        </w:rPr>
        <w:t xml:space="preserve">3 </w:t>
      </w:r>
      <w:r>
        <w:rPr>
          <w:rFonts w:hint="eastAsia"/>
          <w:szCs w:val="21"/>
          <w:highlight w:val="none"/>
        </w:rPr>
        <w:t>术语和定义</w:t>
      </w:r>
      <w:r>
        <w:tab/>
      </w:r>
      <w:r>
        <w:fldChar w:fldCharType="begin"/>
      </w:r>
      <w:r>
        <w:instrText xml:space="preserve"> PAGEREF _Toc1462013062 \h </w:instrText>
      </w:r>
      <w:r>
        <w:fldChar w:fldCharType="separate"/>
      </w:r>
      <w:r>
        <w:t>3</w:t>
      </w:r>
      <w:r>
        <w:fldChar w:fldCharType="end"/>
      </w:r>
      <w:r>
        <w:rPr>
          <w:highlight w:val="none"/>
        </w:rPr>
        <w:fldChar w:fldCharType="end"/>
      </w:r>
    </w:p>
    <w:p w14:paraId="0AE2A2EB">
      <w:pPr>
        <w:pStyle w:val="21"/>
      </w:pPr>
      <w:r>
        <w:rPr>
          <w:highlight w:val="none"/>
        </w:rPr>
        <w:fldChar w:fldCharType="begin"/>
      </w:r>
      <w:r>
        <w:rPr>
          <w:highlight w:val="none"/>
        </w:rPr>
        <w:instrText xml:space="preserve"> HYPERLINK \l _Toc1952850529 </w:instrText>
      </w:r>
      <w:r>
        <w:rPr>
          <w:highlight w:val="none"/>
        </w:rPr>
        <w:fldChar w:fldCharType="separate"/>
      </w:r>
      <w:r>
        <w:rPr>
          <w:rFonts w:hint="eastAsia" w:ascii="黑体" w:eastAsia="黑体"/>
          <w:i w:val="0"/>
        </w:rPr>
        <w:t xml:space="preserve">4 </w:t>
      </w:r>
      <w:r>
        <w:rPr>
          <w:rFonts w:hint="eastAsia"/>
          <w:highlight w:val="none"/>
        </w:rPr>
        <w:t>评价内容</w:t>
      </w:r>
      <w:r>
        <w:tab/>
      </w:r>
      <w:r>
        <w:fldChar w:fldCharType="begin"/>
      </w:r>
      <w:r>
        <w:instrText xml:space="preserve"> PAGEREF _Toc1952850529 \h </w:instrText>
      </w:r>
      <w:r>
        <w:fldChar w:fldCharType="separate"/>
      </w:r>
      <w:r>
        <w:t>4</w:t>
      </w:r>
      <w:r>
        <w:fldChar w:fldCharType="end"/>
      </w:r>
      <w:r>
        <w:rPr>
          <w:highlight w:val="none"/>
        </w:rPr>
        <w:fldChar w:fldCharType="end"/>
      </w:r>
    </w:p>
    <w:p w14:paraId="0109657A">
      <w:pPr>
        <w:pStyle w:val="21"/>
      </w:pPr>
      <w:r>
        <w:rPr>
          <w:highlight w:val="none"/>
        </w:rPr>
        <w:fldChar w:fldCharType="begin"/>
      </w:r>
      <w:r>
        <w:rPr>
          <w:highlight w:val="none"/>
        </w:rPr>
        <w:instrText xml:space="preserve"> HYPERLINK \l _Toc1890183921 </w:instrText>
      </w:r>
      <w:r>
        <w:rPr>
          <w:highlight w:val="none"/>
        </w:rPr>
        <w:fldChar w:fldCharType="separate"/>
      </w:r>
      <w:r>
        <w:rPr>
          <w:rFonts w:hint="eastAsia"/>
          <w:highlight w:val="none"/>
        </w:rPr>
        <w:t>4.1  基本要求</w:t>
      </w:r>
      <w:r>
        <w:tab/>
      </w:r>
      <w:r>
        <w:fldChar w:fldCharType="begin"/>
      </w:r>
      <w:r>
        <w:instrText xml:space="preserve"> PAGEREF _Toc1890183921 \h </w:instrText>
      </w:r>
      <w:r>
        <w:fldChar w:fldCharType="separate"/>
      </w:r>
      <w:r>
        <w:t>4</w:t>
      </w:r>
      <w:r>
        <w:fldChar w:fldCharType="end"/>
      </w:r>
      <w:r>
        <w:rPr>
          <w:highlight w:val="none"/>
        </w:rPr>
        <w:fldChar w:fldCharType="end"/>
      </w:r>
    </w:p>
    <w:p w14:paraId="6FA09AD9">
      <w:pPr>
        <w:pStyle w:val="21"/>
      </w:pPr>
      <w:r>
        <w:rPr>
          <w:highlight w:val="none"/>
        </w:rPr>
        <w:fldChar w:fldCharType="begin"/>
      </w:r>
      <w:r>
        <w:rPr>
          <w:highlight w:val="none"/>
        </w:rPr>
        <w:instrText xml:space="preserve"> HYPERLINK \l _Toc1419082582 </w:instrText>
      </w:r>
      <w:r>
        <w:rPr>
          <w:highlight w:val="none"/>
        </w:rPr>
        <w:fldChar w:fldCharType="separate"/>
      </w:r>
      <w:r>
        <w:rPr>
          <w:rFonts w:hint="eastAsia"/>
          <w:highlight w:val="none"/>
        </w:rPr>
        <w:t>4.2  规章制度管理</w:t>
      </w:r>
      <w:r>
        <w:tab/>
      </w:r>
      <w:r>
        <w:fldChar w:fldCharType="begin"/>
      </w:r>
      <w:r>
        <w:instrText xml:space="preserve"> PAGEREF _Toc1419082582 \h </w:instrText>
      </w:r>
      <w:r>
        <w:fldChar w:fldCharType="separate"/>
      </w:r>
      <w:r>
        <w:t>4</w:t>
      </w:r>
      <w:r>
        <w:fldChar w:fldCharType="end"/>
      </w:r>
      <w:r>
        <w:rPr>
          <w:highlight w:val="none"/>
        </w:rPr>
        <w:fldChar w:fldCharType="end"/>
      </w:r>
    </w:p>
    <w:p w14:paraId="08D242BD">
      <w:pPr>
        <w:pStyle w:val="21"/>
      </w:pPr>
      <w:r>
        <w:rPr>
          <w:highlight w:val="none"/>
        </w:rPr>
        <w:fldChar w:fldCharType="begin"/>
      </w:r>
      <w:r>
        <w:rPr>
          <w:highlight w:val="none"/>
        </w:rPr>
        <w:instrText xml:space="preserve"> HYPERLINK \l _Toc263246407 </w:instrText>
      </w:r>
      <w:r>
        <w:rPr>
          <w:highlight w:val="none"/>
        </w:rPr>
        <w:fldChar w:fldCharType="separate"/>
      </w:r>
      <w:r>
        <w:rPr>
          <w:rFonts w:hint="eastAsia"/>
          <w:highlight w:val="none"/>
        </w:rPr>
        <w:t>4.3  供水水质</w:t>
      </w:r>
      <w:r>
        <w:tab/>
      </w:r>
      <w:r>
        <w:fldChar w:fldCharType="begin"/>
      </w:r>
      <w:r>
        <w:instrText xml:space="preserve"> PAGEREF _Toc263246407 \h </w:instrText>
      </w:r>
      <w:r>
        <w:fldChar w:fldCharType="separate"/>
      </w:r>
      <w:r>
        <w:t>4</w:t>
      </w:r>
      <w:r>
        <w:fldChar w:fldCharType="end"/>
      </w:r>
      <w:r>
        <w:rPr>
          <w:highlight w:val="none"/>
        </w:rPr>
        <w:fldChar w:fldCharType="end"/>
      </w:r>
    </w:p>
    <w:p w14:paraId="7E2841E0">
      <w:pPr>
        <w:pStyle w:val="21"/>
      </w:pPr>
      <w:r>
        <w:rPr>
          <w:highlight w:val="none"/>
        </w:rPr>
        <w:fldChar w:fldCharType="begin"/>
      </w:r>
      <w:r>
        <w:rPr>
          <w:highlight w:val="none"/>
        </w:rPr>
        <w:instrText xml:space="preserve"> HYPERLINK \l _Toc950654662 </w:instrText>
      </w:r>
      <w:r>
        <w:rPr>
          <w:highlight w:val="none"/>
        </w:rPr>
        <w:fldChar w:fldCharType="separate"/>
      </w:r>
      <w:r>
        <w:rPr>
          <w:rFonts w:hint="eastAsia"/>
          <w:highlight w:val="none"/>
        </w:rPr>
        <w:t>4.4  制水工艺</w:t>
      </w:r>
      <w:r>
        <w:tab/>
      </w:r>
      <w:r>
        <w:fldChar w:fldCharType="begin"/>
      </w:r>
      <w:r>
        <w:instrText xml:space="preserve"> PAGEREF _Toc950654662 \h </w:instrText>
      </w:r>
      <w:r>
        <w:fldChar w:fldCharType="separate"/>
      </w:r>
      <w:r>
        <w:t>4</w:t>
      </w:r>
      <w:r>
        <w:fldChar w:fldCharType="end"/>
      </w:r>
      <w:r>
        <w:rPr>
          <w:highlight w:val="none"/>
        </w:rPr>
        <w:fldChar w:fldCharType="end"/>
      </w:r>
    </w:p>
    <w:p w14:paraId="52ABFCB8">
      <w:pPr>
        <w:pStyle w:val="21"/>
      </w:pPr>
      <w:r>
        <w:rPr>
          <w:highlight w:val="none"/>
        </w:rPr>
        <w:fldChar w:fldCharType="begin"/>
      </w:r>
      <w:r>
        <w:rPr>
          <w:highlight w:val="none"/>
        </w:rPr>
        <w:instrText xml:space="preserve"> HYPERLINK \l _Toc1179950803 </w:instrText>
      </w:r>
      <w:r>
        <w:rPr>
          <w:highlight w:val="none"/>
        </w:rPr>
        <w:fldChar w:fldCharType="separate"/>
      </w:r>
      <w:r>
        <w:rPr>
          <w:rFonts w:hint="eastAsia"/>
          <w:highlight w:val="none"/>
        </w:rPr>
        <w:t>4.5  运行维护</w:t>
      </w:r>
      <w:r>
        <w:tab/>
      </w:r>
      <w:r>
        <w:fldChar w:fldCharType="begin"/>
      </w:r>
      <w:r>
        <w:instrText xml:space="preserve"> PAGEREF _Toc1179950803 \h </w:instrText>
      </w:r>
      <w:r>
        <w:fldChar w:fldCharType="separate"/>
      </w:r>
      <w:r>
        <w:t>5</w:t>
      </w:r>
      <w:r>
        <w:fldChar w:fldCharType="end"/>
      </w:r>
      <w:r>
        <w:rPr>
          <w:highlight w:val="none"/>
        </w:rPr>
        <w:fldChar w:fldCharType="end"/>
      </w:r>
    </w:p>
    <w:p w14:paraId="7B65FA13">
      <w:pPr>
        <w:pStyle w:val="21"/>
      </w:pPr>
      <w:r>
        <w:rPr>
          <w:highlight w:val="none"/>
        </w:rPr>
        <w:fldChar w:fldCharType="begin"/>
      </w:r>
      <w:r>
        <w:rPr>
          <w:highlight w:val="none"/>
        </w:rPr>
        <w:instrText xml:space="preserve"> HYPERLINK \l _Toc1371270852 </w:instrText>
      </w:r>
      <w:r>
        <w:rPr>
          <w:highlight w:val="none"/>
        </w:rPr>
        <w:fldChar w:fldCharType="separate"/>
      </w:r>
      <w:r>
        <w:rPr>
          <w:rFonts w:hint="eastAsia"/>
          <w:highlight w:val="none"/>
        </w:rPr>
        <w:t>4.6  安全生产</w:t>
      </w:r>
      <w:r>
        <w:tab/>
      </w:r>
      <w:r>
        <w:fldChar w:fldCharType="begin"/>
      </w:r>
      <w:r>
        <w:instrText xml:space="preserve"> PAGEREF _Toc1371270852 \h </w:instrText>
      </w:r>
      <w:r>
        <w:fldChar w:fldCharType="separate"/>
      </w:r>
      <w:r>
        <w:t>6</w:t>
      </w:r>
      <w:r>
        <w:fldChar w:fldCharType="end"/>
      </w:r>
      <w:r>
        <w:rPr>
          <w:highlight w:val="none"/>
        </w:rPr>
        <w:fldChar w:fldCharType="end"/>
      </w:r>
    </w:p>
    <w:p w14:paraId="3240F04F">
      <w:pPr>
        <w:pStyle w:val="21"/>
      </w:pPr>
      <w:r>
        <w:rPr>
          <w:highlight w:val="none"/>
        </w:rPr>
        <w:fldChar w:fldCharType="begin"/>
      </w:r>
      <w:r>
        <w:rPr>
          <w:highlight w:val="none"/>
        </w:rPr>
        <w:instrText xml:space="preserve"> HYPERLINK \l _Toc1744986226 </w:instrText>
      </w:r>
      <w:r>
        <w:rPr>
          <w:highlight w:val="none"/>
        </w:rPr>
        <w:fldChar w:fldCharType="separate"/>
      </w:r>
      <w:r>
        <w:rPr>
          <w:rFonts w:hint="eastAsia"/>
          <w:highlight w:val="none"/>
        </w:rPr>
        <w:t>4.7  人员管理</w:t>
      </w:r>
      <w:r>
        <w:tab/>
      </w:r>
      <w:r>
        <w:fldChar w:fldCharType="begin"/>
      </w:r>
      <w:r>
        <w:instrText xml:space="preserve"> PAGEREF _Toc1744986226 \h </w:instrText>
      </w:r>
      <w:r>
        <w:fldChar w:fldCharType="separate"/>
      </w:r>
      <w:r>
        <w:t>6</w:t>
      </w:r>
      <w:r>
        <w:fldChar w:fldCharType="end"/>
      </w:r>
      <w:r>
        <w:rPr>
          <w:highlight w:val="none"/>
        </w:rPr>
        <w:fldChar w:fldCharType="end"/>
      </w:r>
    </w:p>
    <w:p w14:paraId="255A2B2D">
      <w:pPr>
        <w:pStyle w:val="21"/>
      </w:pPr>
      <w:r>
        <w:rPr>
          <w:highlight w:val="none"/>
        </w:rPr>
        <w:fldChar w:fldCharType="begin"/>
      </w:r>
      <w:r>
        <w:rPr>
          <w:highlight w:val="none"/>
        </w:rPr>
        <w:instrText xml:space="preserve"> HYPERLINK \l _Toc1192072649 </w:instrText>
      </w:r>
      <w:r>
        <w:rPr>
          <w:highlight w:val="none"/>
        </w:rPr>
        <w:fldChar w:fldCharType="separate"/>
      </w:r>
      <w:r>
        <w:rPr>
          <w:rFonts w:hint="eastAsia"/>
          <w:highlight w:val="none"/>
        </w:rPr>
        <w:t>4.8  节能减排</w:t>
      </w:r>
      <w:r>
        <w:tab/>
      </w:r>
      <w:r>
        <w:fldChar w:fldCharType="begin"/>
      </w:r>
      <w:r>
        <w:instrText xml:space="preserve"> PAGEREF _Toc1192072649 \h </w:instrText>
      </w:r>
      <w:r>
        <w:fldChar w:fldCharType="separate"/>
      </w:r>
      <w:r>
        <w:t>7</w:t>
      </w:r>
      <w:r>
        <w:fldChar w:fldCharType="end"/>
      </w:r>
      <w:r>
        <w:rPr>
          <w:highlight w:val="none"/>
        </w:rPr>
        <w:fldChar w:fldCharType="end"/>
      </w:r>
    </w:p>
    <w:p w14:paraId="4DC53A3D">
      <w:pPr>
        <w:pStyle w:val="21"/>
      </w:pPr>
      <w:r>
        <w:rPr>
          <w:highlight w:val="none"/>
        </w:rPr>
        <w:fldChar w:fldCharType="begin"/>
      </w:r>
      <w:r>
        <w:rPr>
          <w:highlight w:val="none"/>
        </w:rPr>
        <w:instrText xml:space="preserve"> HYPERLINK \l _Toc1325451880 </w:instrText>
      </w:r>
      <w:r>
        <w:rPr>
          <w:highlight w:val="none"/>
        </w:rPr>
        <w:fldChar w:fldCharType="separate"/>
      </w:r>
      <w:r>
        <w:rPr>
          <w:rFonts w:hint="eastAsia"/>
          <w:highlight w:val="none"/>
        </w:rPr>
        <w:t>4.9  水厂智慧化</w:t>
      </w:r>
      <w:r>
        <w:tab/>
      </w:r>
      <w:r>
        <w:fldChar w:fldCharType="begin"/>
      </w:r>
      <w:r>
        <w:instrText xml:space="preserve"> PAGEREF _Toc1325451880 \h </w:instrText>
      </w:r>
      <w:r>
        <w:fldChar w:fldCharType="separate"/>
      </w:r>
      <w:r>
        <w:t>7</w:t>
      </w:r>
      <w:r>
        <w:fldChar w:fldCharType="end"/>
      </w:r>
      <w:r>
        <w:rPr>
          <w:highlight w:val="none"/>
        </w:rPr>
        <w:fldChar w:fldCharType="end"/>
      </w:r>
    </w:p>
    <w:p w14:paraId="7E8B0971">
      <w:pPr>
        <w:pStyle w:val="21"/>
      </w:pPr>
      <w:r>
        <w:rPr>
          <w:highlight w:val="none"/>
        </w:rPr>
        <w:fldChar w:fldCharType="begin"/>
      </w:r>
      <w:r>
        <w:rPr>
          <w:highlight w:val="none"/>
        </w:rPr>
        <w:instrText xml:space="preserve"> HYPERLINK \l _Toc1410942833 </w:instrText>
      </w:r>
      <w:r>
        <w:rPr>
          <w:highlight w:val="none"/>
        </w:rPr>
        <w:fldChar w:fldCharType="separate"/>
      </w:r>
      <w:r>
        <w:rPr>
          <w:rFonts w:hint="eastAsia"/>
          <w:highlight w:val="none"/>
        </w:rPr>
        <w:t>4.10  水厂环境</w:t>
      </w:r>
      <w:r>
        <w:tab/>
      </w:r>
      <w:r>
        <w:fldChar w:fldCharType="begin"/>
      </w:r>
      <w:r>
        <w:instrText xml:space="preserve"> PAGEREF _Toc1410942833 \h </w:instrText>
      </w:r>
      <w:r>
        <w:fldChar w:fldCharType="separate"/>
      </w:r>
      <w:r>
        <w:t>7</w:t>
      </w:r>
      <w:r>
        <w:fldChar w:fldCharType="end"/>
      </w:r>
      <w:r>
        <w:rPr>
          <w:highlight w:val="none"/>
        </w:rPr>
        <w:fldChar w:fldCharType="end"/>
      </w:r>
    </w:p>
    <w:p w14:paraId="0BA854D6">
      <w:pPr>
        <w:pStyle w:val="21"/>
      </w:pPr>
      <w:r>
        <w:rPr>
          <w:highlight w:val="none"/>
        </w:rPr>
        <w:fldChar w:fldCharType="begin"/>
      </w:r>
      <w:r>
        <w:rPr>
          <w:highlight w:val="none"/>
        </w:rPr>
        <w:instrText xml:space="preserve"> HYPERLINK \l _Toc1618564877 </w:instrText>
      </w:r>
      <w:r>
        <w:rPr>
          <w:highlight w:val="none"/>
        </w:rPr>
        <w:fldChar w:fldCharType="separate"/>
      </w:r>
      <w:r>
        <w:rPr>
          <w:rFonts w:hint="eastAsia"/>
          <w:highlight w:val="none"/>
        </w:rPr>
        <w:t>5  评价细则</w:t>
      </w:r>
      <w:r>
        <w:tab/>
      </w:r>
      <w:r>
        <w:fldChar w:fldCharType="begin"/>
      </w:r>
      <w:r>
        <w:instrText xml:space="preserve"> PAGEREF _Toc1618564877 \h </w:instrText>
      </w:r>
      <w:r>
        <w:fldChar w:fldCharType="separate"/>
      </w:r>
      <w:r>
        <w:t>7</w:t>
      </w:r>
      <w:r>
        <w:fldChar w:fldCharType="end"/>
      </w:r>
      <w:r>
        <w:rPr>
          <w:highlight w:val="none"/>
        </w:rPr>
        <w:fldChar w:fldCharType="end"/>
      </w:r>
    </w:p>
    <w:p w14:paraId="4B27E85E">
      <w:pPr>
        <w:pStyle w:val="21"/>
      </w:pPr>
      <w:r>
        <w:rPr>
          <w:highlight w:val="none"/>
        </w:rPr>
        <w:fldChar w:fldCharType="begin"/>
      </w:r>
      <w:r>
        <w:rPr>
          <w:highlight w:val="none"/>
        </w:rPr>
        <w:instrText xml:space="preserve"> HYPERLINK \l _Toc1616757455 </w:instrText>
      </w:r>
      <w:r>
        <w:rPr>
          <w:highlight w:val="none"/>
        </w:rPr>
        <w:fldChar w:fldCharType="separate"/>
      </w:r>
      <w:r>
        <w:rPr>
          <w:rFonts w:hint="eastAsia"/>
          <w:highlight w:val="none"/>
        </w:rPr>
        <w:t>5.1  总体原则</w:t>
      </w:r>
      <w:r>
        <w:tab/>
      </w:r>
      <w:r>
        <w:fldChar w:fldCharType="begin"/>
      </w:r>
      <w:r>
        <w:instrText xml:space="preserve"> PAGEREF _Toc1616757455 \h </w:instrText>
      </w:r>
      <w:r>
        <w:fldChar w:fldCharType="separate"/>
      </w:r>
      <w:r>
        <w:t>7</w:t>
      </w:r>
      <w:r>
        <w:fldChar w:fldCharType="end"/>
      </w:r>
      <w:r>
        <w:rPr>
          <w:highlight w:val="none"/>
        </w:rPr>
        <w:fldChar w:fldCharType="end"/>
      </w:r>
    </w:p>
    <w:p w14:paraId="12943E70">
      <w:pPr>
        <w:pStyle w:val="21"/>
      </w:pPr>
      <w:r>
        <w:rPr>
          <w:highlight w:val="none"/>
        </w:rPr>
        <w:fldChar w:fldCharType="begin"/>
      </w:r>
      <w:r>
        <w:rPr>
          <w:highlight w:val="none"/>
        </w:rPr>
        <w:instrText xml:space="preserve"> HYPERLINK \l _Toc197032219 </w:instrText>
      </w:r>
      <w:r>
        <w:rPr>
          <w:highlight w:val="none"/>
        </w:rPr>
        <w:fldChar w:fldCharType="separate"/>
      </w:r>
      <w:r>
        <w:rPr>
          <w:rFonts w:hint="eastAsia"/>
          <w:highlight w:val="none"/>
        </w:rPr>
        <w:t>5.2  评价方法</w:t>
      </w:r>
      <w:r>
        <w:tab/>
      </w:r>
      <w:r>
        <w:fldChar w:fldCharType="begin"/>
      </w:r>
      <w:r>
        <w:instrText xml:space="preserve"> PAGEREF _Toc197032219 \h </w:instrText>
      </w:r>
      <w:r>
        <w:fldChar w:fldCharType="separate"/>
      </w:r>
      <w:r>
        <w:t>7</w:t>
      </w:r>
      <w:r>
        <w:fldChar w:fldCharType="end"/>
      </w:r>
      <w:r>
        <w:rPr>
          <w:highlight w:val="none"/>
        </w:rPr>
        <w:fldChar w:fldCharType="end"/>
      </w:r>
    </w:p>
    <w:p w14:paraId="21ED2F49">
      <w:pPr>
        <w:pStyle w:val="21"/>
      </w:pPr>
      <w:r>
        <w:rPr>
          <w:highlight w:val="none"/>
        </w:rPr>
        <w:fldChar w:fldCharType="begin"/>
      </w:r>
      <w:r>
        <w:rPr>
          <w:highlight w:val="none"/>
        </w:rPr>
        <w:instrText xml:space="preserve"> HYPERLINK \l _Toc1485327659 </w:instrText>
      </w:r>
      <w:r>
        <w:rPr>
          <w:highlight w:val="none"/>
        </w:rPr>
        <w:fldChar w:fldCharType="separate"/>
      </w:r>
      <w:r>
        <w:rPr>
          <w:rFonts w:hint="eastAsia"/>
          <w:highlight w:val="none"/>
        </w:rPr>
        <w:t>5.3  评价流程</w:t>
      </w:r>
      <w:r>
        <w:tab/>
      </w:r>
      <w:r>
        <w:fldChar w:fldCharType="begin"/>
      </w:r>
      <w:r>
        <w:instrText xml:space="preserve"> PAGEREF _Toc1485327659 \h </w:instrText>
      </w:r>
      <w:r>
        <w:fldChar w:fldCharType="separate"/>
      </w:r>
      <w:r>
        <w:t>8</w:t>
      </w:r>
      <w:r>
        <w:fldChar w:fldCharType="end"/>
      </w:r>
      <w:r>
        <w:rPr>
          <w:highlight w:val="none"/>
        </w:rPr>
        <w:fldChar w:fldCharType="end"/>
      </w:r>
    </w:p>
    <w:p w14:paraId="3A562289">
      <w:pPr>
        <w:pStyle w:val="21"/>
      </w:pPr>
      <w:r>
        <w:rPr>
          <w:highlight w:val="none"/>
        </w:rPr>
        <w:fldChar w:fldCharType="begin"/>
      </w:r>
      <w:r>
        <w:rPr>
          <w:highlight w:val="none"/>
        </w:rPr>
        <w:instrText xml:space="preserve"> HYPERLINK \l _Toc569222213 </w:instrText>
      </w:r>
      <w:r>
        <w:rPr>
          <w:highlight w:val="none"/>
        </w:rPr>
        <w:fldChar w:fldCharType="separate"/>
      </w:r>
      <w:r>
        <w:rPr>
          <w:rFonts w:hint="eastAsia"/>
          <w:highlight w:val="none"/>
        </w:rPr>
        <w:t>5.4  评价结果</w:t>
      </w:r>
      <w:r>
        <w:tab/>
      </w:r>
      <w:r>
        <w:fldChar w:fldCharType="begin"/>
      </w:r>
      <w:r>
        <w:instrText xml:space="preserve"> PAGEREF _Toc569222213 \h </w:instrText>
      </w:r>
      <w:r>
        <w:fldChar w:fldCharType="separate"/>
      </w:r>
      <w:r>
        <w:t>8</w:t>
      </w:r>
      <w:r>
        <w:fldChar w:fldCharType="end"/>
      </w:r>
      <w:r>
        <w:rPr>
          <w:highlight w:val="none"/>
        </w:rPr>
        <w:fldChar w:fldCharType="end"/>
      </w:r>
    </w:p>
    <w:p w14:paraId="75893F43">
      <w:pPr>
        <w:pStyle w:val="21"/>
      </w:pPr>
      <w:r>
        <w:rPr>
          <w:highlight w:val="none"/>
        </w:rPr>
        <w:fldChar w:fldCharType="begin"/>
      </w:r>
      <w:r>
        <w:rPr>
          <w:highlight w:val="none"/>
        </w:rPr>
        <w:instrText xml:space="preserve"> HYPERLINK \l _Toc133688866 </w:instrText>
      </w:r>
      <w:r>
        <w:rPr>
          <w:highlight w:val="none"/>
        </w:rPr>
        <w:fldChar w:fldCharType="separate"/>
      </w:r>
      <w:r>
        <w:rPr>
          <w:rFonts w:hint="eastAsia"/>
          <w:spacing w:val="100"/>
        </w:rPr>
        <w:t xml:space="preserve">附录A </w:t>
      </w:r>
      <w:r>
        <w:rPr>
          <w:highlight w:val="none"/>
        </w:rPr>
        <w:t xml:space="preserve"> </w:t>
      </w:r>
      <w:r>
        <w:rPr>
          <w:rFonts w:hint="eastAsia"/>
          <w:highlight w:val="none"/>
        </w:rPr>
        <w:t>（规范性）</w:t>
      </w:r>
      <w:r>
        <w:rPr>
          <w:highlight w:val="none"/>
        </w:rPr>
        <w:t xml:space="preserve"> </w:t>
      </w:r>
      <w:r>
        <w:rPr>
          <w:rFonts w:hint="eastAsia"/>
          <w:highlight w:val="none"/>
        </w:rPr>
        <w:t>评价指标计算方法</w:t>
      </w:r>
      <w:r>
        <w:tab/>
      </w:r>
      <w:r>
        <w:fldChar w:fldCharType="begin"/>
      </w:r>
      <w:r>
        <w:instrText xml:space="preserve"> PAGEREF _Toc133688866 \h </w:instrText>
      </w:r>
      <w:r>
        <w:fldChar w:fldCharType="separate"/>
      </w:r>
      <w:r>
        <w:t>9</w:t>
      </w:r>
      <w:r>
        <w:fldChar w:fldCharType="end"/>
      </w:r>
      <w:r>
        <w:rPr>
          <w:highlight w:val="none"/>
        </w:rPr>
        <w:fldChar w:fldCharType="end"/>
      </w:r>
    </w:p>
    <w:p w14:paraId="4FEA26CB">
      <w:pPr>
        <w:pStyle w:val="21"/>
      </w:pPr>
      <w:r>
        <w:rPr>
          <w:highlight w:val="none"/>
        </w:rPr>
        <w:fldChar w:fldCharType="begin"/>
      </w:r>
      <w:r>
        <w:rPr>
          <w:highlight w:val="none"/>
        </w:rPr>
        <w:instrText xml:space="preserve"> HYPERLINK \l _Toc1250438918 </w:instrText>
      </w:r>
      <w:r>
        <w:rPr>
          <w:highlight w:val="none"/>
        </w:rPr>
        <w:fldChar w:fldCharType="separate"/>
      </w:r>
      <w:r>
        <w:rPr>
          <w:rFonts w:hint="eastAsia"/>
          <w:spacing w:val="100"/>
        </w:rPr>
        <w:t xml:space="preserve">附录B </w:t>
      </w:r>
      <w:r>
        <w:rPr>
          <w:highlight w:val="none"/>
        </w:rPr>
        <w:t xml:space="preserve"> </w:t>
      </w:r>
      <w:r>
        <w:rPr>
          <w:rFonts w:hint="eastAsia"/>
          <w:highlight w:val="none"/>
        </w:rPr>
        <w:t>（规范性）</w:t>
      </w:r>
      <w:r>
        <w:rPr>
          <w:highlight w:val="none"/>
        </w:rPr>
        <w:t xml:space="preserve"> </w:t>
      </w:r>
      <w:r>
        <w:rPr>
          <w:rFonts w:hint="eastAsia"/>
          <w:highlight w:val="none"/>
        </w:rPr>
        <w:t>城镇公共供水厂运行管理评价计分细则</w:t>
      </w:r>
      <w:r>
        <w:tab/>
      </w:r>
      <w:r>
        <w:fldChar w:fldCharType="begin"/>
      </w:r>
      <w:r>
        <w:instrText xml:space="preserve"> PAGEREF _Toc1250438918 \h </w:instrText>
      </w:r>
      <w:r>
        <w:fldChar w:fldCharType="separate"/>
      </w:r>
      <w:r>
        <w:t>11</w:t>
      </w:r>
      <w:r>
        <w:fldChar w:fldCharType="end"/>
      </w:r>
      <w:r>
        <w:rPr>
          <w:highlight w:val="none"/>
        </w:rPr>
        <w:fldChar w:fldCharType="end"/>
      </w:r>
    </w:p>
    <w:p w14:paraId="5F724ABF">
      <w:pPr>
        <w:pStyle w:val="21"/>
        <w:rPr>
          <w:highlight w:val="none"/>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rPr>
          <w:highlight w:val="none"/>
        </w:rPr>
        <w:fldChar w:fldCharType="end"/>
      </w:r>
      <w:bookmarkEnd w:id="17"/>
      <w:bookmarkStart w:id="18" w:name="_Toc32614"/>
      <w:bookmarkStart w:id="19" w:name="BookMark2"/>
    </w:p>
    <w:p w14:paraId="1FEA45F9">
      <w:pPr>
        <w:pStyle w:val="182"/>
        <w:spacing w:before="312" w:beforeLines="100" w:after="686" w:afterLines="220"/>
        <w:rPr>
          <w:highlight w:val="none"/>
        </w:rPr>
      </w:pPr>
      <w:r>
        <w:rPr>
          <w:highlight w:val="none"/>
        </w:rPr>
        <w:t>前</w:t>
      </w:r>
      <w:r>
        <w:rPr>
          <w:rFonts w:hint="eastAsia"/>
          <w:highlight w:val="none"/>
        </w:rPr>
        <w:t xml:space="preserve">  </w:t>
      </w:r>
      <w:r>
        <w:rPr>
          <w:highlight w:val="none"/>
        </w:rPr>
        <w:t>言</w:t>
      </w:r>
      <w:bookmarkEnd w:id="18"/>
    </w:p>
    <w:p w14:paraId="15BF83B7">
      <w:pPr>
        <w:pStyle w:val="235"/>
        <w:rPr>
          <w:highlight w:val="none"/>
        </w:rPr>
      </w:pPr>
      <w:r>
        <w:rPr>
          <w:rFonts w:hint="eastAsia"/>
          <w:highlight w:val="none"/>
        </w:rPr>
        <w:t>本文件按照GB/T 1.1—2020《标准化工作导则  第1部分：标准化文件的结构和起草规则》的规定起草。</w:t>
      </w:r>
    </w:p>
    <w:p w14:paraId="0F5D12C4">
      <w:pPr>
        <w:pStyle w:val="235"/>
        <w:rPr>
          <w:highlight w:val="none"/>
        </w:rPr>
      </w:pPr>
      <w:r>
        <w:rPr>
          <w:rFonts w:hint="eastAsia"/>
          <w:highlight w:val="none"/>
        </w:rPr>
        <w:t>本文件由北京市水务局提出并归口。</w:t>
      </w:r>
    </w:p>
    <w:p w14:paraId="2D3C0DBE">
      <w:pPr>
        <w:pStyle w:val="235"/>
        <w:rPr>
          <w:highlight w:val="none"/>
        </w:rPr>
      </w:pPr>
      <w:r>
        <w:rPr>
          <w:rFonts w:hint="eastAsia"/>
          <w:highlight w:val="none"/>
        </w:rPr>
        <w:t>本文件由北京市水务局组织实施。</w:t>
      </w:r>
    </w:p>
    <w:p w14:paraId="0590FBFC">
      <w:pPr>
        <w:pStyle w:val="235"/>
        <w:rPr>
          <w:highlight w:val="none"/>
        </w:rPr>
      </w:pPr>
      <w:r>
        <w:rPr>
          <w:rFonts w:hint="eastAsia"/>
          <w:highlight w:val="none"/>
        </w:rPr>
        <w:t>本文件起草单位：北京市供水管理事务中心等。</w:t>
      </w:r>
    </w:p>
    <w:p w14:paraId="6B3FED88">
      <w:pPr>
        <w:pStyle w:val="235"/>
        <w:rPr>
          <w:highlight w:val="none"/>
        </w:rPr>
      </w:pPr>
      <w:r>
        <w:rPr>
          <w:rFonts w:hint="eastAsia"/>
          <w:highlight w:val="none"/>
        </w:rPr>
        <w:t>本文件主要起草人：</w:t>
      </w:r>
    </w:p>
    <w:p w14:paraId="5C7A0428">
      <w:pPr>
        <w:pStyle w:val="61"/>
        <w:ind w:firstLine="420"/>
        <w:rPr>
          <w:highlight w:val="none"/>
        </w:rPr>
      </w:pPr>
    </w:p>
    <w:p w14:paraId="113FD4CE">
      <w:pPr>
        <w:pStyle w:val="61"/>
        <w:ind w:firstLine="420"/>
        <w:rPr>
          <w:highlight w:val="none"/>
        </w:rPr>
        <w:sectPr>
          <w:headerReference r:id="rId12" w:type="default"/>
          <w:footerReference r:id="rId13" w:type="default"/>
          <w:pgSz w:w="11906" w:h="16838"/>
          <w:pgMar w:top="1928" w:right="1134" w:bottom="1134" w:left="1134" w:header="1418" w:footer="1134" w:gutter="284"/>
          <w:pgNumType w:fmt="upperRoman"/>
          <w:cols w:space="425" w:num="1"/>
          <w:formProt w:val="0"/>
          <w:docGrid w:type="lines" w:linePitch="312" w:charSpace="0"/>
        </w:sectPr>
      </w:pPr>
    </w:p>
    <w:bookmarkEnd w:id="19"/>
    <w:p w14:paraId="7C8BB4F8">
      <w:pPr>
        <w:spacing w:line="20" w:lineRule="exact"/>
        <w:jc w:val="center"/>
        <w:rPr>
          <w:rFonts w:ascii="黑体" w:hAnsi="黑体" w:eastAsia="黑体"/>
          <w:sz w:val="32"/>
          <w:szCs w:val="32"/>
          <w:highlight w:val="none"/>
        </w:rPr>
      </w:pPr>
      <w:bookmarkStart w:id="20" w:name="BookMark4"/>
    </w:p>
    <w:p w14:paraId="5DBE4627">
      <w:pPr>
        <w:spacing w:line="20" w:lineRule="exact"/>
        <w:jc w:val="center"/>
        <w:rPr>
          <w:rFonts w:ascii="黑体" w:hAnsi="黑体" w:eastAsia="黑体"/>
          <w:sz w:val="32"/>
          <w:szCs w:val="32"/>
          <w:highlight w:val="none"/>
        </w:rPr>
      </w:pPr>
    </w:p>
    <w:sdt>
      <w:sdtPr>
        <w:rPr>
          <w:highlight w:val="none"/>
        </w:rPr>
        <w:tag w:val="NEW_STAND_NAME"/>
        <w:id w:val="595910757"/>
        <w:lock w:val="sdtLocked"/>
        <w:placeholder>
          <w:docPart w:val="1154090E925E48B98E160790B0DC6926"/>
        </w:placeholder>
      </w:sdtPr>
      <w:sdtEndPr>
        <w:rPr>
          <w:highlight w:val="none"/>
        </w:rPr>
      </w:sdtEndPr>
      <w:sdtContent>
        <w:p w14:paraId="639E9EA4">
          <w:pPr>
            <w:pStyle w:val="182"/>
            <w:spacing w:before="312" w:beforeLines="100" w:after="686" w:afterLines="220"/>
            <w:rPr>
              <w:highlight w:val="none"/>
            </w:rPr>
          </w:pPr>
          <w:bookmarkStart w:id="21" w:name="NEW_STAND_NAME"/>
          <w:r>
            <w:rPr>
              <w:rFonts w:hint="eastAsia"/>
              <w:highlight w:val="none"/>
            </w:rPr>
            <w:t>城镇公共供水厂运行管理评价导则</w:t>
          </w:r>
        </w:p>
      </w:sdtContent>
    </w:sdt>
    <w:bookmarkEnd w:id="21"/>
    <w:p w14:paraId="7CB33847">
      <w:pPr>
        <w:pStyle w:val="109"/>
        <w:spacing w:before="312" w:after="312"/>
        <w:rPr>
          <w:highlight w:val="none"/>
        </w:rPr>
      </w:pPr>
      <w:bookmarkStart w:id="22" w:name="_Toc97191423"/>
      <w:bookmarkStart w:id="23" w:name="_Toc24884211"/>
      <w:bookmarkStart w:id="24" w:name="_Toc26718930"/>
      <w:bookmarkStart w:id="25" w:name="_Toc17233325"/>
      <w:bookmarkStart w:id="26" w:name="_Toc26648465"/>
      <w:bookmarkStart w:id="27" w:name="_Toc24884218"/>
      <w:bookmarkStart w:id="28" w:name="_Toc193608445"/>
      <w:bookmarkStart w:id="29" w:name="_Toc17233333"/>
      <w:bookmarkStart w:id="30" w:name="_Toc621387634"/>
      <w:bookmarkStart w:id="31" w:name="_Toc26986530"/>
      <w:bookmarkStart w:id="32" w:name="_Toc12201"/>
      <w:bookmarkStart w:id="33" w:name="_Toc26986771"/>
      <w:r>
        <w:rPr>
          <w:rFonts w:hint="eastAsia"/>
          <w:highlight w:val="none"/>
        </w:rPr>
        <w:t>范围</w:t>
      </w:r>
      <w:bookmarkEnd w:id="22"/>
      <w:bookmarkEnd w:id="23"/>
      <w:bookmarkEnd w:id="24"/>
      <w:bookmarkEnd w:id="25"/>
      <w:bookmarkEnd w:id="26"/>
      <w:bookmarkEnd w:id="27"/>
      <w:bookmarkEnd w:id="28"/>
      <w:bookmarkEnd w:id="29"/>
      <w:bookmarkEnd w:id="30"/>
      <w:bookmarkEnd w:id="31"/>
      <w:bookmarkEnd w:id="32"/>
      <w:bookmarkEnd w:id="33"/>
    </w:p>
    <w:p w14:paraId="6C214034">
      <w:pPr>
        <w:pStyle w:val="235"/>
        <w:rPr>
          <w:highlight w:val="none"/>
        </w:rPr>
      </w:pPr>
      <w:bookmarkStart w:id="34" w:name="_Toc24884219"/>
      <w:bookmarkStart w:id="35" w:name="_Toc26648466"/>
      <w:bookmarkStart w:id="36" w:name="_Toc17233326"/>
      <w:bookmarkStart w:id="37" w:name="_Toc17233334"/>
      <w:bookmarkStart w:id="38" w:name="_Toc24884212"/>
      <w:r>
        <w:rPr>
          <w:rFonts w:hint="eastAsia"/>
          <w:highlight w:val="none"/>
        </w:rPr>
        <w:t>本文件规定了城镇公共供水厂运行管理的基本要求、规章制度、供水水质、制水工艺、运行维护、安全生产、人员管理、节能减排、水厂智慧化、水厂环境等评价内容及细则。</w:t>
      </w:r>
    </w:p>
    <w:p w14:paraId="6E4478A1">
      <w:pPr>
        <w:pStyle w:val="235"/>
        <w:rPr>
          <w:highlight w:val="none"/>
        </w:rPr>
      </w:pPr>
      <w:r>
        <w:rPr>
          <w:rFonts w:hint="eastAsia"/>
          <w:highlight w:val="none"/>
        </w:rPr>
        <w:t>本文件适用于本市中心城区、副中心、郊区新城已正式投产运行的城镇公共供水厂的运行管理评价</w:t>
      </w:r>
      <w:r>
        <w:rPr>
          <w:rFonts w:ascii="Times New Roman"/>
          <w:highlight w:val="none"/>
        </w:rPr>
        <w:t>。</w:t>
      </w:r>
    </w:p>
    <w:p w14:paraId="6F62DDE8">
      <w:pPr>
        <w:pStyle w:val="109"/>
        <w:spacing w:before="312" w:after="312"/>
        <w:rPr>
          <w:highlight w:val="none"/>
        </w:rPr>
      </w:pPr>
      <w:bookmarkStart w:id="39" w:name="_Toc26986772"/>
      <w:bookmarkStart w:id="40" w:name="_Toc269051526"/>
      <w:bookmarkStart w:id="41" w:name="_Toc97191424"/>
      <w:bookmarkStart w:id="42" w:name="_Toc17364"/>
      <w:bookmarkStart w:id="43" w:name="_Toc26718931"/>
      <w:bookmarkStart w:id="44" w:name="_Toc26986531"/>
      <w:bookmarkStart w:id="45" w:name="_Toc619251614"/>
      <w:r>
        <w:rPr>
          <w:rFonts w:hint="eastAsia"/>
          <w:highlight w:val="none"/>
        </w:rPr>
        <w:t>规范性引用文件</w:t>
      </w:r>
      <w:bookmarkEnd w:id="34"/>
      <w:bookmarkEnd w:id="35"/>
      <w:bookmarkEnd w:id="36"/>
      <w:bookmarkEnd w:id="37"/>
      <w:bookmarkEnd w:id="38"/>
      <w:bookmarkEnd w:id="39"/>
      <w:bookmarkEnd w:id="40"/>
      <w:bookmarkEnd w:id="41"/>
      <w:bookmarkEnd w:id="42"/>
      <w:bookmarkEnd w:id="43"/>
      <w:bookmarkEnd w:id="44"/>
      <w:bookmarkEnd w:id="45"/>
    </w:p>
    <w:p w14:paraId="29F9E0D0">
      <w:pPr>
        <w:pStyle w:val="235"/>
        <w:rPr>
          <w:rFonts w:ascii="Times New Roman"/>
          <w:highlight w:val="none"/>
        </w:rPr>
      </w:pPr>
      <w:r>
        <w:rPr>
          <w:rFonts w:hint="eastAsia" w:ascii="Times New Roman"/>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BDBCAA3">
      <w:pPr>
        <w:pStyle w:val="235"/>
        <w:rPr>
          <w:rFonts w:ascii="Times New Roman"/>
          <w:highlight w:val="none"/>
        </w:rPr>
      </w:pPr>
      <w:r>
        <w:rPr>
          <w:rFonts w:hint="eastAsia" w:ascii="Times New Roman"/>
          <w:highlight w:val="none"/>
        </w:rPr>
        <w:t>GB 2894 安全色和安全标志</w:t>
      </w:r>
    </w:p>
    <w:p w14:paraId="426EDBCF">
      <w:pPr>
        <w:pStyle w:val="235"/>
        <w:rPr>
          <w:rFonts w:ascii="Times New Roman"/>
          <w:highlight w:val="none"/>
        </w:rPr>
      </w:pPr>
      <w:r>
        <w:rPr>
          <w:rFonts w:hint="eastAsia" w:ascii="Times New Roman"/>
          <w:highlight w:val="none"/>
        </w:rPr>
        <w:t>GB 3838 地表水环境质量标准</w:t>
      </w:r>
    </w:p>
    <w:p w14:paraId="3B239381">
      <w:pPr>
        <w:pStyle w:val="235"/>
        <w:rPr>
          <w:rFonts w:ascii="Times New Roman"/>
          <w:highlight w:val="none"/>
        </w:rPr>
      </w:pPr>
      <w:bookmarkStart w:id="46" w:name="OLE_LINK1"/>
      <w:r>
        <w:rPr>
          <w:rFonts w:hint="eastAsia" w:ascii="Times New Roman"/>
          <w:highlight w:val="none"/>
        </w:rPr>
        <w:t>GB 5749</w:t>
      </w:r>
      <w:bookmarkEnd w:id="46"/>
      <w:r>
        <w:rPr>
          <w:rFonts w:hint="eastAsia" w:ascii="Times New Roman"/>
          <w:highlight w:val="none"/>
        </w:rPr>
        <w:t xml:space="preserve"> 生活饮用水卫生标准</w:t>
      </w:r>
    </w:p>
    <w:p w14:paraId="0FA1E580">
      <w:pPr>
        <w:pStyle w:val="235"/>
        <w:rPr>
          <w:rFonts w:hint="eastAsia" w:ascii="Times New Roman"/>
          <w:highlight w:val="none"/>
        </w:rPr>
      </w:pPr>
      <w:bookmarkStart w:id="47" w:name="OLE_LINK5"/>
      <w:bookmarkStart w:id="48" w:name="OLE_LINK4"/>
      <w:r>
        <w:rPr>
          <w:rFonts w:hint="eastAsia" w:ascii="Times New Roman"/>
          <w:highlight w:val="none"/>
        </w:rPr>
        <w:t>GB/T 5750（所有部分）生活饮用水标准检验方法</w:t>
      </w:r>
    </w:p>
    <w:p w14:paraId="5737A2F9">
      <w:pPr>
        <w:pStyle w:val="235"/>
        <w:rPr>
          <w:rFonts w:ascii="Times New Roman"/>
          <w:highlight w:val="none"/>
        </w:rPr>
      </w:pPr>
      <w:r>
        <w:rPr>
          <w:rFonts w:hint="eastAsia" w:ascii="Times New Roman"/>
          <w:highlight w:val="none"/>
        </w:rPr>
        <w:t>GB/T 14848</w:t>
      </w:r>
      <w:bookmarkEnd w:id="47"/>
      <w:bookmarkEnd w:id="48"/>
      <w:r>
        <w:rPr>
          <w:rFonts w:hint="eastAsia" w:ascii="Times New Roman"/>
          <w:highlight w:val="none"/>
        </w:rPr>
        <w:t xml:space="preserve"> 地下水质量标准</w:t>
      </w:r>
    </w:p>
    <w:p w14:paraId="41924F0D">
      <w:pPr>
        <w:pStyle w:val="235"/>
        <w:rPr>
          <w:rFonts w:ascii="Times New Roman"/>
          <w:highlight w:val="none"/>
        </w:rPr>
      </w:pPr>
      <w:bookmarkStart w:id="49" w:name="OLE_LINK6"/>
      <w:r>
        <w:rPr>
          <w:rFonts w:hint="eastAsia" w:ascii="Times New Roman"/>
          <w:highlight w:val="none"/>
        </w:rPr>
        <w:t>GB 17915</w:t>
      </w:r>
      <w:bookmarkEnd w:id="49"/>
      <w:r>
        <w:rPr>
          <w:rFonts w:hint="eastAsia" w:ascii="Times New Roman"/>
          <w:highlight w:val="none"/>
        </w:rPr>
        <w:t xml:space="preserve"> 腐蚀性商品储存养护技术条件</w:t>
      </w:r>
    </w:p>
    <w:p w14:paraId="6BD6CAD3">
      <w:pPr>
        <w:pStyle w:val="235"/>
        <w:rPr>
          <w:rFonts w:ascii="Times New Roman"/>
          <w:highlight w:val="none"/>
        </w:rPr>
      </w:pPr>
      <w:bookmarkStart w:id="50" w:name="OLE_LINK7"/>
      <w:bookmarkStart w:id="51" w:name="OLE_LINK8"/>
      <w:r>
        <w:rPr>
          <w:rFonts w:hint="eastAsia" w:ascii="Times New Roman"/>
          <w:highlight w:val="none"/>
        </w:rPr>
        <w:t>GB/T 22239</w:t>
      </w:r>
      <w:bookmarkEnd w:id="50"/>
      <w:bookmarkEnd w:id="51"/>
      <w:r>
        <w:rPr>
          <w:rFonts w:hint="eastAsia" w:ascii="Times New Roman"/>
          <w:highlight w:val="none"/>
        </w:rPr>
        <w:t xml:space="preserve"> 信息安全技术 网络安全等级保护基本要求</w:t>
      </w:r>
    </w:p>
    <w:p w14:paraId="20F626F8">
      <w:pPr>
        <w:pStyle w:val="235"/>
        <w:rPr>
          <w:rFonts w:ascii="Times New Roman"/>
          <w:highlight w:val="none"/>
        </w:rPr>
      </w:pPr>
      <w:bookmarkStart w:id="52" w:name="OLE_LINK10"/>
      <w:bookmarkStart w:id="53" w:name="OLE_LINK9"/>
      <w:r>
        <w:rPr>
          <w:rFonts w:hint="eastAsia" w:ascii="Times New Roman"/>
          <w:highlight w:val="none"/>
        </w:rPr>
        <w:t>GB/T 29639</w:t>
      </w:r>
      <w:bookmarkEnd w:id="52"/>
      <w:bookmarkEnd w:id="53"/>
      <w:r>
        <w:rPr>
          <w:rFonts w:hint="eastAsia" w:ascii="Times New Roman"/>
          <w:highlight w:val="none"/>
        </w:rPr>
        <w:t xml:space="preserve"> 生产经营单位生产安全事故应急预案编制导则</w:t>
      </w:r>
    </w:p>
    <w:p w14:paraId="11C92C59">
      <w:pPr>
        <w:pStyle w:val="235"/>
        <w:rPr>
          <w:rFonts w:ascii="Times New Roman"/>
          <w:highlight w:val="none"/>
        </w:rPr>
      </w:pPr>
      <w:r>
        <w:rPr>
          <w:rFonts w:hint="eastAsia" w:ascii="Times New Roman"/>
          <w:highlight w:val="none"/>
        </w:rPr>
        <w:t>CJJ 58 城镇供水厂运行、维护及安全技术规程</w:t>
      </w:r>
    </w:p>
    <w:p w14:paraId="612D3CE7">
      <w:pPr>
        <w:pStyle w:val="235"/>
        <w:rPr>
          <w:rFonts w:ascii="Times New Roman"/>
          <w:highlight w:val="none"/>
        </w:rPr>
      </w:pPr>
      <w:bookmarkStart w:id="54" w:name="OLE_LINK11"/>
      <w:bookmarkStart w:id="55" w:name="OLE_LINK12"/>
      <w:r>
        <w:rPr>
          <w:rFonts w:hint="eastAsia" w:ascii="Times New Roman"/>
          <w:highlight w:val="none"/>
        </w:rPr>
        <w:t>CJ/T 141</w:t>
      </w:r>
      <w:bookmarkEnd w:id="54"/>
      <w:bookmarkEnd w:id="55"/>
      <w:r>
        <w:rPr>
          <w:rFonts w:hint="eastAsia" w:ascii="Times New Roman"/>
          <w:highlight w:val="none"/>
        </w:rPr>
        <w:t xml:space="preserve"> 城镇供水水质标准检验方法</w:t>
      </w:r>
    </w:p>
    <w:p w14:paraId="1229A8A9">
      <w:pPr>
        <w:pStyle w:val="235"/>
        <w:rPr>
          <w:rFonts w:ascii="Times New Roman"/>
          <w:highlight w:val="none"/>
        </w:rPr>
      </w:pPr>
      <w:r>
        <w:rPr>
          <w:rFonts w:hint="eastAsia" w:ascii="Times New Roman"/>
          <w:highlight w:val="none"/>
        </w:rPr>
        <w:t>CJJ/T 182 城镇供水与污水处理化验室技术规范</w:t>
      </w:r>
    </w:p>
    <w:p w14:paraId="5C773015">
      <w:pPr>
        <w:pStyle w:val="235"/>
        <w:rPr>
          <w:rFonts w:ascii="Times New Roman"/>
          <w:highlight w:val="none"/>
        </w:rPr>
      </w:pPr>
      <w:r>
        <w:rPr>
          <w:rFonts w:hint="eastAsia" w:ascii="Times New Roman"/>
          <w:highlight w:val="none"/>
        </w:rPr>
        <w:t>CJ/T 206 城市供水水质标准</w:t>
      </w:r>
    </w:p>
    <w:p w14:paraId="5EB1EE8C">
      <w:pPr>
        <w:pStyle w:val="235"/>
        <w:rPr>
          <w:rFonts w:ascii="Times New Roman"/>
          <w:highlight w:val="none"/>
        </w:rPr>
      </w:pPr>
      <w:r>
        <w:rPr>
          <w:rFonts w:hint="eastAsia" w:ascii="Times New Roman"/>
          <w:highlight w:val="none"/>
        </w:rPr>
        <w:t>CJJ/T 271 城镇供水水质在线监测技术标准</w:t>
      </w:r>
    </w:p>
    <w:p w14:paraId="4D89F9BF">
      <w:pPr>
        <w:pStyle w:val="235"/>
        <w:rPr>
          <w:rFonts w:ascii="Times New Roman"/>
          <w:highlight w:val="none"/>
        </w:rPr>
      </w:pPr>
      <w:r>
        <w:rPr>
          <w:rFonts w:hint="eastAsia" w:ascii="Times New Roman"/>
          <w:highlight w:val="none"/>
        </w:rPr>
        <w:t>GA 1809 城市供水系统反恐怖防范要求</w:t>
      </w:r>
    </w:p>
    <w:p w14:paraId="54C0F5E3">
      <w:pPr>
        <w:pStyle w:val="235"/>
        <w:rPr>
          <w:rFonts w:ascii="Times New Roman"/>
          <w:highlight w:val="none"/>
        </w:rPr>
      </w:pPr>
      <w:r>
        <w:rPr>
          <w:rFonts w:hint="eastAsia" w:ascii="Times New Roman"/>
          <w:highlight w:val="none"/>
        </w:rPr>
        <w:t>DB11/T 527 配电室安全管理规范</w:t>
      </w:r>
    </w:p>
    <w:p w14:paraId="0C50C90F">
      <w:pPr>
        <w:pStyle w:val="235"/>
        <w:rPr>
          <w:rFonts w:ascii="Times New Roman"/>
          <w:highlight w:val="none"/>
        </w:rPr>
      </w:pPr>
      <w:r>
        <w:rPr>
          <w:rFonts w:hint="eastAsia" w:ascii="Times New Roman"/>
          <w:highlight w:val="none"/>
        </w:rPr>
        <w:t>DB11/T 833 危险化学品地上储罐区安全要求</w:t>
      </w:r>
    </w:p>
    <w:p w14:paraId="3E99CBFB">
      <w:pPr>
        <w:pStyle w:val="235"/>
        <w:rPr>
          <w:rFonts w:ascii="Times New Roman"/>
          <w:highlight w:val="none"/>
        </w:rPr>
      </w:pPr>
      <w:r>
        <w:rPr>
          <w:rFonts w:hint="eastAsia" w:ascii="Times New Roman"/>
          <w:highlight w:val="none"/>
        </w:rPr>
        <w:t>DB11/T 852 有限空间作业安全技术规范</w:t>
      </w:r>
    </w:p>
    <w:p w14:paraId="58E8A110">
      <w:pPr>
        <w:pStyle w:val="235"/>
        <w:rPr>
          <w:rFonts w:ascii="Times New Roman"/>
          <w:highlight w:val="none"/>
        </w:rPr>
      </w:pPr>
      <w:r>
        <w:rPr>
          <w:rFonts w:hint="eastAsia" w:ascii="Times New Roman"/>
          <w:highlight w:val="none"/>
        </w:rPr>
        <w:t>DB11/T 1191.1 实验室危险化学品安全管理要求 第1部分：工业企业</w:t>
      </w:r>
    </w:p>
    <w:p w14:paraId="306EBAEF">
      <w:pPr>
        <w:pStyle w:val="235"/>
        <w:rPr>
          <w:rFonts w:ascii="Times New Roman"/>
          <w:highlight w:val="none"/>
        </w:rPr>
      </w:pPr>
      <w:r>
        <w:rPr>
          <w:rFonts w:ascii="Times New Roman"/>
          <w:highlight w:val="none"/>
        </w:rPr>
        <w:t>DB11/T 1481</w:t>
      </w:r>
      <w:r>
        <w:rPr>
          <w:rFonts w:hint="eastAsia" w:ascii="Times New Roman"/>
          <w:highlight w:val="none"/>
        </w:rPr>
        <w:t xml:space="preserve"> 生产经营单位生产安全事故应急预案评审规范</w:t>
      </w:r>
    </w:p>
    <w:p w14:paraId="1B7D4ECD">
      <w:pPr>
        <w:pStyle w:val="235"/>
        <w:rPr>
          <w:rFonts w:ascii="Times New Roman"/>
          <w:highlight w:val="none"/>
        </w:rPr>
      </w:pPr>
      <w:r>
        <w:rPr>
          <w:rFonts w:ascii="Times New Roman"/>
          <w:highlight w:val="none"/>
        </w:rPr>
        <w:t>DB11/T 1583</w:t>
      </w:r>
      <w:r>
        <w:rPr>
          <w:rFonts w:hint="eastAsia" w:ascii="Times New Roman"/>
          <w:highlight w:val="none"/>
        </w:rPr>
        <w:t xml:space="preserve"> 生产安全事故应急演练实施与评估</w:t>
      </w:r>
    </w:p>
    <w:p w14:paraId="5F54EF18">
      <w:pPr>
        <w:pStyle w:val="235"/>
        <w:rPr>
          <w:rFonts w:ascii="Times New Roman"/>
          <w:highlight w:val="none"/>
        </w:rPr>
      </w:pPr>
      <w:r>
        <w:rPr>
          <w:rFonts w:hint="eastAsia" w:ascii="Times New Roman"/>
          <w:highlight w:val="none"/>
        </w:rPr>
        <w:t>DB11/T 1936 供水企业节水管理规范</w:t>
      </w:r>
    </w:p>
    <w:p w14:paraId="54652A03">
      <w:pPr>
        <w:pStyle w:val="109"/>
        <w:spacing w:before="312" w:after="312"/>
        <w:rPr>
          <w:highlight w:val="none"/>
        </w:rPr>
      </w:pPr>
      <w:bookmarkStart w:id="56" w:name="_Toc97191425"/>
      <w:bookmarkStart w:id="57" w:name="_Toc314972267"/>
      <w:bookmarkStart w:id="58" w:name="_Toc14161"/>
      <w:bookmarkStart w:id="59" w:name="_Toc1462013062"/>
      <w:r>
        <w:rPr>
          <w:rFonts w:hint="eastAsia"/>
          <w:szCs w:val="21"/>
          <w:highlight w:val="none"/>
        </w:rPr>
        <w:t>术语和定义</w:t>
      </w:r>
      <w:bookmarkEnd w:id="56"/>
      <w:bookmarkEnd w:id="57"/>
      <w:bookmarkEnd w:id="58"/>
      <w:bookmarkEnd w:id="59"/>
    </w:p>
    <w:sdt>
      <w:sdtPr>
        <w:rPr>
          <w:highlight w:val="none"/>
        </w:rPr>
        <w:id w:val="-1"/>
        <w:placeholder>
          <w:docPart w:val="A5A01930508543CFA9166729CE42554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none"/>
        </w:rPr>
      </w:sdtEndPr>
      <w:sdtContent>
        <w:p w14:paraId="7BC97CA3">
          <w:pPr>
            <w:pStyle w:val="61"/>
            <w:ind w:firstLine="420"/>
            <w:rPr>
              <w:highlight w:val="none"/>
            </w:rPr>
          </w:pPr>
          <w:bookmarkStart w:id="60" w:name="_Toc26986532"/>
          <w:bookmarkEnd w:id="60"/>
          <w:r>
            <w:rPr>
              <w:highlight w:val="none"/>
            </w:rPr>
            <w:t>下列术语和定义适用于本文件。</w:t>
          </w:r>
        </w:p>
      </w:sdtContent>
    </w:sdt>
    <w:p w14:paraId="7E16D23D">
      <w:pPr>
        <w:pStyle w:val="228"/>
        <w:numPr>
          <w:ilvl w:val="0"/>
          <w:numId w:val="0"/>
        </w:numPr>
        <w:rPr>
          <w:rFonts w:ascii="黑体" w:hAnsi="黑体" w:eastAsia="黑体"/>
          <w:highlight w:val="none"/>
        </w:rPr>
      </w:pPr>
      <w:r>
        <w:rPr>
          <w:rFonts w:hint="eastAsia" w:ascii="黑体" w:hAnsi="黑体" w:eastAsia="黑体"/>
          <w:highlight w:val="none"/>
        </w:rPr>
        <w:t>3.1</w:t>
      </w:r>
    </w:p>
    <w:p w14:paraId="2C090FF8">
      <w:pPr>
        <w:pStyle w:val="228"/>
        <w:numPr>
          <w:ilvl w:val="0"/>
          <w:numId w:val="0"/>
        </w:numPr>
        <w:ind w:left="420"/>
        <w:rPr>
          <w:rFonts w:ascii="黑体" w:hAnsi="黑体" w:eastAsia="黑体"/>
          <w:highlight w:val="none"/>
        </w:rPr>
      </w:pPr>
      <w:r>
        <w:rPr>
          <w:rFonts w:hint="eastAsia" w:ascii="黑体" w:hAnsi="黑体" w:eastAsia="黑体"/>
          <w:highlight w:val="none"/>
        </w:rPr>
        <w:t xml:space="preserve">城镇公共供水厂  </w:t>
      </w:r>
      <w:r>
        <w:rPr>
          <w:rFonts w:hint="eastAsia" w:ascii="黑体" w:hAnsi="黑体" w:eastAsia="黑体"/>
          <w:highlight w:val="none"/>
          <w:lang w:val="en-US" w:eastAsia="zh-CN"/>
        </w:rPr>
        <w:t>u</w:t>
      </w:r>
      <w:r>
        <w:rPr>
          <w:rFonts w:hint="eastAsia" w:ascii="黑体" w:hAnsi="黑体" w:eastAsia="黑体"/>
          <w:highlight w:val="none"/>
        </w:rPr>
        <w:t xml:space="preserve">rban </w:t>
      </w:r>
      <w:r>
        <w:rPr>
          <w:rFonts w:hint="eastAsia" w:ascii="黑体" w:hAnsi="黑体" w:eastAsia="黑体"/>
          <w:highlight w:val="none"/>
          <w:lang w:val="en-US" w:eastAsia="zh-CN"/>
        </w:rPr>
        <w:t>p</w:t>
      </w:r>
      <w:r>
        <w:rPr>
          <w:rFonts w:hint="eastAsia" w:ascii="黑体" w:hAnsi="黑体" w:eastAsia="黑体"/>
          <w:highlight w:val="none"/>
        </w:rPr>
        <w:t xml:space="preserve">ublic </w:t>
      </w:r>
      <w:r>
        <w:rPr>
          <w:rFonts w:hint="eastAsia" w:ascii="黑体" w:hAnsi="黑体" w:eastAsia="黑体"/>
          <w:highlight w:val="none"/>
          <w:lang w:val="en-US" w:eastAsia="zh-CN"/>
        </w:rPr>
        <w:t>w</w:t>
      </w:r>
      <w:r>
        <w:rPr>
          <w:rFonts w:hint="eastAsia" w:ascii="黑体" w:hAnsi="黑体" w:eastAsia="黑体"/>
          <w:highlight w:val="none"/>
        </w:rPr>
        <w:t xml:space="preserve">ater </w:t>
      </w:r>
      <w:r>
        <w:rPr>
          <w:rFonts w:hint="eastAsia" w:ascii="黑体" w:hAnsi="黑体" w:eastAsia="黑体"/>
          <w:highlight w:val="none"/>
          <w:lang w:val="en-US" w:eastAsia="zh-CN"/>
        </w:rPr>
        <w:t>t</w:t>
      </w:r>
      <w:r>
        <w:rPr>
          <w:rFonts w:hint="eastAsia" w:ascii="黑体" w:hAnsi="黑体" w:eastAsia="黑体"/>
          <w:highlight w:val="none"/>
        </w:rPr>
        <w:t xml:space="preserve">reatment </w:t>
      </w:r>
      <w:r>
        <w:rPr>
          <w:rFonts w:hint="eastAsia" w:ascii="黑体" w:hAnsi="黑体" w:eastAsia="黑体"/>
          <w:highlight w:val="none"/>
          <w:lang w:val="en-US" w:eastAsia="zh-CN"/>
        </w:rPr>
        <w:t>p</w:t>
      </w:r>
      <w:r>
        <w:rPr>
          <w:rFonts w:hint="eastAsia" w:ascii="黑体" w:hAnsi="黑体" w:eastAsia="黑体"/>
          <w:highlight w:val="none"/>
        </w:rPr>
        <w:t>lants</w:t>
      </w:r>
    </w:p>
    <w:p w14:paraId="652BE2DC">
      <w:pPr>
        <w:pStyle w:val="61"/>
        <w:ind w:firstLine="420"/>
        <w:rPr>
          <w:highlight w:val="none"/>
        </w:rPr>
      </w:pPr>
      <w:r>
        <w:rPr>
          <w:rFonts w:hint="eastAsia"/>
          <w:highlight w:val="none"/>
        </w:rPr>
        <w:t>面向社会供水，具有一定的生产设施设备，能完成饮用水整个制水过程的生产单位</w:t>
      </w:r>
      <w:r>
        <w:rPr>
          <w:highlight w:val="none"/>
        </w:rPr>
        <w:t>。</w:t>
      </w:r>
    </w:p>
    <w:p w14:paraId="24D12FE8">
      <w:pPr>
        <w:pStyle w:val="228"/>
        <w:numPr>
          <w:ilvl w:val="0"/>
          <w:numId w:val="0"/>
        </w:numPr>
        <w:rPr>
          <w:rFonts w:ascii="黑体" w:hAnsi="黑体" w:eastAsia="黑体"/>
          <w:highlight w:val="none"/>
        </w:rPr>
      </w:pPr>
      <w:bookmarkStart w:id="61" w:name="_Toc183072694"/>
      <w:bookmarkStart w:id="62" w:name="_Toc1610"/>
      <w:r>
        <w:rPr>
          <w:rFonts w:hint="eastAsia" w:ascii="黑体" w:hAnsi="黑体" w:eastAsia="黑体"/>
          <w:highlight w:val="none"/>
        </w:rPr>
        <w:t>3.2</w:t>
      </w:r>
    </w:p>
    <w:p w14:paraId="20F4928F">
      <w:pPr>
        <w:pStyle w:val="228"/>
        <w:numPr>
          <w:ilvl w:val="0"/>
          <w:numId w:val="0"/>
        </w:numPr>
        <w:ind w:left="420"/>
        <w:rPr>
          <w:rFonts w:ascii="黑体" w:hAnsi="黑体" w:eastAsia="黑体"/>
          <w:highlight w:val="none"/>
        </w:rPr>
      </w:pPr>
      <w:r>
        <w:rPr>
          <w:rFonts w:hint="eastAsia" w:ascii="黑体" w:hAnsi="黑体" w:eastAsia="黑体"/>
          <w:highlight w:val="none"/>
        </w:rPr>
        <w:t>配水单位电耗  electricity consumption per unit product of water distribution</w:t>
      </w:r>
    </w:p>
    <w:p w14:paraId="74A22C6F">
      <w:pPr>
        <w:pStyle w:val="61"/>
        <w:ind w:firstLine="420"/>
        <w:rPr>
          <w:highlight w:val="none"/>
        </w:rPr>
      </w:pPr>
      <w:r>
        <w:rPr>
          <w:rFonts w:hint="eastAsia"/>
          <w:highlight w:val="none"/>
        </w:rPr>
        <w:t>城镇公共供水厂配水泵向供水管网输配水所消耗的单位电量，单位为kW·h/(km</w:t>
      </w:r>
      <w:r>
        <w:rPr>
          <w:rFonts w:hint="eastAsia"/>
          <w:highlight w:val="none"/>
          <w:vertAlign w:val="superscript"/>
        </w:rPr>
        <w:t>3</w:t>
      </w:r>
      <w:r>
        <w:rPr>
          <w:rFonts w:hint="eastAsia"/>
          <w:highlight w:val="none"/>
        </w:rPr>
        <w:t>·MPa)。</w:t>
      </w:r>
    </w:p>
    <w:p w14:paraId="2228EABE">
      <w:pPr>
        <w:pStyle w:val="109"/>
        <w:spacing w:before="312" w:after="312"/>
        <w:rPr>
          <w:highlight w:val="none"/>
        </w:rPr>
      </w:pPr>
      <w:bookmarkStart w:id="63" w:name="_Toc363201864"/>
      <w:bookmarkStart w:id="64" w:name="_Toc1952850529"/>
      <w:r>
        <w:rPr>
          <w:rFonts w:hint="eastAsia"/>
          <w:highlight w:val="none"/>
        </w:rPr>
        <w:t>评价内容</w:t>
      </w:r>
      <w:bookmarkEnd w:id="63"/>
      <w:bookmarkEnd w:id="64"/>
    </w:p>
    <w:p w14:paraId="7275CDD1">
      <w:pPr>
        <w:pStyle w:val="109"/>
        <w:numPr>
          <w:ilvl w:val="1"/>
          <w:numId w:val="0"/>
        </w:numPr>
        <w:tabs>
          <w:tab w:val="left" w:pos="7187"/>
        </w:tabs>
        <w:spacing w:before="312" w:after="312"/>
        <w:rPr>
          <w:highlight w:val="none"/>
        </w:rPr>
      </w:pPr>
      <w:bookmarkStart w:id="65" w:name="_Toc1414495474"/>
      <w:bookmarkStart w:id="66" w:name="_Toc1890183921"/>
      <w:r>
        <w:rPr>
          <w:rFonts w:hint="eastAsia"/>
          <w:highlight w:val="none"/>
        </w:rPr>
        <w:t>4.1  基本要求</w:t>
      </w:r>
      <w:bookmarkEnd w:id="65"/>
      <w:bookmarkEnd w:id="66"/>
    </w:p>
    <w:p w14:paraId="56493100">
      <w:pPr>
        <w:rPr>
          <w:rFonts w:ascii="宋体" w:hAnsi="宋体"/>
          <w:kern w:val="0"/>
          <w:highlight w:val="none"/>
        </w:rPr>
      </w:pPr>
      <w:r>
        <w:rPr>
          <w:rFonts w:hint="eastAsia" w:ascii="黑体" w:hAnsi="黑体" w:eastAsia="黑体" w:cs="黑体"/>
          <w:kern w:val="0"/>
          <w:highlight w:val="none"/>
        </w:rPr>
        <w:t>4.1.1</w:t>
      </w:r>
      <w:r>
        <w:rPr>
          <w:rFonts w:hint="eastAsia" w:ascii="宋体" w:hAnsi="宋体"/>
          <w:kern w:val="0"/>
          <w:highlight w:val="none"/>
        </w:rPr>
        <w:t xml:space="preserve">  取水许可证、卫生许可证在有效期内，直接从事制水和水质检验的人员有健康证且在有效期内。</w:t>
      </w:r>
    </w:p>
    <w:p w14:paraId="6569854E">
      <w:pPr>
        <w:rPr>
          <w:rFonts w:ascii="宋体" w:hAnsi="宋体"/>
          <w:kern w:val="0"/>
          <w:highlight w:val="none"/>
        </w:rPr>
      </w:pPr>
      <w:r>
        <w:rPr>
          <w:rFonts w:hint="eastAsia" w:ascii="黑体" w:hAnsi="黑体" w:eastAsia="黑体" w:cs="黑体"/>
          <w:kern w:val="0"/>
          <w:highlight w:val="none"/>
        </w:rPr>
        <w:t>4.1.2</w:t>
      </w:r>
      <w:r>
        <w:rPr>
          <w:rFonts w:hint="eastAsia" w:ascii="宋体" w:hAnsi="宋体"/>
          <w:kern w:val="0"/>
          <w:highlight w:val="none"/>
        </w:rPr>
        <w:t xml:space="preserve">  出厂水质应符合GB</w:t>
      </w:r>
      <w:r>
        <w:rPr>
          <w:rFonts w:ascii="宋体" w:hAnsi="宋体"/>
          <w:kern w:val="0"/>
          <w:highlight w:val="none"/>
          <w:lang w:val="en"/>
        </w:rPr>
        <w:t xml:space="preserve"> </w:t>
      </w:r>
      <w:r>
        <w:rPr>
          <w:rFonts w:hint="eastAsia" w:ascii="宋体" w:hAnsi="宋体"/>
          <w:kern w:val="0"/>
          <w:highlight w:val="none"/>
        </w:rPr>
        <w:t>5749的要求，并有冗余度。</w:t>
      </w:r>
    </w:p>
    <w:p w14:paraId="77FA671E">
      <w:pPr>
        <w:rPr>
          <w:rFonts w:ascii="宋体" w:hAnsi="宋体"/>
          <w:kern w:val="0"/>
          <w:highlight w:val="none"/>
        </w:rPr>
      </w:pPr>
      <w:r>
        <w:rPr>
          <w:rFonts w:hint="eastAsia" w:ascii="黑体" w:hAnsi="黑体" w:eastAsia="黑体" w:cs="黑体"/>
          <w:kern w:val="0"/>
          <w:highlight w:val="none"/>
        </w:rPr>
        <w:t>4.1.3</w:t>
      </w:r>
      <w:r>
        <w:rPr>
          <w:rFonts w:hint="eastAsia" w:ascii="宋体" w:hAnsi="宋体"/>
          <w:kern w:val="0"/>
          <w:highlight w:val="none"/>
        </w:rPr>
        <w:t xml:space="preserve">  应设置水质化验室。水质化验室的级别划分、仪器配备、检测能力应符合CJJ/T 182的规定。</w:t>
      </w:r>
    </w:p>
    <w:p w14:paraId="0F6DAC3C">
      <w:pPr>
        <w:rPr>
          <w:rFonts w:ascii="宋体" w:hAnsi="宋体"/>
          <w:kern w:val="0"/>
          <w:highlight w:val="none"/>
        </w:rPr>
      </w:pPr>
      <w:r>
        <w:rPr>
          <w:rFonts w:hint="eastAsia" w:ascii="黑体" w:hAnsi="黑体" w:eastAsia="黑体" w:cs="黑体"/>
          <w:kern w:val="0"/>
          <w:highlight w:val="none"/>
        </w:rPr>
        <w:t>4.1.4</w:t>
      </w:r>
      <w:r>
        <w:rPr>
          <w:rFonts w:hint="eastAsia" w:ascii="宋体" w:hAnsi="宋体"/>
          <w:kern w:val="0"/>
          <w:highlight w:val="none"/>
        </w:rPr>
        <w:t xml:space="preserve">  自用水率符合DB11/T 1936的要求。</w:t>
      </w:r>
    </w:p>
    <w:p w14:paraId="3268FE9C">
      <w:pPr>
        <w:rPr>
          <w:rFonts w:ascii="宋体" w:hAnsi="宋体"/>
          <w:kern w:val="0"/>
          <w:highlight w:val="none"/>
        </w:rPr>
      </w:pPr>
      <w:r>
        <w:rPr>
          <w:rFonts w:hint="eastAsia" w:ascii="黑体" w:hAnsi="黑体" w:eastAsia="黑体" w:cs="黑体"/>
          <w:kern w:val="0"/>
          <w:highlight w:val="none"/>
        </w:rPr>
        <w:t>4.1.5</w:t>
      </w:r>
      <w:r>
        <w:rPr>
          <w:rFonts w:hint="eastAsia" w:ascii="宋体" w:hAnsi="宋体"/>
          <w:kern w:val="0"/>
          <w:highlight w:val="none"/>
        </w:rPr>
        <w:t xml:space="preserve">  评价期前3年内未发生安全生产事故和责任性水质事故。</w:t>
      </w:r>
    </w:p>
    <w:bookmarkEnd w:id="61"/>
    <w:bookmarkEnd w:id="62"/>
    <w:p w14:paraId="6CC3A9FA">
      <w:pPr>
        <w:pStyle w:val="109"/>
        <w:numPr>
          <w:ilvl w:val="1"/>
          <w:numId w:val="0"/>
        </w:numPr>
        <w:tabs>
          <w:tab w:val="left" w:pos="7187"/>
        </w:tabs>
        <w:spacing w:before="312" w:after="312"/>
        <w:rPr>
          <w:highlight w:val="none"/>
        </w:rPr>
      </w:pPr>
      <w:bookmarkStart w:id="67" w:name="_Toc1539790764"/>
      <w:bookmarkStart w:id="68" w:name="_Toc1419082582"/>
      <w:r>
        <w:rPr>
          <w:rFonts w:hint="eastAsia"/>
          <w:highlight w:val="none"/>
        </w:rPr>
        <w:t>4.2  规章制度管理</w:t>
      </w:r>
      <w:bookmarkEnd w:id="67"/>
      <w:bookmarkEnd w:id="68"/>
    </w:p>
    <w:p w14:paraId="6671BDFE">
      <w:pPr>
        <w:rPr>
          <w:rFonts w:ascii="宋体" w:hAnsi="宋体"/>
          <w:kern w:val="0"/>
          <w:highlight w:val="none"/>
        </w:rPr>
      </w:pPr>
      <w:r>
        <w:rPr>
          <w:rFonts w:hint="eastAsia" w:ascii="黑体" w:hAnsi="黑体" w:eastAsia="黑体" w:cs="黑体"/>
          <w:kern w:val="0"/>
          <w:highlight w:val="none"/>
        </w:rPr>
        <w:t>4.2.1</w:t>
      </w:r>
      <w:r>
        <w:rPr>
          <w:rFonts w:hint="eastAsia" w:ascii="宋体" w:hAnsi="宋体"/>
          <w:kern w:val="0"/>
          <w:highlight w:val="none"/>
        </w:rPr>
        <w:t xml:space="preserve">  应制定供水水质、制水工艺、运行维护、安全生产、人员管理、节能减排、水厂智慧化等方面的制度。</w:t>
      </w:r>
    </w:p>
    <w:p w14:paraId="35FA741D">
      <w:pPr>
        <w:rPr>
          <w:rFonts w:ascii="宋体" w:hAnsi="宋体"/>
          <w:kern w:val="0"/>
          <w:highlight w:val="none"/>
        </w:rPr>
      </w:pPr>
      <w:r>
        <w:rPr>
          <w:rFonts w:hint="eastAsia" w:ascii="黑体" w:hAnsi="黑体" w:eastAsia="黑体" w:cs="黑体"/>
          <w:kern w:val="0"/>
          <w:highlight w:val="none"/>
        </w:rPr>
        <w:t>4.2.2</w:t>
      </w:r>
      <w:r>
        <w:rPr>
          <w:rFonts w:hint="eastAsia" w:ascii="宋体" w:hAnsi="宋体"/>
          <w:kern w:val="0"/>
          <w:highlight w:val="none"/>
        </w:rPr>
        <w:t xml:space="preserve">  各类规章制度、管理记录等材料档案齐全，归档率100%。</w:t>
      </w:r>
    </w:p>
    <w:p w14:paraId="27E9FA93">
      <w:pPr>
        <w:rPr>
          <w:rFonts w:ascii="宋体" w:hAnsi="宋体"/>
          <w:kern w:val="0"/>
          <w:highlight w:val="none"/>
        </w:rPr>
      </w:pPr>
      <w:r>
        <w:rPr>
          <w:rFonts w:hint="eastAsia" w:ascii="黑体" w:hAnsi="黑体" w:eastAsia="黑体" w:cs="黑体"/>
          <w:kern w:val="0"/>
          <w:highlight w:val="none"/>
        </w:rPr>
        <w:t>4.2.3</w:t>
      </w:r>
      <w:r>
        <w:rPr>
          <w:rFonts w:hint="eastAsia" w:ascii="宋体" w:hAnsi="宋体"/>
          <w:kern w:val="0"/>
          <w:highlight w:val="none"/>
        </w:rPr>
        <w:t xml:space="preserve">  应对检测仪器设备、电气及机械设备、安全设施、特种设备等编制安全操作规程，并按照要求张贴或悬挂至明显位置。</w:t>
      </w:r>
    </w:p>
    <w:p w14:paraId="10F592F4">
      <w:pPr>
        <w:rPr>
          <w:rFonts w:ascii="宋体" w:hAnsi="宋体"/>
          <w:kern w:val="0"/>
          <w:highlight w:val="none"/>
        </w:rPr>
      </w:pPr>
      <w:r>
        <w:rPr>
          <w:rFonts w:hint="eastAsia" w:ascii="黑体" w:hAnsi="黑体" w:eastAsia="黑体" w:cs="黑体"/>
          <w:kern w:val="0"/>
          <w:highlight w:val="none"/>
        </w:rPr>
        <w:t>4.2.4</w:t>
      </w:r>
      <w:r>
        <w:rPr>
          <w:rFonts w:hint="eastAsia" w:ascii="宋体" w:hAnsi="宋体"/>
          <w:kern w:val="0"/>
          <w:highlight w:val="none"/>
        </w:rPr>
        <w:t xml:space="preserve">  应落实全员安全生产责任制，并正式签发，部门（班组）、岗位、人员职责明确。</w:t>
      </w:r>
    </w:p>
    <w:p w14:paraId="1A4098B9">
      <w:pPr>
        <w:pStyle w:val="109"/>
        <w:numPr>
          <w:ilvl w:val="1"/>
          <w:numId w:val="0"/>
        </w:numPr>
        <w:tabs>
          <w:tab w:val="left" w:pos="7187"/>
        </w:tabs>
        <w:spacing w:before="312" w:after="312"/>
        <w:rPr>
          <w:highlight w:val="none"/>
        </w:rPr>
      </w:pPr>
      <w:bookmarkStart w:id="69" w:name="_Toc183072695"/>
      <w:bookmarkStart w:id="70" w:name="_Toc12476"/>
      <w:bookmarkStart w:id="71" w:name="_Toc263246407"/>
      <w:bookmarkStart w:id="72" w:name="_Toc845875718"/>
      <w:r>
        <w:rPr>
          <w:rFonts w:hint="eastAsia"/>
          <w:highlight w:val="none"/>
        </w:rPr>
        <w:t xml:space="preserve">4.3  </w:t>
      </w:r>
      <w:bookmarkEnd w:id="69"/>
      <w:bookmarkEnd w:id="70"/>
      <w:r>
        <w:rPr>
          <w:rFonts w:hint="eastAsia"/>
          <w:highlight w:val="none"/>
        </w:rPr>
        <w:t>供水水质</w:t>
      </w:r>
      <w:bookmarkEnd w:id="71"/>
      <w:bookmarkEnd w:id="72"/>
      <w:r>
        <w:rPr>
          <w:rFonts w:hint="eastAsia"/>
          <w:highlight w:val="none"/>
        </w:rPr>
        <w:tab/>
      </w:r>
    </w:p>
    <w:p w14:paraId="5B1AF414">
      <w:pPr>
        <w:rPr>
          <w:rFonts w:ascii="宋体" w:hAnsi="宋体"/>
          <w:kern w:val="0"/>
          <w:highlight w:val="none"/>
        </w:rPr>
      </w:pPr>
      <w:bookmarkStart w:id="73" w:name="_Toc28737"/>
      <w:r>
        <w:rPr>
          <w:rFonts w:hint="eastAsia" w:ascii="黑体" w:hAnsi="黑体" w:eastAsia="黑体" w:cs="黑体"/>
          <w:kern w:val="0"/>
          <w:highlight w:val="none"/>
        </w:rPr>
        <w:t>4.3.1</w:t>
      </w:r>
      <w:r>
        <w:rPr>
          <w:rFonts w:hint="eastAsia" w:ascii="宋体" w:hAnsi="宋体"/>
          <w:kern w:val="0"/>
          <w:highlight w:val="none"/>
        </w:rPr>
        <w:t xml:space="preserve">  </w:t>
      </w:r>
      <w:bookmarkEnd w:id="73"/>
      <w:r>
        <w:rPr>
          <w:rFonts w:hint="eastAsia" w:ascii="宋体" w:hAnsi="宋体"/>
          <w:kern w:val="0"/>
          <w:highlight w:val="none"/>
        </w:rPr>
        <w:t>供水水质可自测或委托有相应资质的第三方专业机构检测。</w:t>
      </w:r>
    </w:p>
    <w:p w14:paraId="37DD6D98">
      <w:pPr>
        <w:rPr>
          <w:rFonts w:ascii="宋体" w:hAnsi="宋体"/>
          <w:kern w:val="0"/>
          <w:highlight w:val="none"/>
        </w:rPr>
      </w:pPr>
      <w:r>
        <w:rPr>
          <w:rFonts w:hint="eastAsia" w:ascii="黑体" w:hAnsi="黑体" w:eastAsia="黑体" w:cs="黑体"/>
          <w:kern w:val="0"/>
          <w:highlight w:val="none"/>
        </w:rPr>
        <w:t>4.3.2</w:t>
      </w:r>
      <w:r>
        <w:rPr>
          <w:rFonts w:hint="eastAsia" w:ascii="宋体" w:hAnsi="宋体"/>
          <w:kern w:val="0"/>
          <w:highlight w:val="none"/>
        </w:rPr>
        <w:t xml:space="preserve">  进厂原水、出厂水检测频次和项目应按照CJ/T 206执行。水质检验方法应符合GB/T 5750</w:t>
      </w:r>
      <w:r>
        <w:rPr>
          <w:rFonts w:hint="eastAsia" w:ascii="Times New Roman"/>
          <w:highlight w:val="none"/>
        </w:rPr>
        <w:t>（所有部分）</w:t>
      </w:r>
      <w:r>
        <w:rPr>
          <w:rFonts w:hint="eastAsia" w:ascii="宋体" w:hAnsi="宋体"/>
          <w:kern w:val="0"/>
          <w:highlight w:val="none"/>
        </w:rPr>
        <w:t>、GB 3838、GB/T 14848、CJ/T 141的规定。</w:t>
      </w:r>
    </w:p>
    <w:p w14:paraId="2E7A468C">
      <w:pPr>
        <w:rPr>
          <w:rFonts w:ascii="宋体" w:hAnsi="宋体"/>
          <w:kern w:val="0"/>
          <w:highlight w:val="none"/>
        </w:rPr>
      </w:pPr>
      <w:r>
        <w:rPr>
          <w:rFonts w:hint="eastAsia" w:ascii="黑体" w:hAnsi="黑体" w:eastAsia="黑体" w:cs="黑体"/>
          <w:kern w:val="0"/>
          <w:highlight w:val="none"/>
        </w:rPr>
        <w:t xml:space="preserve">4.3.3 </w:t>
      </w:r>
      <w:r>
        <w:rPr>
          <w:rFonts w:hint="eastAsia" w:ascii="宋体" w:hAnsi="宋体"/>
          <w:kern w:val="0"/>
          <w:highlight w:val="none"/>
        </w:rPr>
        <w:t xml:space="preserve"> 出厂水水质样品达标率应不小于98%，出厂水水质样品达标率按照公式（</w:t>
      </w:r>
      <w:r>
        <w:rPr>
          <w:rFonts w:hint="eastAsia" w:ascii="宋体" w:hAnsi="宋体"/>
          <w:kern w:val="0"/>
          <w:highlight w:val="none"/>
          <w:lang w:val="en-US" w:eastAsia="zh-CN"/>
        </w:rPr>
        <w:t>A</w:t>
      </w:r>
      <w:r>
        <w:rPr>
          <w:rFonts w:hint="eastAsia" w:ascii="宋体" w:hAnsi="宋体"/>
          <w:kern w:val="0"/>
          <w:highlight w:val="none"/>
        </w:rPr>
        <w:t>.1）计算。</w:t>
      </w:r>
    </w:p>
    <w:p w14:paraId="69672BC3">
      <w:pPr>
        <w:rPr>
          <w:rFonts w:ascii="宋体" w:hAnsi="宋体"/>
          <w:kern w:val="0"/>
          <w:highlight w:val="none"/>
        </w:rPr>
      </w:pPr>
      <w:r>
        <w:rPr>
          <w:rFonts w:hint="eastAsia" w:ascii="黑体" w:hAnsi="黑体" w:eastAsia="黑体" w:cs="黑体"/>
          <w:kern w:val="0"/>
          <w:highlight w:val="none"/>
        </w:rPr>
        <w:t>4.3.4</w:t>
      </w:r>
      <w:r>
        <w:rPr>
          <w:rFonts w:hint="eastAsia" w:ascii="宋体" w:hAnsi="宋体"/>
          <w:kern w:val="0"/>
          <w:highlight w:val="none"/>
        </w:rPr>
        <w:t xml:space="preserve">  水质在线监测布局、各净化工序监测指标、监测频率应按照CJJ/T 271执行。</w:t>
      </w:r>
    </w:p>
    <w:p w14:paraId="7F81D5DA">
      <w:pPr>
        <w:pStyle w:val="109"/>
        <w:numPr>
          <w:ilvl w:val="1"/>
          <w:numId w:val="0"/>
        </w:numPr>
        <w:spacing w:before="312" w:after="312"/>
        <w:rPr>
          <w:highlight w:val="none"/>
        </w:rPr>
      </w:pPr>
      <w:bookmarkStart w:id="74" w:name="_Toc183072698"/>
      <w:bookmarkStart w:id="75" w:name="_Toc25287"/>
      <w:bookmarkStart w:id="76" w:name="_Toc1846338560"/>
      <w:bookmarkStart w:id="77" w:name="_Toc950654662"/>
      <w:bookmarkStart w:id="78" w:name="_Hlk183965540"/>
      <w:r>
        <w:rPr>
          <w:rFonts w:hint="eastAsia"/>
          <w:highlight w:val="none"/>
        </w:rPr>
        <w:t xml:space="preserve">4.4  </w:t>
      </w:r>
      <w:bookmarkEnd w:id="74"/>
      <w:bookmarkEnd w:id="75"/>
      <w:r>
        <w:rPr>
          <w:rFonts w:hint="eastAsia"/>
          <w:highlight w:val="none"/>
        </w:rPr>
        <w:t>制水工艺</w:t>
      </w:r>
      <w:bookmarkEnd w:id="76"/>
      <w:bookmarkEnd w:id="77"/>
    </w:p>
    <w:p w14:paraId="192E89AE">
      <w:pPr>
        <w:rPr>
          <w:rFonts w:ascii="宋体" w:hAnsi="宋体"/>
          <w:kern w:val="0"/>
          <w:highlight w:val="none"/>
        </w:rPr>
      </w:pPr>
      <w:r>
        <w:rPr>
          <w:rFonts w:hint="eastAsia" w:ascii="黑体" w:hAnsi="黑体" w:eastAsia="黑体" w:cs="黑体"/>
          <w:kern w:val="0"/>
          <w:highlight w:val="none"/>
        </w:rPr>
        <w:t>4.4.1</w:t>
      </w:r>
      <w:r>
        <w:rPr>
          <w:rFonts w:hint="eastAsia" w:ascii="宋体" w:hAnsi="宋体"/>
          <w:kern w:val="0"/>
          <w:highlight w:val="none"/>
        </w:rPr>
        <w:t xml:space="preserve">  应根据水质控制目标和水源水质特点，确定运行工艺。</w:t>
      </w:r>
    </w:p>
    <w:p w14:paraId="0B31D86B">
      <w:pPr>
        <w:rPr>
          <w:rFonts w:ascii="宋体" w:hAnsi="宋体"/>
          <w:kern w:val="0"/>
          <w:highlight w:val="none"/>
        </w:rPr>
      </w:pPr>
      <w:r>
        <w:rPr>
          <w:rFonts w:hint="eastAsia" w:ascii="黑体" w:hAnsi="黑体" w:eastAsia="黑体" w:cs="黑体"/>
          <w:kern w:val="0"/>
          <w:highlight w:val="none"/>
        </w:rPr>
        <w:t>4.4.2</w:t>
      </w:r>
      <w:r>
        <w:rPr>
          <w:rFonts w:hint="eastAsia" w:ascii="宋体" w:hAnsi="宋体"/>
          <w:kern w:val="0"/>
          <w:highlight w:val="none"/>
        </w:rPr>
        <w:t xml:space="preserve">  当遇到自然灾害、突发性事件等可能导致水源水质异常时，应根据具体情况提出工艺优化方案，适时调整水处理工艺。</w:t>
      </w:r>
    </w:p>
    <w:p w14:paraId="137E1F9D">
      <w:pPr>
        <w:rPr>
          <w:rFonts w:ascii="宋体" w:hAnsi="宋体"/>
          <w:kern w:val="0"/>
          <w:highlight w:val="none"/>
        </w:rPr>
      </w:pPr>
      <w:r>
        <w:rPr>
          <w:rFonts w:hint="eastAsia" w:ascii="黑体" w:hAnsi="黑体" w:eastAsia="黑体" w:cs="黑体"/>
          <w:kern w:val="0"/>
          <w:highlight w:val="none"/>
        </w:rPr>
        <w:t>4.4.3</w:t>
      </w:r>
      <w:r>
        <w:rPr>
          <w:rFonts w:hint="eastAsia" w:ascii="宋体" w:hAnsi="宋体"/>
          <w:kern w:val="0"/>
          <w:highlight w:val="none"/>
        </w:rPr>
        <w:t xml:space="preserve">  年度应对原水水质、制水工艺运行效果进行分析评价。</w:t>
      </w:r>
    </w:p>
    <w:p w14:paraId="280981A0">
      <w:pPr>
        <w:rPr>
          <w:rFonts w:ascii="宋体" w:hAnsi="宋体"/>
          <w:kern w:val="0"/>
          <w:highlight w:val="none"/>
        </w:rPr>
      </w:pPr>
      <w:r>
        <w:rPr>
          <w:rFonts w:hint="eastAsia" w:ascii="黑体" w:hAnsi="黑体" w:eastAsia="黑体" w:cs="黑体"/>
          <w:kern w:val="0"/>
          <w:highlight w:val="none"/>
        </w:rPr>
        <w:t>4.4.4</w:t>
      </w:r>
      <w:r>
        <w:rPr>
          <w:rFonts w:hint="eastAsia" w:ascii="宋体" w:hAnsi="宋体"/>
          <w:kern w:val="0"/>
          <w:highlight w:val="none"/>
        </w:rPr>
        <w:t xml:space="preserve">  使用的输配水设备、防护材料、水处理材料、水处理药剂，应具有生产许可证、省级以上卫生许可证、产品合格证及化验报告，并应执行索证及验收制度。</w:t>
      </w:r>
    </w:p>
    <w:p w14:paraId="50083116">
      <w:pPr>
        <w:rPr>
          <w:rFonts w:ascii="宋体" w:hAnsi="宋体"/>
          <w:kern w:val="0"/>
          <w:highlight w:val="none"/>
        </w:rPr>
      </w:pPr>
      <w:r>
        <w:rPr>
          <w:rFonts w:hint="eastAsia" w:ascii="黑体" w:hAnsi="黑体" w:eastAsia="黑体" w:cs="黑体"/>
          <w:kern w:val="0"/>
          <w:highlight w:val="none"/>
        </w:rPr>
        <w:t>4.4.5</w:t>
      </w:r>
      <w:r>
        <w:rPr>
          <w:rFonts w:hint="eastAsia" w:ascii="宋体" w:hAnsi="宋体"/>
          <w:kern w:val="0"/>
          <w:highlight w:val="none"/>
        </w:rPr>
        <w:t xml:space="preserve">  每批净水药剂及材料的采购、储存和使用应符合CJJ 58和说明书的要求，久存后和投入使用前应按照CJJ 58的要求进行抽检；不得使用未经检验或者检验不合格的产品。</w:t>
      </w:r>
    </w:p>
    <w:p w14:paraId="0E44D1F3">
      <w:pPr>
        <w:rPr>
          <w:rFonts w:ascii="宋体" w:hAnsi="宋体"/>
          <w:kern w:val="0"/>
          <w:highlight w:val="none"/>
        </w:rPr>
      </w:pPr>
      <w:r>
        <w:rPr>
          <w:rFonts w:hint="eastAsia" w:ascii="黑体" w:hAnsi="黑体" w:eastAsia="黑体" w:cs="黑体"/>
          <w:kern w:val="0"/>
          <w:highlight w:val="none"/>
        </w:rPr>
        <w:t>4.4.6</w:t>
      </w:r>
      <w:r>
        <w:rPr>
          <w:rFonts w:hint="eastAsia" w:ascii="宋体" w:hAnsi="宋体"/>
          <w:kern w:val="0"/>
          <w:highlight w:val="none"/>
        </w:rPr>
        <w:t xml:space="preserve">  各工艺出水浑浊度控制标准应符合表1要求。</w:t>
      </w:r>
    </w:p>
    <w:p w14:paraId="2F5445DD">
      <w:pPr>
        <w:pStyle w:val="244"/>
        <w:spacing w:before="156" w:afterLines="0"/>
        <w:ind w:left="0" w:firstLine="707" w:firstLineChars="337"/>
        <w:rPr>
          <w:highlight w:val="none"/>
        </w:rPr>
      </w:pPr>
      <w:r>
        <w:rPr>
          <w:rFonts w:hint="eastAsia"/>
          <w:highlight w:val="none"/>
        </w:rPr>
        <w:t>沉淀池和砂滤池浑浊度控制标准</w:t>
      </w:r>
    </w:p>
    <w:tbl>
      <w:tblPr>
        <w:tblStyle w:val="31"/>
        <w:tblpPr w:leftFromText="180" w:rightFromText="180" w:vertAnchor="text" w:horzAnchor="page" w:tblpX="1826" w:tblpY="2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2178"/>
        <w:gridCol w:w="1497"/>
        <w:gridCol w:w="1148"/>
        <w:gridCol w:w="3450"/>
      </w:tblGrid>
      <w:tr w14:paraId="4E72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22767F79">
            <w:pPr>
              <w:pStyle w:val="183"/>
              <w:rPr>
                <w:highlight w:val="none"/>
              </w:rPr>
            </w:pPr>
            <w:r>
              <w:rPr>
                <w:rFonts w:hint="eastAsia"/>
                <w:highlight w:val="none"/>
              </w:rPr>
              <w:t>序号</w:t>
            </w:r>
          </w:p>
        </w:tc>
        <w:tc>
          <w:tcPr>
            <w:tcW w:w="2178" w:type="dxa"/>
            <w:vAlign w:val="center"/>
          </w:tcPr>
          <w:p w14:paraId="4C4A5E37">
            <w:pPr>
              <w:pStyle w:val="183"/>
              <w:rPr>
                <w:highlight w:val="none"/>
              </w:rPr>
            </w:pPr>
            <w:r>
              <w:rPr>
                <w:rFonts w:hint="eastAsia"/>
                <w:highlight w:val="none"/>
              </w:rPr>
              <w:t>工艺车间</w:t>
            </w:r>
          </w:p>
        </w:tc>
        <w:tc>
          <w:tcPr>
            <w:tcW w:w="1497" w:type="dxa"/>
            <w:vAlign w:val="center"/>
          </w:tcPr>
          <w:p w14:paraId="2EB1183F">
            <w:pPr>
              <w:pStyle w:val="183"/>
              <w:rPr>
                <w:highlight w:val="none"/>
              </w:rPr>
            </w:pPr>
            <w:r>
              <w:rPr>
                <w:rFonts w:hint="eastAsia"/>
                <w:highlight w:val="none"/>
              </w:rPr>
              <w:t>检测频次</w:t>
            </w:r>
          </w:p>
        </w:tc>
        <w:tc>
          <w:tcPr>
            <w:tcW w:w="1148" w:type="dxa"/>
            <w:vAlign w:val="center"/>
          </w:tcPr>
          <w:p w14:paraId="2ADBF34E">
            <w:pPr>
              <w:pStyle w:val="183"/>
              <w:rPr>
                <w:highlight w:val="none"/>
              </w:rPr>
            </w:pPr>
            <w:r>
              <w:rPr>
                <w:rFonts w:hint="eastAsia"/>
                <w:highlight w:val="none"/>
              </w:rPr>
              <w:t>浑浊度限值</w:t>
            </w:r>
            <w:r>
              <w:rPr>
                <w:rFonts w:hint="eastAsia"/>
                <w:highlight w:val="none"/>
              </w:rPr>
              <w:br w:type="textWrapping"/>
            </w:r>
            <w:r>
              <w:rPr>
                <w:rFonts w:hint="eastAsia"/>
                <w:highlight w:val="none"/>
              </w:rPr>
              <w:t>（NTU）</w:t>
            </w:r>
          </w:p>
        </w:tc>
        <w:tc>
          <w:tcPr>
            <w:tcW w:w="3450" w:type="dxa"/>
            <w:vAlign w:val="center"/>
          </w:tcPr>
          <w:p w14:paraId="080B3D2C">
            <w:pPr>
              <w:pStyle w:val="183"/>
              <w:rPr>
                <w:highlight w:val="none"/>
              </w:rPr>
            </w:pPr>
            <w:r>
              <w:rPr>
                <w:rFonts w:hint="eastAsia"/>
                <w:highlight w:val="none"/>
              </w:rPr>
              <w:t>受水源与净水技术条件限制时浑浊度限值（NTU）</w:t>
            </w:r>
          </w:p>
        </w:tc>
      </w:tr>
      <w:tr w14:paraId="53E5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6B9FF25A">
            <w:pPr>
              <w:pStyle w:val="183"/>
              <w:rPr>
                <w:highlight w:val="none"/>
              </w:rPr>
            </w:pPr>
            <w:r>
              <w:rPr>
                <w:rFonts w:hint="eastAsia"/>
                <w:highlight w:val="none"/>
              </w:rPr>
              <w:t>1</w:t>
            </w:r>
          </w:p>
        </w:tc>
        <w:tc>
          <w:tcPr>
            <w:tcW w:w="2178" w:type="dxa"/>
            <w:vAlign w:val="center"/>
          </w:tcPr>
          <w:p w14:paraId="6A2744E0">
            <w:pPr>
              <w:pStyle w:val="183"/>
              <w:rPr>
                <w:highlight w:val="none"/>
              </w:rPr>
            </w:pPr>
            <w:r>
              <w:rPr>
                <w:rFonts w:hint="eastAsia"/>
                <w:highlight w:val="none"/>
              </w:rPr>
              <w:t>沉淀池（澄清池、气浮池）</w:t>
            </w:r>
          </w:p>
        </w:tc>
        <w:tc>
          <w:tcPr>
            <w:tcW w:w="1497" w:type="dxa"/>
            <w:vMerge w:val="restart"/>
            <w:vAlign w:val="center"/>
          </w:tcPr>
          <w:p w14:paraId="22F8565A">
            <w:pPr>
              <w:pStyle w:val="183"/>
              <w:rPr>
                <w:highlight w:val="none"/>
              </w:rPr>
            </w:pPr>
            <w:r>
              <w:rPr>
                <w:rFonts w:hint="eastAsia"/>
                <w:highlight w:val="none"/>
              </w:rPr>
              <w:t>在线监测或2小时/次（人工）</w:t>
            </w:r>
          </w:p>
        </w:tc>
        <w:tc>
          <w:tcPr>
            <w:tcW w:w="1148" w:type="dxa"/>
            <w:vAlign w:val="center"/>
          </w:tcPr>
          <w:p w14:paraId="6E124742">
            <w:pPr>
              <w:pStyle w:val="183"/>
              <w:rPr>
                <w:highlight w:val="none"/>
              </w:rPr>
            </w:pPr>
            <w:r>
              <w:rPr>
                <w:rFonts w:hint="eastAsia"/>
                <w:highlight w:val="none"/>
              </w:rPr>
              <w:t>2</w:t>
            </w:r>
          </w:p>
        </w:tc>
        <w:tc>
          <w:tcPr>
            <w:tcW w:w="3450" w:type="dxa"/>
            <w:vAlign w:val="center"/>
          </w:tcPr>
          <w:p w14:paraId="1043C10A">
            <w:pPr>
              <w:pStyle w:val="183"/>
              <w:rPr>
                <w:highlight w:val="none"/>
              </w:rPr>
            </w:pPr>
            <w:r>
              <w:rPr>
                <w:rFonts w:hint="eastAsia"/>
                <w:highlight w:val="none"/>
              </w:rPr>
              <w:t>3</w:t>
            </w:r>
          </w:p>
        </w:tc>
      </w:tr>
      <w:tr w14:paraId="2297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128E4983">
            <w:pPr>
              <w:pStyle w:val="183"/>
              <w:rPr>
                <w:highlight w:val="none"/>
              </w:rPr>
            </w:pPr>
            <w:r>
              <w:rPr>
                <w:rFonts w:hint="eastAsia"/>
                <w:highlight w:val="none"/>
              </w:rPr>
              <w:t>2</w:t>
            </w:r>
          </w:p>
        </w:tc>
        <w:tc>
          <w:tcPr>
            <w:tcW w:w="2178" w:type="dxa"/>
            <w:vAlign w:val="center"/>
          </w:tcPr>
          <w:p w14:paraId="062CAF40">
            <w:pPr>
              <w:pStyle w:val="183"/>
              <w:rPr>
                <w:highlight w:val="none"/>
              </w:rPr>
            </w:pPr>
            <w:r>
              <w:rPr>
                <w:rFonts w:hint="eastAsia"/>
                <w:highlight w:val="none"/>
              </w:rPr>
              <w:t>砂滤池</w:t>
            </w:r>
          </w:p>
        </w:tc>
        <w:tc>
          <w:tcPr>
            <w:tcW w:w="1497" w:type="dxa"/>
            <w:vMerge w:val="continue"/>
            <w:vAlign w:val="center"/>
          </w:tcPr>
          <w:p w14:paraId="1D3B3C9B">
            <w:pPr>
              <w:pStyle w:val="183"/>
              <w:rPr>
                <w:highlight w:val="none"/>
              </w:rPr>
            </w:pPr>
          </w:p>
        </w:tc>
        <w:tc>
          <w:tcPr>
            <w:tcW w:w="1148" w:type="dxa"/>
            <w:vAlign w:val="center"/>
          </w:tcPr>
          <w:p w14:paraId="4C64C220">
            <w:pPr>
              <w:pStyle w:val="183"/>
              <w:rPr>
                <w:highlight w:val="none"/>
              </w:rPr>
            </w:pPr>
            <w:r>
              <w:rPr>
                <w:rFonts w:hint="eastAsia"/>
                <w:highlight w:val="none"/>
              </w:rPr>
              <w:t>0.3</w:t>
            </w:r>
          </w:p>
        </w:tc>
        <w:tc>
          <w:tcPr>
            <w:tcW w:w="3450" w:type="dxa"/>
            <w:vAlign w:val="center"/>
          </w:tcPr>
          <w:p w14:paraId="630818DE">
            <w:pPr>
              <w:pStyle w:val="183"/>
              <w:rPr>
                <w:highlight w:val="none"/>
              </w:rPr>
            </w:pPr>
            <w:r>
              <w:rPr>
                <w:rFonts w:hint="eastAsia"/>
                <w:highlight w:val="none"/>
              </w:rPr>
              <w:t>0.5</w:t>
            </w:r>
          </w:p>
        </w:tc>
      </w:tr>
    </w:tbl>
    <w:p w14:paraId="0788DE82">
      <w:pPr>
        <w:rPr>
          <w:rFonts w:ascii="宋体" w:hAnsi="宋体"/>
          <w:kern w:val="0"/>
          <w:highlight w:val="none"/>
        </w:rPr>
      </w:pPr>
    </w:p>
    <w:p w14:paraId="46AA8FA5">
      <w:pPr>
        <w:rPr>
          <w:rFonts w:ascii="宋体" w:hAnsi="宋体"/>
          <w:kern w:val="0"/>
          <w:highlight w:val="none"/>
        </w:rPr>
      </w:pPr>
      <w:r>
        <w:rPr>
          <w:rFonts w:hint="eastAsia" w:ascii="黑体" w:hAnsi="黑体" w:eastAsia="黑体" w:cs="黑体"/>
          <w:kern w:val="0"/>
          <w:highlight w:val="none"/>
        </w:rPr>
        <w:t>4.4.7</w:t>
      </w:r>
      <w:r>
        <w:rPr>
          <w:rFonts w:hint="eastAsia" w:ascii="宋体" w:hAnsi="宋体"/>
          <w:kern w:val="0"/>
          <w:highlight w:val="none"/>
        </w:rPr>
        <w:t xml:space="preserve">  沉淀池（澄清池、气浮池）出水、滤池出水浑浊度年达标率均应不小于98%；浑浊度年达标率按照公式（</w:t>
      </w:r>
      <w:r>
        <w:rPr>
          <w:rFonts w:hint="eastAsia" w:ascii="宋体" w:hAnsi="宋体"/>
          <w:kern w:val="0"/>
          <w:highlight w:val="none"/>
          <w:lang w:val="en-US" w:eastAsia="zh-CN"/>
        </w:rPr>
        <w:t>A</w:t>
      </w:r>
      <w:r>
        <w:rPr>
          <w:rFonts w:hint="eastAsia" w:ascii="宋体" w:hAnsi="宋体"/>
          <w:kern w:val="0"/>
          <w:highlight w:val="none"/>
        </w:rPr>
        <w:t>.2）计算。</w:t>
      </w:r>
    </w:p>
    <w:p w14:paraId="7D962BA9">
      <w:pPr>
        <w:rPr>
          <w:rFonts w:ascii="宋体" w:hAnsi="宋体"/>
          <w:kern w:val="0"/>
          <w:highlight w:val="none"/>
        </w:rPr>
      </w:pPr>
      <w:r>
        <w:rPr>
          <w:rFonts w:hint="eastAsia" w:ascii="黑体" w:hAnsi="黑体" w:eastAsia="黑体" w:cs="黑体"/>
          <w:kern w:val="0"/>
          <w:highlight w:val="none"/>
        </w:rPr>
        <w:t>4.4.8</w:t>
      </w:r>
      <w:r>
        <w:rPr>
          <w:rFonts w:hint="eastAsia" w:ascii="宋体" w:hAnsi="宋体"/>
          <w:kern w:val="0"/>
          <w:highlight w:val="none"/>
        </w:rPr>
        <w:t xml:space="preserve">  主臭氧、预臭氧接触池出水端均应设置余臭氧监测仪，24小时在线监测。臭氧间有泄漏检测、报警装置，达到泄漏预警值时自动启动通风设备，并报警，经人工确认后停机。</w:t>
      </w:r>
    </w:p>
    <w:p w14:paraId="62000F85">
      <w:pPr>
        <w:rPr>
          <w:rFonts w:ascii="宋体" w:hAnsi="宋体"/>
          <w:kern w:val="0"/>
          <w:highlight w:val="none"/>
        </w:rPr>
      </w:pPr>
      <w:r>
        <w:rPr>
          <w:rFonts w:hint="eastAsia" w:ascii="黑体" w:hAnsi="黑体" w:eastAsia="黑体" w:cs="黑体"/>
          <w:kern w:val="0"/>
          <w:highlight w:val="none"/>
        </w:rPr>
        <w:t>4.4.9</w:t>
      </w:r>
      <w:r>
        <w:rPr>
          <w:rFonts w:hint="eastAsia" w:ascii="宋体" w:hAnsi="宋体"/>
          <w:kern w:val="0"/>
          <w:highlight w:val="none"/>
        </w:rPr>
        <w:t xml:space="preserve">  滤池反冲洗周期应根据水头损失、滤后水浑浊度、运行时间确定，活性炭滤池全年的滤料损失率不应大于10%，并做好相应记录。</w:t>
      </w:r>
    </w:p>
    <w:p w14:paraId="10A3CB75">
      <w:pPr>
        <w:rPr>
          <w:rFonts w:ascii="宋体" w:hAnsi="宋体"/>
          <w:kern w:val="0"/>
          <w:highlight w:val="none"/>
        </w:rPr>
      </w:pPr>
      <w:r>
        <w:rPr>
          <w:rFonts w:hint="eastAsia" w:ascii="黑体" w:hAnsi="黑体" w:eastAsia="黑体" w:cs="黑体"/>
          <w:kern w:val="0"/>
          <w:highlight w:val="none"/>
        </w:rPr>
        <w:t>4.4.10</w:t>
      </w:r>
      <w:r>
        <w:rPr>
          <w:rFonts w:hint="eastAsia" w:ascii="宋体" w:hAnsi="宋体"/>
          <w:kern w:val="0"/>
          <w:highlight w:val="none"/>
        </w:rPr>
        <w:t xml:space="preserve">  设置膜单元的水厂，每年应进行1次膜通量、跨膜压差、出水水质等主要技术参数分析及膜系统运行情况评估。</w:t>
      </w:r>
    </w:p>
    <w:p w14:paraId="622A331C">
      <w:pPr>
        <w:rPr>
          <w:rFonts w:ascii="宋体" w:hAnsi="宋体"/>
          <w:kern w:val="0"/>
          <w:highlight w:val="none"/>
          <w:lang w:val="en"/>
        </w:rPr>
      </w:pPr>
      <w:r>
        <w:rPr>
          <w:rFonts w:hint="eastAsia" w:ascii="黑体" w:hAnsi="黑体" w:eastAsia="黑体" w:cs="黑体"/>
          <w:kern w:val="0"/>
          <w:highlight w:val="none"/>
        </w:rPr>
        <w:t>4.4.11</w:t>
      </w:r>
      <w:r>
        <w:rPr>
          <w:rFonts w:hint="eastAsia" w:ascii="宋体" w:hAnsi="宋体"/>
          <w:kern w:val="0"/>
          <w:highlight w:val="none"/>
        </w:rPr>
        <w:t xml:space="preserve">  膜的完整性检测频次按照CJJ 58的要求执行，并做好记录。</w:t>
      </w:r>
    </w:p>
    <w:p w14:paraId="02BD067E">
      <w:pPr>
        <w:rPr>
          <w:rFonts w:ascii="宋体" w:hAnsi="宋体"/>
          <w:kern w:val="0"/>
          <w:highlight w:val="none"/>
        </w:rPr>
      </w:pPr>
      <w:r>
        <w:rPr>
          <w:rFonts w:hint="eastAsia" w:ascii="黑体" w:hAnsi="黑体" w:eastAsia="黑体" w:cs="黑体"/>
          <w:kern w:val="0"/>
          <w:highlight w:val="none"/>
        </w:rPr>
        <w:t>4.4.12</w:t>
      </w:r>
      <w:r>
        <w:rPr>
          <w:rFonts w:hint="eastAsia" w:ascii="宋体" w:hAnsi="宋体"/>
          <w:kern w:val="0"/>
          <w:highlight w:val="none"/>
        </w:rPr>
        <w:t xml:space="preserve">  预处理、混凝、消毒、pH调节等工艺段的加药系统应采用计量投加方式。计量泵或计量装置应定期校准。</w:t>
      </w:r>
    </w:p>
    <w:p w14:paraId="631E8FB1">
      <w:pPr>
        <w:rPr>
          <w:rFonts w:ascii="宋体" w:hAnsi="宋体"/>
          <w:kern w:val="0"/>
          <w:highlight w:val="none"/>
        </w:rPr>
      </w:pPr>
      <w:r>
        <w:rPr>
          <w:rFonts w:hint="eastAsia" w:ascii="黑体" w:hAnsi="黑体" w:eastAsia="黑体" w:cs="黑体"/>
          <w:kern w:val="0"/>
          <w:highlight w:val="none"/>
        </w:rPr>
        <w:t>4.4.13</w:t>
      </w:r>
      <w:r>
        <w:rPr>
          <w:rFonts w:hint="eastAsia" w:ascii="宋体" w:hAnsi="宋体"/>
          <w:kern w:val="0"/>
          <w:highlight w:val="none"/>
        </w:rPr>
        <w:t xml:space="preserve">  清水池的检测孔、通气孔和人孔应有防水质污染的防护措施。清水池的排空、溢流等管道严禁直接与下水道连通。清水池排空清洗周期应按照CJJ 58的要求执行，做好清洗和检测记录。</w:t>
      </w:r>
    </w:p>
    <w:bookmarkEnd w:id="78"/>
    <w:p w14:paraId="38D34067">
      <w:pPr>
        <w:pStyle w:val="109"/>
        <w:numPr>
          <w:ilvl w:val="1"/>
          <w:numId w:val="0"/>
        </w:numPr>
        <w:spacing w:before="312" w:after="312"/>
        <w:rPr>
          <w:highlight w:val="none"/>
        </w:rPr>
      </w:pPr>
      <w:bookmarkStart w:id="79" w:name="_Toc9834"/>
      <w:bookmarkStart w:id="80" w:name="_Toc183072699"/>
      <w:bookmarkStart w:id="81" w:name="_Toc64860905"/>
      <w:bookmarkStart w:id="82" w:name="_Toc1179950803"/>
      <w:r>
        <w:rPr>
          <w:rFonts w:hint="eastAsia"/>
          <w:highlight w:val="none"/>
        </w:rPr>
        <w:t xml:space="preserve">4.5  </w:t>
      </w:r>
      <w:bookmarkEnd w:id="79"/>
      <w:bookmarkEnd w:id="80"/>
      <w:r>
        <w:rPr>
          <w:rFonts w:hint="eastAsia"/>
          <w:highlight w:val="none"/>
        </w:rPr>
        <w:t>运行维护</w:t>
      </w:r>
      <w:bookmarkEnd w:id="81"/>
      <w:bookmarkEnd w:id="82"/>
    </w:p>
    <w:p w14:paraId="2EAF81F5">
      <w:pPr>
        <w:rPr>
          <w:rFonts w:ascii="宋体" w:hAnsi="宋体"/>
          <w:kern w:val="0"/>
          <w:highlight w:val="none"/>
        </w:rPr>
      </w:pPr>
      <w:r>
        <w:rPr>
          <w:rFonts w:hint="eastAsia" w:ascii="黑体" w:hAnsi="黑体" w:eastAsia="黑体" w:cs="黑体"/>
          <w:kern w:val="0"/>
          <w:highlight w:val="none"/>
        </w:rPr>
        <w:t>4.5.1</w:t>
      </w:r>
      <w:r>
        <w:rPr>
          <w:rFonts w:hint="eastAsia" w:ascii="宋体" w:hAnsi="宋体"/>
          <w:kern w:val="0"/>
          <w:highlight w:val="none"/>
        </w:rPr>
        <w:t xml:space="preserve">  应建立检测仪器设备（化验室）、电气及机械设备（制水工艺设备、电气控制及运行监测设备、视频监控安防系统设备等）及其相关辅助设备、安全设施（生产安全设施、电气与机械设备安全设施、消防安全设施、劳动防护用品等）、特种设备等供水设施设备台账，台账信息完整。</w:t>
      </w:r>
    </w:p>
    <w:p w14:paraId="1F062300">
      <w:pPr>
        <w:rPr>
          <w:rFonts w:ascii="宋体" w:hAnsi="宋体"/>
          <w:kern w:val="0"/>
          <w:highlight w:val="none"/>
        </w:rPr>
      </w:pPr>
      <w:r>
        <w:rPr>
          <w:rFonts w:hint="eastAsia" w:ascii="黑体" w:hAnsi="黑体" w:eastAsia="黑体" w:cs="黑体"/>
          <w:kern w:val="0"/>
          <w:highlight w:val="none"/>
        </w:rPr>
        <w:t>4.5.2</w:t>
      </w:r>
      <w:r>
        <w:rPr>
          <w:rFonts w:hint="eastAsia" w:ascii="宋体" w:hAnsi="宋体"/>
          <w:kern w:val="0"/>
          <w:highlight w:val="none"/>
        </w:rPr>
        <w:t xml:space="preserve">  应制定设施设备的年度维修养护计划，按计划开展维修养护，并规范填写记录。</w:t>
      </w:r>
    </w:p>
    <w:p w14:paraId="094B347C">
      <w:pPr>
        <w:rPr>
          <w:rFonts w:ascii="宋体" w:hAnsi="宋体"/>
          <w:kern w:val="0"/>
          <w:highlight w:val="none"/>
        </w:rPr>
      </w:pPr>
      <w:r>
        <w:rPr>
          <w:rFonts w:hint="eastAsia" w:ascii="黑体" w:hAnsi="黑体" w:eastAsia="黑体" w:cs="黑体"/>
          <w:kern w:val="0"/>
          <w:highlight w:val="none"/>
        </w:rPr>
        <w:t>4.5.3</w:t>
      </w:r>
      <w:r>
        <w:rPr>
          <w:rFonts w:hint="eastAsia" w:ascii="宋体" w:hAnsi="宋体"/>
          <w:kern w:val="0"/>
          <w:highlight w:val="none"/>
        </w:rPr>
        <w:t xml:space="preserve">  应按照CJJ 58的要求对设施设备进行日常运行维护，保障设施设备工作良好，运转正常。</w:t>
      </w:r>
    </w:p>
    <w:p w14:paraId="4FB93766">
      <w:pPr>
        <w:rPr>
          <w:rFonts w:ascii="宋体" w:hAnsi="宋体"/>
          <w:kern w:val="0"/>
          <w:highlight w:val="none"/>
        </w:rPr>
      </w:pPr>
      <w:r>
        <w:rPr>
          <w:rFonts w:hint="eastAsia" w:ascii="黑体" w:hAnsi="黑体" w:eastAsia="黑体" w:cs="黑体"/>
          <w:kern w:val="0"/>
          <w:highlight w:val="none"/>
        </w:rPr>
        <w:t>4.5.4</w:t>
      </w:r>
      <w:r>
        <w:rPr>
          <w:rFonts w:hint="eastAsia" w:ascii="宋体" w:hAnsi="宋体"/>
          <w:kern w:val="0"/>
          <w:highlight w:val="none"/>
        </w:rPr>
        <w:t xml:space="preserve">  检测仪器设备、电气及机械设备、安全设施、特种设备等操作应严格执行其安全操作规程。</w:t>
      </w:r>
    </w:p>
    <w:p w14:paraId="211442A9">
      <w:pPr>
        <w:rPr>
          <w:rFonts w:ascii="宋体" w:hAnsi="宋体"/>
          <w:kern w:val="0"/>
          <w:highlight w:val="none"/>
        </w:rPr>
      </w:pPr>
      <w:r>
        <w:rPr>
          <w:rFonts w:hint="eastAsia" w:ascii="黑体" w:hAnsi="黑体" w:eastAsia="黑体" w:cs="黑体"/>
          <w:kern w:val="0"/>
          <w:highlight w:val="none"/>
        </w:rPr>
        <w:t>4.5.5</w:t>
      </w:r>
      <w:r>
        <w:rPr>
          <w:rFonts w:hint="eastAsia" w:ascii="宋体" w:hAnsi="宋体"/>
          <w:kern w:val="0"/>
          <w:highlight w:val="none"/>
        </w:rPr>
        <w:t xml:space="preserve">  化验室仪器设备应按照CJJ/T 182的规定，对仪器设备定期检定校准。</w:t>
      </w:r>
    </w:p>
    <w:p w14:paraId="5BDB1CB4">
      <w:pPr>
        <w:rPr>
          <w:rFonts w:ascii="宋体" w:hAnsi="宋体"/>
          <w:kern w:val="0"/>
          <w:highlight w:val="none"/>
        </w:rPr>
      </w:pPr>
      <w:r>
        <w:rPr>
          <w:rFonts w:hint="eastAsia" w:ascii="黑体" w:hAnsi="黑体" w:eastAsia="黑体" w:cs="黑体"/>
          <w:kern w:val="0"/>
          <w:highlight w:val="none"/>
        </w:rPr>
        <w:t xml:space="preserve">4.5.6 </w:t>
      </w:r>
      <w:r>
        <w:rPr>
          <w:rFonts w:hint="eastAsia" w:ascii="宋体" w:hAnsi="宋体"/>
          <w:kern w:val="0"/>
          <w:highlight w:val="none"/>
        </w:rPr>
        <w:t xml:space="preserve"> 在线仪表等数据校验应符合CJJ/T 271的规定。</w:t>
      </w:r>
    </w:p>
    <w:p w14:paraId="3E87D763">
      <w:pPr>
        <w:pStyle w:val="109"/>
        <w:numPr>
          <w:ilvl w:val="1"/>
          <w:numId w:val="0"/>
        </w:numPr>
        <w:spacing w:before="312" w:after="312"/>
        <w:rPr>
          <w:highlight w:val="none"/>
        </w:rPr>
      </w:pPr>
      <w:bookmarkStart w:id="83" w:name="_Toc4603"/>
      <w:bookmarkStart w:id="84" w:name="_Toc183072700"/>
      <w:bookmarkStart w:id="85" w:name="_Toc1627561177"/>
      <w:bookmarkStart w:id="86" w:name="_Toc1371270852"/>
      <w:r>
        <w:rPr>
          <w:rFonts w:hint="eastAsia"/>
          <w:highlight w:val="none"/>
        </w:rPr>
        <w:t xml:space="preserve">4.6  </w:t>
      </w:r>
      <w:bookmarkEnd w:id="83"/>
      <w:bookmarkEnd w:id="84"/>
      <w:r>
        <w:rPr>
          <w:rFonts w:hint="eastAsia"/>
          <w:highlight w:val="none"/>
        </w:rPr>
        <w:t>安全生产</w:t>
      </w:r>
      <w:bookmarkEnd w:id="85"/>
      <w:bookmarkEnd w:id="86"/>
    </w:p>
    <w:p w14:paraId="6065DB8E">
      <w:pPr>
        <w:rPr>
          <w:rFonts w:ascii="宋体" w:hAnsi="宋体"/>
          <w:kern w:val="0"/>
          <w:highlight w:val="none"/>
        </w:rPr>
      </w:pPr>
      <w:r>
        <w:rPr>
          <w:rFonts w:hint="eastAsia" w:ascii="黑体" w:hAnsi="黑体" w:eastAsia="黑体" w:cs="黑体"/>
          <w:kern w:val="0"/>
          <w:highlight w:val="none"/>
        </w:rPr>
        <w:t>4.6.1</w:t>
      </w:r>
      <w:r>
        <w:rPr>
          <w:rFonts w:hint="eastAsia" w:ascii="宋体" w:hAnsi="宋体"/>
          <w:kern w:val="0"/>
          <w:highlight w:val="none"/>
        </w:rPr>
        <w:t xml:space="preserve">  应配备必要的安全设施，并定期进行维护、保养、检定、更换，确保其有效且能正常使用。</w:t>
      </w:r>
    </w:p>
    <w:p w14:paraId="71276EC7">
      <w:pPr>
        <w:rPr>
          <w:rFonts w:ascii="宋体" w:hAnsi="宋体"/>
          <w:kern w:val="0"/>
          <w:highlight w:val="none"/>
        </w:rPr>
      </w:pPr>
      <w:r>
        <w:rPr>
          <w:rFonts w:hint="eastAsia" w:ascii="黑体" w:hAnsi="黑体" w:eastAsia="黑体" w:cs="黑体"/>
          <w:kern w:val="0"/>
          <w:highlight w:val="none"/>
        </w:rPr>
        <w:t>4.6.2</w:t>
      </w:r>
      <w:r>
        <w:rPr>
          <w:rFonts w:hint="eastAsia" w:ascii="宋体" w:hAnsi="宋体"/>
          <w:kern w:val="0"/>
          <w:highlight w:val="none"/>
        </w:rPr>
        <w:t xml:space="preserve">  生产安全事故应急预案应按照GB/T 29639制定，并及时进行修订；预案的评审应按照DB11/T 1481执行。</w:t>
      </w:r>
    </w:p>
    <w:p w14:paraId="3663FCAB">
      <w:pPr>
        <w:rPr>
          <w:rFonts w:ascii="宋体" w:hAnsi="宋体"/>
          <w:kern w:val="0"/>
          <w:highlight w:val="none"/>
        </w:rPr>
      </w:pPr>
      <w:r>
        <w:rPr>
          <w:rFonts w:hint="eastAsia" w:ascii="黑体" w:hAnsi="黑体" w:eastAsia="黑体" w:cs="黑体"/>
          <w:kern w:val="0"/>
          <w:highlight w:val="none"/>
        </w:rPr>
        <w:t>4.6.3</w:t>
      </w:r>
      <w:r>
        <w:rPr>
          <w:rFonts w:hint="eastAsia" w:ascii="宋体" w:hAnsi="宋体"/>
          <w:kern w:val="0"/>
          <w:highlight w:val="none"/>
        </w:rPr>
        <w:t xml:space="preserve">  应开展生产安全事故应急演练，应急演练的实施应按照DB11/T 1583执行，每年不少于1次。</w:t>
      </w:r>
    </w:p>
    <w:p w14:paraId="513764B4">
      <w:pPr>
        <w:rPr>
          <w:rFonts w:ascii="宋体" w:hAnsi="宋体"/>
          <w:kern w:val="0"/>
          <w:highlight w:val="none"/>
        </w:rPr>
      </w:pPr>
      <w:r>
        <w:rPr>
          <w:rFonts w:hint="eastAsia" w:ascii="黑体" w:hAnsi="黑体" w:eastAsia="黑体" w:cs="黑体"/>
          <w:kern w:val="0"/>
          <w:highlight w:val="none"/>
        </w:rPr>
        <w:t>4.6.4</w:t>
      </w:r>
      <w:r>
        <w:rPr>
          <w:rFonts w:hint="eastAsia" w:ascii="宋体" w:hAnsi="宋体"/>
          <w:kern w:val="0"/>
          <w:highlight w:val="none"/>
        </w:rPr>
        <w:t xml:space="preserve">  危险化学品的安全管理应符合GB 17915、DB11/T 833、DB11/T 1191.1的要求。</w:t>
      </w:r>
    </w:p>
    <w:p w14:paraId="6C5F94B5">
      <w:pPr>
        <w:rPr>
          <w:rFonts w:ascii="宋体" w:hAnsi="宋体"/>
          <w:kern w:val="0"/>
          <w:highlight w:val="none"/>
        </w:rPr>
      </w:pPr>
      <w:r>
        <w:rPr>
          <w:rFonts w:hint="eastAsia" w:ascii="黑体" w:hAnsi="黑体" w:eastAsia="黑体" w:cs="黑体"/>
          <w:kern w:val="0"/>
          <w:highlight w:val="none"/>
        </w:rPr>
        <w:t>4.6.5</w:t>
      </w:r>
      <w:r>
        <w:rPr>
          <w:rFonts w:hint="eastAsia" w:ascii="宋体" w:hAnsi="宋体"/>
          <w:kern w:val="0"/>
          <w:highlight w:val="none"/>
        </w:rPr>
        <w:t xml:space="preserve">  应按GA 1809的要求配备入侵和紧急报警系统、视频监控系统、出入口控制系统以及电子巡查系统等安全防范系统。</w:t>
      </w:r>
    </w:p>
    <w:p w14:paraId="57F3E618">
      <w:pPr>
        <w:rPr>
          <w:rFonts w:ascii="宋体" w:hAnsi="宋体"/>
          <w:kern w:val="0"/>
          <w:highlight w:val="none"/>
        </w:rPr>
      </w:pPr>
      <w:r>
        <w:rPr>
          <w:rFonts w:hint="eastAsia" w:ascii="黑体" w:hAnsi="黑体" w:eastAsia="黑体" w:cs="黑体"/>
          <w:kern w:val="0"/>
          <w:highlight w:val="none"/>
        </w:rPr>
        <w:t>4.6.6</w:t>
      </w:r>
      <w:r>
        <w:rPr>
          <w:rFonts w:hint="eastAsia" w:ascii="宋体" w:hAnsi="宋体"/>
          <w:kern w:val="0"/>
          <w:highlight w:val="none"/>
        </w:rPr>
        <w:t xml:space="preserve">  消毒间、化验室等应在合理位置设置排风装置和气体浓度报警装置。</w:t>
      </w:r>
    </w:p>
    <w:p w14:paraId="7F9F052E">
      <w:pPr>
        <w:rPr>
          <w:rFonts w:ascii="宋体" w:hAnsi="宋体"/>
          <w:kern w:val="0"/>
          <w:highlight w:val="none"/>
        </w:rPr>
      </w:pPr>
      <w:r>
        <w:rPr>
          <w:rFonts w:hint="eastAsia" w:ascii="黑体" w:hAnsi="黑体" w:eastAsia="黑体" w:cs="黑体"/>
          <w:kern w:val="0"/>
          <w:highlight w:val="none"/>
        </w:rPr>
        <w:t>4.6.7</w:t>
      </w:r>
      <w:r>
        <w:rPr>
          <w:rFonts w:hint="eastAsia" w:ascii="宋体" w:hAnsi="宋体"/>
          <w:kern w:val="0"/>
          <w:highlight w:val="none"/>
        </w:rPr>
        <w:t xml:space="preserve">  有限空间作业管理应符合DB11/T 852的要求。</w:t>
      </w:r>
    </w:p>
    <w:p w14:paraId="68C44BE3">
      <w:pPr>
        <w:rPr>
          <w:rFonts w:ascii="宋体" w:hAnsi="宋体"/>
          <w:kern w:val="0"/>
          <w:highlight w:val="none"/>
        </w:rPr>
      </w:pPr>
      <w:r>
        <w:rPr>
          <w:rFonts w:hint="eastAsia" w:ascii="黑体" w:hAnsi="黑体" w:eastAsia="黑体" w:cs="黑体"/>
          <w:kern w:val="0"/>
          <w:highlight w:val="none"/>
        </w:rPr>
        <w:t>4.6.8</w:t>
      </w:r>
      <w:r>
        <w:rPr>
          <w:rFonts w:hint="eastAsia" w:ascii="宋体" w:hAnsi="宋体"/>
          <w:kern w:val="0"/>
          <w:highlight w:val="none"/>
        </w:rPr>
        <w:t xml:space="preserve">  工作票、操作票等配电室安全管理应符合DB11/T 527的要求。</w:t>
      </w:r>
    </w:p>
    <w:p w14:paraId="4113A238">
      <w:pPr>
        <w:rPr>
          <w:rFonts w:ascii="宋体" w:hAnsi="宋体"/>
          <w:kern w:val="0"/>
          <w:highlight w:val="none"/>
        </w:rPr>
      </w:pPr>
      <w:r>
        <w:rPr>
          <w:rFonts w:hint="eastAsia" w:ascii="黑体" w:hAnsi="黑体" w:eastAsia="黑体" w:cs="黑体"/>
          <w:kern w:val="0"/>
          <w:highlight w:val="none"/>
        </w:rPr>
        <w:t>4.6.9</w:t>
      </w:r>
      <w:r>
        <w:rPr>
          <w:rFonts w:hint="eastAsia" w:ascii="宋体" w:hAnsi="宋体"/>
          <w:kern w:val="0"/>
          <w:highlight w:val="none"/>
        </w:rPr>
        <w:t xml:space="preserve">  有限空间等作业危险区域及加药间、配电室、泵房等空间设施设备的危险部位应设置安全警示标志，并符合GB 2894的要求。</w:t>
      </w:r>
    </w:p>
    <w:p w14:paraId="586FED74">
      <w:pPr>
        <w:rPr>
          <w:rFonts w:ascii="宋体" w:hAnsi="宋体"/>
          <w:kern w:val="0"/>
          <w:highlight w:val="none"/>
        </w:rPr>
      </w:pPr>
      <w:r>
        <w:rPr>
          <w:rFonts w:hint="eastAsia" w:ascii="黑体" w:hAnsi="黑体" w:eastAsia="黑体" w:cs="黑体"/>
          <w:kern w:val="0"/>
          <w:highlight w:val="none"/>
        </w:rPr>
        <w:t>4.6.10</w:t>
      </w:r>
      <w:r>
        <w:rPr>
          <w:rFonts w:hint="eastAsia" w:ascii="宋体" w:hAnsi="宋体"/>
          <w:kern w:val="0"/>
          <w:highlight w:val="none"/>
        </w:rPr>
        <w:t xml:space="preserve">  应配备沙袋、应急供电、应急通讯等防汛设施和物资，宜建立应急专业救援抢险队伍。</w:t>
      </w:r>
    </w:p>
    <w:p w14:paraId="0C9215B7">
      <w:pPr>
        <w:rPr>
          <w:rFonts w:ascii="宋体" w:hAnsi="宋体"/>
          <w:kern w:val="0"/>
          <w:highlight w:val="none"/>
        </w:rPr>
      </w:pPr>
      <w:r>
        <w:rPr>
          <w:rFonts w:hint="eastAsia" w:ascii="黑体" w:hAnsi="黑体" w:eastAsia="黑体" w:cs="黑体"/>
          <w:kern w:val="0"/>
          <w:highlight w:val="none"/>
        </w:rPr>
        <w:t>4.6.11</w:t>
      </w:r>
      <w:r>
        <w:rPr>
          <w:rFonts w:hint="eastAsia" w:ascii="宋体" w:hAnsi="宋体"/>
          <w:kern w:val="0"/>
          <w:highlight w:val="none"/>
        </w:rPr>
        <w:t xml:space="preserve">  应明确委托实施安全生产专业技术服务的第三方在安全生产中的责任，并落实监督管理责任。</w:t>
      </w:r>
    </w:p>
    <w:p w14:paraId="4445878C">
      <w:pPr>
        <w:pStyle w:val="109"/>
        <w:numPr>
          <w:ilvl w:val="1"/>
          <w:numId w:val="0"/>
        </w:numPr>
        <w:spacing w:before="312" w:after="312"/>
        <w:rPr>
          <w:highlight w:val="none"/>
        </w:rPr>
      </w:pPr>
      <w:bookmarkStart w:id="87" w:name="_Toc1744986226"/>
      <w:bookmarkStart w:id="88" w:name="_Toc1200374853"/>
      <w:r>
        <w:rPr>
          <w:rFonts w:hint="eastAsia"/>
          <w:highlight w:val="none"/>
        </w:rPr>
        <w:t>4.7  人员管理</w:t>
      </w:r>
      <w:bookmarkEnd w:id="87"/>
      <w:bookmarkEnd w:id="88"/>
    </w:p>
    <w:p w14:paraId="140DB5C4">
      <w:pPr>
        <w:rPr>
          <w:rFonts w:ascii="宋体" w:hAnsi="宋体"/>
          <w:kern w:val="0"/>
          <w:highlight w:val="none"/>
        </w:rPr>
      </w:pPr>
      <w:r>
        <w:rPr>
          <w:rFonts w:hint="eastAsia" w:ascii="黑体" w:hAnsi="黑体" w:eastAsia="黑体" w:cs="黑体"/>
          <w:kern w:val="0"/>
          <w:highlight w:val="none"/>
        </w:rPr>
        <w:t>4.7.1</w:t>
      </w:r>
      <w:r>
        <w:rPr>
          <w:rFonts w:hint="eastAsia" w:ascii="宋体" w:hAnsi="宋体"/>
          <w:kern w:val="0"/>
          <w:highlight w:val="none"/>
        </w:rPr>
        <w:t xml:space="preserve">  人员总数量应根据供水规模进行合理配置，宜按表2执行；生产运行与技术管理人员数量应不低于总人数的50%。</w:t>
      </w:r>
    </w:p>
    <w:p w14:paraId="53B9E3EF">
      <w:pPr>
        <w:pStyle w:val="244"/>
        <w:spacing w:before="156" w:after="156"/>
        <w:ind w:firstLine="707" w:firstLineChars="337"/>
        <w:jc w:val="left"/>
        <w:rPr>
          <w:highlight w:val="none"/>
        </w:rPr>
      </w:pPr>
      <w:r>
        <w:rPr>
          <w:rFonts w:hint="eastAsia"/>
          <w:highlight w:val="none"/>
        </w:rPr>
        <w:t>供水厂人员配置标准</w:t>
      </w:r>
    </w:p>
    <w:tbl>
      <w:tblPr>
        <w:tblStyle w:val="30"/>
        <w:tblW w:w="29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2"/>
        <w:gridCol w:w="2455"/>
      </w:tblGrid>
      <w:tr w14:paraId="06BF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183" w:type="dxa"/>
            <w:shd w:val="clear" w:color="auto" w:fill="auto"/>
            <w:vAlign w:val="center"/>
          </w:tcPr>
          <w:p w14:paraId="783743D1">
            <w:pPr>
              <w:pStyle w:val="183"/>
              <w:spacing w:line="200" w:lineRule="exact"/>
              <w:rPr>
                <w:highlight w:val="none"/>
              </w:rPr>
            </w:pPr>
            <w:r>
              <w:rPr>
                <w:rFonts w:hint="eastAsia"/>
                <w:highlight w:val="none"/>
              </w:rPr>
              <w:t>供水厂供水规模</w:t>
            </w:r>
          </w:p>
        </w:tc>
        <w:tc>
          <w:tcPr>
            <w:tcW w:w="2454" w:type="dxa"/>
            <w:shd w:val="clear" w:color="auto" w:fill="auto"/>
            <w:noWrap/>
            <w:vAlign w:val="center"/>
          </w:tcPr>
          <w:p w14:paraId="033AD9DB">
            <w:pPr>
              <w:pStyle w:val="183"/>
              <w:spacing w:line="200" w:lineRule="exact"/>
              <w:rPr>
                <w:highlight w:val="none"/>
              </w:rPr>
            </w:pPr>
            <w:r>
              <w:rPr>
                <w:rFonts w:hint="eastAsia"/>
                <w:highlight w:val="none"/>
              </w:rPr>
              <w:t>供水厂人员配置数量</w:t>
            </w:r>
            <w:r>
              <w:rPr>
                <w:rFonts w:hint="eastAsia"/>
                <w:highlight w:val="none"/>
              </w:rPr>
              <w:br w:type="textWrapping"/>
            </w:r>
            <w:r>
              <w:rPr>
                <w:rFonts w:hint="eastAsia"/>
                <w:highlight w:val="none"/>
              </w:rPr>
              <w:t>（人）</w:t>
            </w:r>
          </w:p>
        </w:tc>
      </w:tr>
      <w:tr w14:paraId="6689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183" w:type="dxa"/>
            <w:shd w:val="clear" w:color="auto" w:fill="auto"/>
            <w:vAlign w:val="center"/>
          </w:tcPr>
          <w:p w14:paraId="5F972DBC">
            <w:pPr>
              <w:pStyle w:val="183"/>
              <w:spacing w:line="200" w:lineRule="exact"/>
              <w:rPr>
                <w:highlight w:val="none"/>
              </w:rPr>
            </w:pPr>
            <w:r>
              <w:rPr>
                <w:rFonts w:hint="eastAsia"/>
                <w:highlight w:val="none"/>
              </w:rPr>
              <w:t>50万m</w:t>
            </w:r>
            <w:r>
              <w:rPr>
                <w:rFonts w:hint="eastAsia"/>
                <w:highlight w:val="none"/>
                <w:vertAlign w:val="superscript"/>
              </w:rPr>
              <w:t>3</w:t>
            </w:r>
            <w:r>
              <w:rPr>
                <w:rFonts w:hint="eastAsia"/>
                <w:highlight w:val="none"/>
              </w:rPr>
              <w:t>/d</w:t>
            </w:r>
            <w:bookmarkStart w:id="89" w:name="OLE_LINK13"/>
            <w:bookmarkStart w:id="90" w:name="OLE_LINK14"/>
            <w:r>
              <w:rPr>
                <w:rFonts w:hint="eastAsia" w:hAnsi="宋体"/>
                <w:highlight w:val="none"/>
              </w:rPr>
              <w:t>～</w:t>
            </w:r>
            <w:bookmarkEnd w:id="89"/>
            <w:bookmarkEnd w:id="90"/>
            <w:r>
              <w:rPr>
                <w:rFonts w:hint="eastAsia"/>
                <w:highlight w:val="none"/>
              </w:rPr>
              <w:t>200万m</w:t>
            </w:r>
            <w:r>
              <w:rPr>
                <w:rFonts w:hint="eastAsia"/>
                <w:highlight w:val="none"/>
                <w:vertAlign w:val="superscript"/>
              </w:rPr>
              <w:t>3</w:t>
            </w:r>
            <w:r>
              <w:rPr>
                <w:rFonts w:hint="eastAsia"/>
                <w:highlight w:val="none"/>
              </w:rPr>
              <w:t>/d</w:t>
            </w:r>
          </w:p>
        </w:tc>
        <w:tc>
          <w:tcPr>
            <w:tcW w:w="2454" w:type="dxa"/>
            <w:shd w:val="clear" w:color="auto" w:fill="auto"/>
            <w:noWrap/>
            <w:vAlign w:val="center"/>
          </w:tcPr>
          <w:p w14:paraId="08FDEA2F">
            <w:pPr>
              <w:pStyle w:val="183"/>
              <w:spacing w:line="200" w:lineRule="exact"/>
              <w:rPr>
                <w:highlight w:val="none"/>
              </w:rPr>
            </w:pPr>
            <w:r>
              <w:rPr>
                <w:rFonts w:hint="eastAsia"/>
                <w:highlight w:val="none"/>
              </w:rPr>
              <w:t>100～400</w:t>
            </w:r>
          </w:p>
        </w:tc>
      </w:tr>
      <w:tr w14:paraId="5303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183" w:type="dxa"/>
            <w:shd w:val="clear" w:color="auto" w:fill="auto"/>
            <w:vAlign w:val="center"/>
          </w:tcPr>
          <w:p w14:paraId="582B2CB4">
            <w:pPr>
              <w:pStyle w:val="183"/>
              <w:spacing w:line="200" w:lineRule="exact"/>
              <w:rPr>
                <w:highlight w:val="none"/>
              </w:rPr>
            </w:pPr>
            <w:r>
              <w:rPr>
                <w:rFonts w:hint="eastAsia"/>
                <w:highlight w:val="none"/>
              </w:rPr>
              <w:t>25万m</w:t>
            </w:r>
            <w:r>
              <w:rPr>
                <w:rFonts w:hint="eastAsia"/>
                <w:highlight w:val="none"/>
                <w:vertAlign w:val="superscript"/>
              </w:rPr>
              <w:t>3</w:t>
            </w:r>
            <w:r>
              <w:rPr>
                <w:rFonts w:hint="eastAsia"/>
                <w:highlight w:val="none"/>
              </w:rPr>
              <w:t>/d～50（含）万m</w:t>
            </w:r>
            <w:r>
              <w:rPr>
                <w:rFonts w:hint="eastAsia"/>
                <w:highlight w:val="none"/>
                <w:vertAlign w:val="superscript"/>
              </w:rPr>
              <w:t>3</w:t>
            </w:r>
            <w:r>
              <w:rPr>
                <w:rFonts w:hint="eastAsia"/>
                <w:highlight w:val="none"/>
              </w:rPr>
              <w:t>/d</w:t>
            </w:r>
          </w:p>
        </w:tc>
        <w:tc>
          <w:tcPr>
            <w:tcW w:w="2454" w:type="dxa"/>
            <w:shd w:val="clear" w:color="auto" w:fill="auto"/>
            <w:vAlign w:val="center"/>
          </w:tcPr>
          <w:p w14:paraId="4CD4B445">
            <w:pPr>
              <w:pStyle w:val="183"/>
              <w:spacing w:line="200" w:lineRule="exact"/>
              <w:rPr>
                <w:highlight w:val="none"/>
              </w:rPr>
            </w:pPr>
            <w:r>
              <w:rPr>
                <w:rFonts w:hint="eastAsia"/>
                <w:highlight w:val="none"/>
              </w:rPr>
              <w:t>50～100（含）</w:t>
            </w:r>
          </w:p>
        </w:tc>
      </w:tr>
      <w:tr w14:paraId="5969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183" w:type="dxa"/>
            <w:shd w:val="clear" w:color="auto" w:fill="auto"/>
            <w:vAlign w:val="center"/>
          </w:tcPr>
          <w:p w14:paraId="1FF0EBD9">
            <w:pPr>
              <w:pStyle w:val="183"/>
              <w:spacing w:line="200" w:lineRule="exact"/>
              <w:rPr>
                <w:highlight w:val="none"/>
              </w:rPr>
            </w:pPr>
            <w:r>
              <w:rPr>
                <w:rFonts w:hint="eastAsia"/>
                <w:highlight w:val="none"/>
              </w:rPr>
              <w:t>10万m</w:t>
            </w:r>
            <w:r>
              <w:rPr>
                <w:rFonts w:hint="eastAsia"/>
                <w:highlight w:val="none"/>
                <w:vertAlign w:val="superscript"/>
              </w:rPr>
              <w:t>3</w:t>
            </w:r>
            <w:r>
              <w:rPr>
                <w:rFonts w:hint="eastAsia"/>
                <w:highlight w:val="none"/>
              </w:rPr>
              <w:t>/d～25（含）万m</w:t>
            </w:r>
            <w:r>
              <w:rPr>
                <w:rFonts w:hint="eastAsia"/>
                <w:highlight w:val="none"/>
                <w:vertAlign w:val="superscript"/>
              </w:rPr>
              <w:t>3</w:t>
            </w:r>
            <w:r>
              <w:rPr>
                <w:rFonts w:hint="eastAsia"/>
                <w:highlight w:val="none"/>
              </w:rPr>
              <w:t>/d</w:t>
            </w:r>
          </w:p>
        </w:tc>
        <w:tc>
          <w:tcPr>
            <w:tcW w:w="2454" w:type="dxa"/>
            <w:shd w:val="clear" w:color="auto" w:fill="auto"/>
            <w:vAlign w:val="center"/>
          </w:tcPr>
          <w:p w14:paraId="2EB52A95">
            <w:pPr>
              <w:pStyle w:val="183"/>
              <w:spacing w:line="200" w:lineRule="exact"/>
              <w:rPr>
                <w:highlight w:val="none"/>
              </w:rPr>
            </w:pPr>
            <w:r>
              <w:rPr>
                <w:rFonts w:hint="eastAsia"/>
                <w:highlight w:val="none"/>
              </w:rPr>
              <w:t>25～50（含）</w:t>
            </w:r>
          </w:p>
        </w:tc>
      </w:tr>
      <w:tr w14:paraId="18DF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183" w:type="dxa"/>
            <w:shd w:val="clear" w:color="auto" w:fill="auto"/>
            <w:vAlign w:val="center"/>
          </w:tcPr>
          <w:p w14:paraId="5C43C72D">
            <w:pPr>
              <w:pStyle w:val="183"/>
              <w:spacing w:line="200" w:lineRule="exact"/>
              <w:rPr>
                <w:highlight w:val="none"/>
              </w:rPr>
            </w:pPr>
            <w:r>
              <w:rPr>
                <w:rFonts w:hint="eastAsia"/>
                <w:highlight w:val="none"/>
              </w:rPr>
              <w:t>10（含）万m</w:t>
            </w:r>
            <w:r>
              <w:rPr>
                <w:rFonts w:hint="eastAsia"/>
                <w:highlight w:val="none"/>
                <w:vertAlign w:val="superscript"/>
              </w:rPr>
              <w:t>3</w:t>
            </w:r>
            <w:r>
              <w:rPr>
                <w:rFonts w:hint="eastAsia"/>
                <w:highlight w:val="none"/>
              </w:rPr>
              <w:t>/d以下</w:t>
            </w:r>
          </w:p>
        </w:tc>
        <w:tc>
          <w:tcPr>
            <w:tcW w:w="2454" w:type="dxa"/>
            <w:shd w:val="clear" w:color="auto" w:fill="auto"/>
            <w:vAlign w:val="center"/>
          </w:tcPr>
          <w:p w14:paraId="6A5F02FD">
            <w:pPr>
              <w:pStyle w:val="183"/>
              <w:spacing w:line="200" w:lineRule="exact"/>
              <w:rPr>
                <w:highlight w:val="none"/>
              </w:rPr>
            </w:pPr>
            <w:r>
              <w:rPr>
                <w:rFonts w:hint="eastAsia"/>
                <w:highlight w:val="none"/>
              </w:rPr>
              <w:t>25及以下</w:t>
            </w:r>
          </w:p>
        </w:tc>
      </w:tr>
    </w:tbl>
    <w:p w14:paraId="48A4A41C">
      <w:pPr>
        <w:rPr>
          <w:rFonts w:ascii="宋体" w:hAnsi="宋体"/>
          <w:kern w:val="0"/>
          <w:highlight w:val="none"/>
        </w:rPr>
      </w:pPr>
    </w:p>
    <w:p w14:paraId="21F203B5">
      <w:pPr>
        <w:rPr>
          <w:rFonts w:ascii="宋体" w:hAnsi="宋体"/>
          <w:kern w:val="0"/>
          <w:highlight w:val="none"/>
        </w:rPr>
      </w:pPr>
      <w:r>
        <w:rPr>
          <w:rFonts w:hint="eastAsia" w:ascii="黑体" w:hAnsi="黑体" w:eastAsia="黑体" w:cs="黑体"/>
          <w:kern w:val="0"/>
          <w:highlight w:val="none"/>
        </w:rPr>
        <w:t>4.7.2</w:t>
      </w:r>
      <w:r>
        <w:rPr>
          <w:rFonts w:hint="eastAsia" w:ascii="宋体" w:hAnsi="宋体"/>
          <w:kern w:val="0"/>
          <w:highlight w:val="none"/>
        </w:rPr>
        <w:t xml:space="preserve">  应根据年度生产目标、安全管理要求等制定年度培训计划，并组织实施。</w:t>
      </w:r>
    </w:p>
    <w:p w14:paraId="5E855EE8">
      <w:pPr>
        <w:rPr>
          <w:rFonts w:ascii="宋体" w:hAnsi="宋体"/>
          <w:kern w:val="0"/>
          <w:highlight w:val="none"/>
        </w:rPr>
      </w:pPr>
      <w:r>
        <w:rPr>
          <w:rFonts w:hint="eastAsia" w:ascii="黑体" w:hAnsi="黑体" w:eastAsia="黑体" w:cs="黑体"/>
          <w:kern w:val="0"/>
          <w:highlight w:val="none"/>
        </w:rPr>
        <w:t>4.7.3</w:t>
      </w:r>
      <w:r>
        <w:rPr>
          <w:rFonts w:hint="eastAsia" w:ascii="宋体" w:hAnsi="宋体"/>
          <w:kern w:val="0"/>
          <w:highlight w:val="none"/>
        </w:rPr>
        <w:t xml:space="preserve">  应根据人员岗位、专业技术等开展人员年度绩效考核。</w:t>
      </w:r>
    </w:p>
    <w:p w14:paraId="26F357CE">
      <w:pPr>
        <w:rPr>
          <w:rFonts w:ascii="宋体" w:hAnsi="宋体"/>
          <w:kern w:val="0"/>
          <w:highlight w:val="none"/>
        </w:rPr>
      </w:pPr>
      <w:r>
        <w:rPr>
          <w:rFonts w:hint="eastAsia" w:ascii="黑体" w:hAnsi="黑体" w:eastAsia="黑体" w:cs="黑体"/>
          <w:kern w:val="0"/>
          <w:highlight w:val="none"/>
        </w:rPr>
        <w:t>4.7.4</w:t>
      </w:r>
      <w:r>
        <w:rPr>
          <w:rFonts w:hint="eastAsia" w:ascii="宋体" w:hAnsi="宋体"/>
          <w:kern w:val="0"/>
          <w:highlight w:val="none"/>
        </w:rPr>
        <w:t xml:space="preserve">  专业技术人员应具有与岗位工作相适应的专业知识和业务技能，从事特种作业、特种设备作业等关键岗位的人员应取得相应资格证书，持证上岗。</w:t>
      </w:r>
    </w:p>
    <w:p w14:paraId="59193034">
      <w:pPr>
        <w:pStyle w:val="109"/>
        <w:numPr>
          <w:ilvl w:val="1"/>
          <w:numId w:val="0"/>
        </w:numPr>
        <w:spacing w:before="312" w:after="312"/>
        <w:rPr>
          <w:highlight w:val="none"/>
        </w:rPr>
      </w:pPr>
      <w:bookmarkStart w:id="91" w:name="_Toc1192072649"/>
      <w:bookmarkStart w:id="92" w:name="_Toc175066291"/>
      <w:r>
        <w:rPr>
          <w:rFonts w:hint="eastAsia"/>
          <w:highlight w:val="none"/>
        </w:rPr>
        <w:t>4.8  节能减排</w:t>
      </w:r>
      <w:bookmarkEnd w:id="91"/>
      <w:bookmarkEnd w:id="92"/>
    </w:p>
    <w:p w14:paraId="0E72D983">
      <w:pPr>
        <w:rPr>
          <w:rFonts w:ascii="宋体" w:hAnsi="宋体"/>
          <w:kern w:val="0"/>
          <w:highlight w:val="none"/>
        </w:rPr>
      </w:pPr>
      <w:r>
        <w:rPr>
          <w:rFonts w:hint="eastAsia" w:ascii="黑体" w:hAnsi="黑体" w:eastAsia="黑体" w:cs="黑体"/>
          <w:kern w:val="0"/>
          <w:highlight w:val="none"/>
        </w:rPr>
        <w:t>4.8.1</w:t>
      </w:r>
      <w:r>
        <w:rPr>
          <w:rFonts w:hint="eastAsia" w:ascii="宋体" w:hAnsi="宋体"/>
          <w:kern w:val="0"/>
          <w:highlight w:val="none"/>
        </w:rPr>
        <w:t xml:space="preserve">  应制定电耗、药耗年度目标及计划，对年度节能情况进行分析评估。评价期水厂配水单位电耗平均值应≤365kW·h/（km</w:t>
      </w:r>
      <w:r>
        <w:rPr>
          <w:rFonts w:hint="eastAsia" w:ascii="宋体" w:hAnsi="宋体"/>
          <w:kern w:val="0"/>
          <w:highlight w:val="none"/>
          <w:vertAlign w:val="superscript"/>
        </w:rPr>
        <w:t>3</w:t>
      </w:r>
      <w:r>
        <w:rPr>
          <w:rFonts w:hint="eastAsia" w:ascii="宋体" w:hAnsi="宋体"/>
          <w:kern w:val="0"/>
          <w:highlight w:val="none"/>
        </w:rPr>
        <w:t>·MPa），按照公式（</w:t>
      </w:r>
      <w:r>
        <w:rPr>
          <w:rFonts w:hint="eastAsia" w:ascii="宋体" w:hAnsi="宋体"/>
          <w:kern w:val="0"/>
          <w:highlight w:val="none"/>
          <w:lang w:val="en-US" w:eastAsia="zh-CN"/>
        </w:rPr>
        <w:t>A</w:t>
      </w:r>
      <w:r>
        <w:rPr>
          <w:rFonts w:hint="eastAsia" w:ascii="宋体" w:hAnsi="宋体"/>
          <w:kern w:val="0"/>
          <w:highlight w:val="none"/>
        </w:rPr>
        <w:t>.3）计算。</w:t>
      </w:r>
    </w:p>
    <w:p w14:paraId="0858DA15">
      <w:pPr>
        <w:rPr>
          <w:rFonts w:ascii="宋体" w:hAnsi="宋体"/>
          <w:kern w:val="0"/>
          <w:highlight w:val="none"/>
        </w:rPr>
      </w:pPr>
      <w:r>
        <w:rPr>
          <w:rFonts w:hint="eastAsia" w:ascii="黑体" w:hAnsi="黑体" w:eastAsia="黑体" w:cs="黑体"/>
          <w:kern w:val="0"/>
          <w:highlight w:val="none"/>
        </w:rPr>
        <w:t>4.8.2</w:t>
      </w:r>
      <w:r>
        <w:rPr>
          <w:rFonts w:hint="eastAsia" w:ascii="宋体" w:hAnsi="宋体"/>
          <w:kern w:val="0"/>
          <w:highlight w:val="none"/>
        </w:rPr>
        <w:t xml:space="preserve">  水厂的排泥水应得到有效治理，有完善的污泥处置措施；污泥应实现减量化、资源化，安全处置率100%。</w:t>
      </w:r>
    </w:p>
    <w:p w14:paraId="4220F0A2">
      <w:pPr>
        <w:rPr>
          <w:rFonts w:ascii="宋体" w:hAnsi="宋体"/>
          <w:kern w:val="0"/>
          <w:highlight w:val="none"/>
        </w:rPr>
      </w:pPr>
      <w:r>
        <w:rPr>
          <w:rFonts w:hint="eastAsia" w:ascii="黑体" w:hAnsi="黑体" w:eastAsia="黑体" w:cs="黑体"/>
          <w:kern w:val="0"/>
          <w:highlight w:val="none"/>
        </w:rPr>
        <w:t>4.8.3</w:t>
      </w:r>
      <w:r>
        <w:rPr>
          <w:rFonts w:hint="eastAsia" w:ascii="宋体" w:hAnsi="宋体"/>
          <w:kern w:val="0"/>
          <w:highlight w:val="none"/>
        </w:rPr>
        <w:t xml:space="preserve">  应制定废弃物处理制度，有废弃物收集、运输、储存及处理处置记录，并明确责任人。</w:t>
      </w:r>
    </w:p>
    <w:p w14:paraId="48481F58">
      <w:pPr>
        <w:rPr>
          <w:rFonts w:ascii="宋体" w:hAnsi="宋体"/>
          <w:kern w:val="0"/>
          <w:highlight w:val="none"/>
        </w:rPr>
      </w:pPr>
      <w:r>
        <w:rPr>
          <w:rFonts w:hint="eastAsia" w:ascii="黑体" w:hAnsi="黑体" w:eastAsia="黑体" w:cs="黑体"/>
          <w:kern w:val="0"/>
          <w:highlight w:val="none"/>
        </w:rPr>
        <w:t>4.8.4</w:t>
      </w:r>
      <w:r>
        <w:rPr>
          <w:rFonts w:hint="eastAsia" w:ascii="宋体" w:hAnsi="宋体"/>
          <w:kern w:val="0"/>
          <w:highlight w:val="none"/>
        </w:rPr>
        <w:t xml:space="preserve">  有毒有害废物（化验室废液、润滑油等）应委托有资质单位处置。</w:t>
      </w:r>
    </w:p>
    <w:p w14:paraId="40A748D6">
      <w:pPr>
        <w:pStyle w:val="109"/>
        <w:numPr>
          <w:ilvl w:val="1"/>
          <w:numId w:val="0"/>
        </w:numPr>
        <w:spacing w:before="312" w:after="312"/>
        <w:rPr>
          <w:highlight w:val="none"/>
        </w:rPr>
      </w:pPr>
      <w:bookmarkStart w:id="93" w:name="_Toc1325451880"/>
      <w:bookmarkStart w:id="94" w:name="_Toc132391079"/>
      <w:r>
        <w:rPr>
          <w:rFonts w:hint="eastAsia"/>
          <w:highlight w:val="none"/>
        </w:rPr>
        <w:t>4.9  水厂智慧化</w:t>
      </w:r>
      <w:bookmarkEnd w:id="93"/>
      <w:bookmarkEnd w:id="94"/>
    </w:p>
    <w:p w14:paraId="34EF1C1B">
      <w:pPr>
        <w:jc w:val="left"/>
        <w:rPr>
          <w:rFonts w:ascii="宋体" w:hAnsi="宋体"/>
          <w:kern w:val="0"/>
          <w:highlight w:val="none"/>
        </w:rPr>
      </w:pPr>
      <w:r>
        <w:rPr>
          <w:rFonts w:hint="eastAsia" w:ascii="黑体" w:hAnsi="黑体" w:eastAsia="黑体" w:cs="黑体"/>
          <w:kern w:val="0"/>
          <w:highlight w:val="none"/>
        </w:rPr>
        <w:t xml:space="preserve">4.9.1 </w:t>
      </w:r>
      <w:r>
        <w:rPr>
          <w:rFonts w:hint="eastAsia" w:ascii="宋体" w:hAnsi="宋体"/>
          <w:kern w:val="0"/>
          <w:highlight w:val="none"/>
        </w:rPr>
        <w:t xml:space="preserve"> 宜运用物联网、大数据、人工智能、三维仿真技术等新技术，建立智慧管控平台，实现生产运营的智能化控制、数字化管理和智慧化决策。</w:t>
      </w:r>
    </w:p>
    <w:p w14:paraId="29268A9F">
      <w:pPr>
        <w:jc w:val="left"/>
        <w:rPr>
          <w:rFonts w:ascii="宋体" w:hAnsi="宋体"/>
          <w:kern w:val="0"/>
          <w:highlight w:val="none"/>
        </w:rPr>
      </w:pPr>
      <w:r>
        <w:rPr>
          <w:rFonts w:hint="eastAsia" w:ascii="黑体" w:hAnsi="黑体" w:eastAsia="黑体" w:cs="黑体"/>
          <w:kern w:val="0"/>
          <w:highlight w:val="none"/>
        </w:rPr>
        <w:t>4.9.2</w:t>
      </w:r>
      <w:r>
        <w:rPr>
          <w:rFonts w:hint="eastAsia" w:ascii="宋体" w:hAnsi="宋体"/>
          <w:kern w:val="0"/>
          <w:highlight w:val="none"/>
        </w:rPr>
        <w:t xml:space="preserve">  智能控制宜采用多因子参与的智能算法模型，自主驱动具备相当执行能力的设备系统，实现水处理工艺过程智能药剂投加、智能消毒、智能巡检、智能运维、智能调度、智能预警等精准控制。</w:t>
      </w:r>
    </w:p>
    <w:p w14:paraId="60A27FE0">
      <w:pPr>
        <w:jc w:val="left"/>
        <w:rPr>
          <w:rFonts w:ascii="宋体" w:hAnsi="宋体"/>
          <w:kern w:val="0"/>
          <w:highlight w:val="none"/>
        </w:rPr>
      </w:pPr>
      <w:r>
        <w:rPr>
          <w:rFonts w:hint="eastAsia" w:ascii="黑体" w:hAnsi="黑体" w:eastAsia="黑体" w:cs="黑体"/>
          <w:kern w:val="0"/>
          <w:highlight w:val="none"/>
        </w:rPr>
        <w:t>4.9.3</w:t>
      </w:r>
      <w:r>
        <w:rPr>
          <w:rFonts w:hint="eastAsia" w:ascii="宋体" w:hAnsi="宋体"/>
          <w:kern w:val="0"/>
          <w:highlight w:val="none"/>
        </w:rPr>
        <w:t xml:space="preserve">  数字化管理宜基于智慧管控平台，对生产运行进行集中化监控、业务线上办理、工艺参数和运行工况等信息采集与可视化展现。</w:t>
      </w:r>
    </w:p>
    <w:p w14:paraId="32E747AB">
      <w:pPr>
        <w:jc w:val="left"/>
        <w:rPr>
          <w:rFonts w:ascii="宋体" w:hAnsi="宋体"/>
          <w:kern w:val="0"/>
          <w:highlight w:val="none"/>
        </w:rPr>
      </w:pPr>
      <w:r>
        <w:rPr>
          <w:rFonts w:hint="eastAsia" w:ascii="黑体" w:hAnsi="黑体" w:eastAsia="黑体" w:cs="黑体"/>
          <w:kern w:val="0"/>
          <w:highlight w:val="none"/>
        </w:rPr>
        <w:t>4.9.4</w:t>
      </w:r>
      <w:r>
        <w:rPr>
          <w:rFonts w:hint="eastAsia" w:ascii="宋体" w:hAnsi="宋体"/>
          <w:kern w:val="0"/>
          <w:highlight w:val="none"/>
        </w:rPr>
        <w:t xml:space="preserve">  智慧化决策宜建立计算机辅助决策支持系统，具备预警功能，配备应急预案库，提供应急处理决策建议，逐步提高自主决策能力。</w:t>
      </w:r>
    </w:p>
    <w:p w14:paraId="166870D5">
      <w:pPr>
        <w:jc w:val="left"/>
        <w:rPr>
          <w:rFonts w:ascii="宋体" w:hAnsi="宋体"/>
          <w:kern w:val="0"/>
          <w:highlight w:val="none"/>
        </w:rPr>
      </w:pPr>
      <w:r>
        <w:rPr>
          <w:rFonts w:hint="eastAsia" w:ascii="黑体" w:hAnsi="黑体" w:eastAsia="黑体" w:cs="黑体"/>
          <w:kern w:val="0"/>
          <w:highlight w:val="none"/>
        </w:rPr>
        <w:t>4.9.5</w:t>
      </w:r>
      <w:r>
        <w:rPr>
          <w:rFonts w:hint="eastAsia" w:ascii="宋体" w:hAnsi="宋体"/>
          <w:kern w:val="0"/>
          <w:highlight w:val="none"/>
        </w:rPr>
        <w:t xml:space="preserve">  智慧管控平台安全等级应达到GB/T 22239二级及以上安全保护等级要求。</w:t>
      </w:r>
    </w:p>
    <w:p w14:paraId="20DA2F61">
      <w:pPr>
        <w:jc w:val="left"/>
        <w:rPr>
          <w:rFonts w:ascii="宋体" w:hAnsi="宋体"/>
          <w:kern w:val="0"/>
          <w:highlight w:val="none"/>
        </w:rPr>
      </w:pPr>
      <w:r>
        <w:rPr>
          <w:rFonts w:hint="eastAsia" w:ascii="黑体" w:hAnsi="黑体" w:eastAsia="黑体" w:cs="黑体"/>
          <w:kern w:val="0"/>
          <w:highlight w:val="none"/>
        </w:rPr>
        <w:t>4.9.6</w:t>
      </w:r>
      <w:r>
        <w:rPr>
          <w:rFonts w:hint="eastAsia" w:ascii="宋体" w:hAnsi="宋体"/>
          <w:kern w:val="0"/>
          <w:highlight w:val="none"/>
        </w:rPr>
        <w:t xml:space="preserve">  应落实运行维护资金，做好智慧管控平台的运行维护，保障安全稳定运行。</w:t>
      </w:r>
    </w:p>
    <w:p w14:paraId="65672D9B">
      <w:pPr>
        <w:pStyle w:val="109"/>
        <w:numPr>
          <w:ilvl w:val="1"/>
          <w:numId w:val="0"/>
        </w:numPr>
        <w:spacing w:before="312" w:after="312"/>
        <w:rPr>
          <w:highlight w:val="none"/>
        </w:rPr>
      </w:pPr>
      <w:bookmarkStart w:id="95" w:name="_Toc1393742502"/>
      <w:bookmarkStart w:id="96" w:name="_Toc1410942833"/>
      <w:r>
        <w:rPr>
          <w:rFonts w:hint="eastAsia"/>
          <w:highlight w:val="none"/>
        </w:rPr>
        <w:t>4.10  水厂环境</w:t>
      </w:r>
      <w:bookmarkEnd w:id="95"/>
      <w:bookmarkEnd w:id="96"/>
    </w:p>
    <w:p w14:paraId="68CE4DF3">
      <w:pPr>
        <w:jc w:val="left"/>
        <w:rPr>
          <w:rFonts w:ascii="宋体" w:hAnsi="宋体"/>
          <w:kern w:val="0"/>
          <w:highlight w:val="none"/>
        </w:rPr>
      </w:pPr>
      <w:r>
        <w:rPr>
          <w:rFonts w:hint="eastAsia" w:ascii="黑体" w:hAnsi="黑体" w:eastAsia="黑体" w:cs="黑体"/>
          <w:kern w:val="0"/>
          <w:highlight w:val="none"/>
        </w:rPr>
        <w:t>4.10.1</w:t>
      </w:r>
      <w:r>
        <w:rPr>
          <w:rFonts w:hint="eastAsia" w:ascii="宋体" w:hAnsi="宋体"/>
          <w:kern w:val="0"/>
          <w:highlight w:val="none"/>
        </w:rPr>
        <w:t xml:space="preserve">  厂区生态环境优良，生产车间、环境及设备设施洁净、安全、有序。</w:t>
      </w:r>
    </w:p>
    <w:p w14:paraId="4DC73EAA">
      <w:pPr>
        <w:jc w:val="left"/>
        <w:rPr>
          <w:rFonts w:ascii="宋体" w:hAnsi="宋体"/>
          <w:kern w:val="0"/>
          <w:highlight w:val="none"/>
        </w:rPr>
      </w:pPr>
      <w:r>
        <w:rPr>
          <w:rFonts w:hint="eastAsia" w:ascii="黑体" w:hAnsi="黑体" w:eastAsia="黑体" w:cs="黑体"/>
          <w:kern w:val="0"/>
          <w:highlight w:val="none"/>
        </w:rPr>
        <w:t>4.10.2</w:t>
      </w:r>
      <w:r>
        <w:rPr>
          <w:rFonts w:hint="eastAsia" w:ascii="宋体" w:hAnsi="宋体"/>
          <w:kern w:val="0"/>
          <w:highlight w:val="none"/>
        </w:rPr>
        <w:t xml:space="preserve">  应明确专人负责厂区绿化养护，绿化率不低于设计值。 </w:t>
      </w:r>
    </w:p>
    <w:p w14:paraId="5D6B9CBE">
      <w:pPr>
        <w:jc w:val="left"/>
        <w:rPr>
          <w:rFonts w:ascii="宋体" w:hAnsi="宋体"/>
          <w:kern w:val="0"/>
          <w:highlight w:val="none"/>
        </w:rPr>
      </w:pPr>
      <w:r>
        <w:rPr>
          <w:rFonts w:hint="eastAsia" w:ascii="黑体" w:hAnsi="黑体" w:eastAsia="黑体" w:cs="黑体"/>
          <w:kern w:val="0"/>
          <w:highlight w:val="none"/>
        </w:rPr>
        <w:t>4.10.3</w:t>
      </w:r>
      <w:r>
        <w:rPr>
          <w:rFonts w:hint="eastAsia" w:ascii="宋体" w:hAnsi="宋体"/>
          <w:kern w:val="0"/>
          <w:highlight w:val="none"/>
        </w:rPr>
        <w:t xml:space="preserve">  厂区应设立警告类、禁止类、指令类、提示类等各类标识标牌，符合GB 2894的要求。</w:t>
      </w:r>
    </w:p>
    <w:p w14:paraId="11C13D45">
      <w:pPr>
        <w:pStyle w:val="109"/>
        <w:numPr>
          <w:ilvl w:val="1"/>
          <w:numId w:val="0"/>
        </w:numPr>
        <w:spacing w:before="312" w:after="312"/>
        <w:rPr>
          <w:highlight w:val="none"/>
        </w:rPr>
      </w:pPr>
      <w:bookmarkStart w:id="97" w:name="_Toc1618564877"/>
      <w:bookmarkStart w:id="98" w:name="_Toc527753756"/>
      <w:r>
        <w:rPr>
          <w:rFonts w:hint="eastAsia"/>
          <w:highlight w:val="none"/>
        </w:rPr>
        <w:t>5  评价细则</w:t>
      </w:r>
      <w:bookmarkEnd w:id="97"/>
      <w:bookmarkEnd w:id="98"/>
    </w:p>
    <w:p w14:paraId="77C7D868">
      <w:pPr>
        <w:pStyle w:val="110"/>
        <w:numPr>
          <w:ilvl w:val="2"/>
          <w:numId w:val="0"/>
        </w:numPr>
        <w:spacing w:before="156" w:after="156"/>
        <w:outlineLvl w:val="0"/>
        <w:rPr>
          <w:highlight w:val="none"/>
        </w:rPr>
      </w:pPr>
      <w:bookmarkStart w:id="99" w:name="_Toc1616757455"/>
      <w:bookmarkStart w:id="100" w:name="_Toc298018230"/>
      <w:r>
        <w:rPr>
          <w:rFonts w:hint="eastAsia"/>
          <w:highlight w:val="none"/>
        </w:rPr>
        <w:t>5.1  总体原则</w:t>
      </w:r>
      <w:bookmarkEnd w:id="99"/>
      <w:bookmarkEnd w:id="100"/>
    </w:p>
    <w:p w14:paraId="419DFAAE">
      <w:pPr>
        <w:ind w:firstLine="420" w:firstLineChars="200"/>
        <w:rPr>
          <w:rFonts w:ascii="宋体" w:hAnsi="宋体"/>
          <w:kern w:val="0"/>
          <w:highlight w:val="none"/>
        </w:rPr>
      </w:pPr>
      <w:r>
        <w:rPr>
          <w:rFonts w:hint="eastAsia" w:ascii="宋体" w:hAnsi="宋体"/>
          <w:kern w:val="0"/>
          <w:highlight w:val="none"/>
        </w:rPr>
        <w:t>城镇公共供水厂运行管理评价包括规章制度管理、供水水质、制水工艺、运行维护、安全生产、人员管理、节能减排、水厂智慧化、水厂环境九个方面，实行百分制评分。</w:t>
      </w:r>
    </w:p>
    <w:p w14:paraId="066DCA4A">
      <w:pPr>
        <w:pStyle w:val="110"/>
        <w:numPr>
          <w:ilvl w:val="2"/>
          <w:numId w:val="0"/>
        </w:numPr>
        <w:spacing w:before="156" w:after="156"/>
        <w:outlineLvl w:val="0"/>
        <w:rPr>
          <w:highlight w:val="none"/>
        </w:rPr>
      </w:pPr>
      <w:bookmarkStart w:id="101" w:name="_Toc197032219"/>
      <w:bookmarkStart w:id="102" w:name="_Toc718872755"/>
      <w:r>
        <w:rPr>
          <w:rFonts w:hint="eastAsia"/>
          <w:highlight w:val="none"/>
        </w:rPr>
        <w:t>5.2  评价方法</w:t>
      </w:r>
      <w:bookmarkEnd w:id="101"/>
      <w:bookmarkEnd w:id="102"/>
    </w:p>
    <w:p w14:paraId="02AA5035">
      <w:pPr>
        <w:numPr>
          <w:ilvl w:val="0"/>
          <w:numId w:val="0"/>
        </w:numPr>
        <w:spacing w:before="0"/>
        <w:ind w:firstLine="420" w:firstLineChars="200"/>
        <w:jc w:val="both"/>
        <w:outlineLvl w:val="9"/>
        <w:rPr>
          <w:rFonts w:ascii="宋体" w:hAnsi="宋体"/>
          <w:kern w:val="0"/>
          <w:highlight w:val="none"/>
        </w:rPr>
      </w:pPr>
      <w:bookmarkStart w:id="103" w:name="_Toc2062717932"/>
      <w:bookmarkStart w:id="104" w:name="_Toc317513298"/>
      <w:bookmarkStart w:id="105" w:name="_Toc705913428"/>
      <w:r>
        <w:rPr>
          <w:rFonts w:hint="eastAsia" w:ascii="宋体" w:hAnsi="宋体"/>
          <w:kern w:val="0"/>
          <w:highlight w:val="none"/>
        </w:rPr>
        <w:t>城镇公共供水厂运行管理评价方法应符合附录</w:t>
      </w:r>
      <w:r>
        <w:rPr>
          <w:rFonts w:hint="eastAsia" w:ascii="宋体" w:hAnsi="宋体"/>
          <w:kern w:val="0"/>
          <w:highlight w:val="none"/>
          <w:lang w:val="en-US" w:eastAsia="zh-CN"/>
        </w:rPr>
        <w:t>B</w:t>
      </w:r>
      <w:r>
        <w:rPr>
          <w:rFonts w:hint="eastAsia" w:ascii="宋体" w:hAnsi="宋体"/>
          <w:kern w:val="0"/>
          <w:highlight w:val="none"/>
        </w:rPr>
        <w:t>的要求。</w:t>
      </w:r>
      <w:bookmarkEnd w:id="103"/>
      <w:bookmarkEnd w:id="104"/>
      <w:bookmarkEnd w:id="105"/>
    </w:p>
    <w:p w14:paraId="79064CDB">
      <w:pPr>
        <w:widowControl/>
        <w:ind w:firstLine="420" w:firstLineChars="200"/>
        <w:jc w:val="left"/>
        <w:rPr>
          <w:highlight w:val="none"/>
        </w:rPr>
      </w:pPr>
      <w:r>
        <w:rPr>
          <w:rFonts w:hint="eastAsia" w:ascii="宋体" w:hAnsi="宋体"/>
          <w:kern w:val="0"/>
          <w:highlight w:val="none"/>
        </w:rPr>
        <w:t>——</w:t>
      </w:r>
      <w:r>
        <w:rPr>
          <w:rFonts w:hint="eastAsia" w:ascii="宋体" w:hAnsi="宋体" w:cs="宋体"/>
          <w:kern w:val="0"/>
          <w:highlight w:val="none"/>
          <w:lang w:bidi="ar"/>
        </w:rPr>
        <w:t>地表水水源水厂与地下水水源水厂评价赋分指标略有区别，主要为“供水水质”水质检测项目和检测频次不同，“制水工艺”水处理工序不同，“节能减排”自用水率限额不同，评价时按照各水源类型指标进行赋分，当水厂同时取用地表水和地下水为水源时，以地表水水源水厂评价指标进行评价。</w:t>
      </w:r>
    </w:p>
    <w:p w14:paraId="40915296">
      <w:pPr>
        <w:widowControl/>
        <w:ind w:firstLine="420" w:firstLineChars="200"/>
        <w:jc w:val="left"/>
        <w:rPr>
          <w:highlight w:val="none"/>
        </w:rPr>
      </w:pPr>
      <w:r>
        <w:rPr>
          <w:rFonts w:ascii="宋体" w:hAnsi="宋体" w:cs="宋体"/>
          <w:kern w:val="0"/>
          <w:highlight w:val="none"/>
          <w:lang w:bidi="ar"/>
        </w:rPr>
        <w:t>——</w:t>
      </w:r>
      <w:r>
        <w:rPr>
          <w:rFonts w:hint="eastAsia" w:ascii="宋体" w:hAnsi="宋体" w:cs="宋体"/>
          <w:kern w:val="0"/>
          <w:highlight w:val="none"/>
          <w:lang w:bidi="ar"/>
        </w:rPr>
        <w:t>对不符合要求的指标进行扣分，扣完为止，不涉及的指标进行折算，折算后总得分按公式</w:t>
      </w:r>
      <w:r>
        <w:rPr>
          <w:rFonts w:hint="eastAsia"/>
          <w:highlight w:val="none"/>
        </w:rPr>
        <w:t>（</w:t>
      </w:r>
      <w:r>
        <w:rPr>
          <w:rFonts w:hint="eastAsia" w:ascii="宋体" w:hAnsi="宋体"/>
          <w:kern w:val="0"/>
          <w:highlight w:val="none"/>
          <w:lang w:val="en-US" w:eastAsia="zh-CN"/>
        </w:rPr>
        <w:t>A</w:t>
      </w:r>
      <w:r>
        <w:rPr>
          <w:rFonts w:hint="eastAsia" w:ascii="宋体" w:hAnsi="宋体"/>
          <w:kern w:val="0"/>
          <w:highlight w:val="none"/>
        </w:rPr>
        <w:t>.4</w:t>
      </w:r>
      <w:r>
        <w:rPr>
          <w:rFonts w:hint="eastAsia"/>
          <w:highlight w:val="none"/>
        </w:rPr>
        <w:t>）计算。</w:t>
      </w:r>
    </w:p>
    <w:p w14:paraId="55783993">
      <w:pPr>
        <w:pStyle w:val="110"/>
        <w:numPr>
          <w:ilvl w:val="2"/>
          <w:numId w:val="0"/>
        </w:numPr>
        <w:spacing w:before="156" w:after="156"/>
        <w:outlineLvl w:val="0"/>
        <w:rPr>
          <w:highlight w:val="none"/>
        </w:rPr>
      </w:pPr>
      <w:bookmarkStart w:id="106" w:name="_Toc539097371"/>
      <w:bookmarkStart w:id="107" w:name="_Toc1485327659"/>
      <w:r>
        <w:rPr>
          <w:rFonts w:hint="eastAsia"/>
          <w:highlight w:val="none"/>
        </w:rPr>
        <w:t>5.3  评价流程</w:t>
      </w:r>
      <w:bookmarkEnd w:id="106"/>
      <w:bookmarkEnd w:id="107"/>
    </w:p>
    <w:p w14:paraId="1CB810C6">
      <w:pPr>
        <w:ind w:firstLine="420" w:firstLineChars="200"/>
        <w:rPr>
          <w:rFonts w:ascii="宋体" w:hAnsi="宋体"/>
          <w:kern w:val="0"/>
          <w:highlight w:val="none"/>
        </w:rPr>
      </w:pPr>
      <w:r>
        <w:rPr>
          <w:rFonts w:hint="eastAsia" w:ascii="宋体" w:hAnsi="宋体"/>
          <w:kern w:val="0"/>
          <w:highlight w:val="none"/>
        </w:rPr>
        <w:t>城镇公共供水厂运行管理评价流程包括供水单位自评、市级复核。</w:t>
      </w:r>
    </w:p>
    <w:p w14:paraId="0D8BA3E0">
      <w:pPr>
        <w:ind w:firstLine="420" w:firstLineChars="200"/>
        <w:rPr>
          <w:rFonts w:ascii="宋体" w:hAnsi="宋体"/>
          <w:kern w:val="0"/>
          <w:highlight w:val="none"/>
        </w:rPr>
      </w:pPr>
      <w:r>
        <w:rPr>
          <w:rFonts w:hint="eastAsia" w:ascii="宋体" w:hAnsi="宋体"/>
          <w:kern w:val="0"/>
          <w:highlight w:val="none"/>
        </w:rPr>
        <w:t>——各供水单位按照评价标准开展自评赋分，并提交评价结果。</w:t>
      </w:r>
    </w:p>
    <w:p w14:paraId="56550E40">
      <w:pPr>
        <w:ind w:firstLine="420" w:firstLineChars="200"/>
        <w:rPr>
          <w:rFonts w:ascii="宋体" w:hAnsi="宋体"/>
          <w:kern w:val="0"/>
          <w:highlight w:val="none"/>
        </w:rPr>
      </w:pPr>
      <w:r>
        <w:rPr>
          <w:rFonts w:hint="eastAsia" w:ascii="宋体" w:hAnsi="宋体"/>
          <w:kern w:val="0"/>
          <w:highlight w:val="none"/>
        </w:rPr>
        <w:t>——市级对供水单位自评结果进行抽查复核。</w:t>
      </w:r>
    </w:p>
    <w:p w14:paraId="44D84C9A">
      <w:pPr>
        <w:pStyle w:val="110"/>
        <w:numPr>
          <w:ilvl w:val="2"/>
          <w:numId w:val="0"/>
        </w:numPr>
        <w:spacing w:before="156" w:after="156"/>
        <w:outlineLvl w:val="0"/>
        <w:rPr>
          <w:rFonts w:ascii="宋体" w:hAnsi="宋体"/>
          <w:highlight w:val="none"/>
        </w:rPr>
      </w:pPr>
      <w:bookmarkStart w:id="108" w:name="_Toc569222213"/>
      <w:bookmarkStart w:id="109" w:name="_Toc1255152153"/>
      <w:r>
        <w:rPr>
          <w:rFonts w:hint="eastAsia"/>
          <w:highlight w:val="none"/>
        </w:rPr>
        <w:t>5.4  评价结果</w:t>
      </w:r>
      <w:bookmarkEnd w:id="108"/>
      <w:bookmarkEnd w:id="109"/>
    </w:p>
    <w:p w14:paraId="3D4FFE61">
      <w:pPr>
        <w:ind w:firstLine="420" w:firstLineChars="200"/>
        <w:rPr>
          <w:rFonts w:ascii="宋体" w:hAnsi="宋体"/>
          <w:kern w:val="0"/>
          <w:highlight w:val="none"/>
        </w:rPr>
      </w:pPr>
      <w:r>
        <w:rPr>
          <w:rFonts w:hint="eastAsia" w:ascii="宋体" w:hAnsi="宋体"/>
          <w:kern w:val="0"/>
          <w:highlight w:val="none"/>
        </w:rPr>
        <w:t>根据分值进行等级划分，分为无星、三星、四星、五星四个等级，</w:t>
      </w:r>
      <w:r>
        <w:rPr>
          <w:rFonts w:hint="eastAsia" w:ascii="宋体" w:hAnsi="宋体" w:cs="宋体"/>
          <w:kern w:val="0"/>
          <w:highlight w:val="none"/>
          <w:lang w:bidi="ar"/>
        </w:rPr>
        <w:t>三星水厂为达标水厂，四星为规范化水厂，五星水厂为标杆水厂，</w:t>
      </w:r>
      <w:r>
        <w:rPr>
          <w:rFonts w:hint="eastAsia" w:ascii="宋体" w:hAnsi="宋体"/>
          <w:kern w:val="0"/>
          <w:highlight w:val="none"/>
        </w:rPr>
        <w:t>等级划分见表3。</w:t>
      </w:r>
    </w:p>
    <w:p w14:paraId="5DF47F2C">
      <w:pPr>
        <w:ind w:firstLine="420" w:firstLineChars="200"/>
        <w:rPr>
          <w:rFonts w:ascii="宋体" w:hAnsi="宋体" w:cs="宋体"/>
          <w:kern w:val="0"/>
          <w:highlight w:val="none"/>
          <w:lang w:bidi="ar"/>
        </w:rPr>
      </w:pPr>
      <w:r>
        <w:rPr>
          <w:rFonts w:hint="eastAsia" w:ascii="宋体" w:hAnsi="宋体" w:cs="宋体"/>
          <w:kern w:val="0"/>
          <w:highlight w:val="none"/>
          <w:lang w:bidi="ar"/>
        </w:rPr>
        <w:t>——不满足本文件4.1基本要求的城镇公共供水厂，直接认定为无星。</w:t>
      </w:r>
    </w:p>
    <w:p w14:paraId="11B91C4E">
      <w:pPr>
        <w:ind w:firstLine="420" w:firstLineChars="200"/>
        <w:rPr>
          <w:rFonts w:ascii="宋体" w:hAnsi="宋体"/>
          <w:kern w:val="0"/>
          <w:highlight w:val="none"/>
        </w:rPr>
      </w:pPr>
      <w:r>
        <w:rPr>
          <w:rFonts w:hint="eastAsia" w:ascii="宋体" w:hAnsi="宋体" w:cs="宋体"/>
          <w:kern w:val="0"/>
          <w:highlight w:val="none"/>
          <w:lang w:bidi="ar"/>
        </w:rPr>
        <w:t>——</w:t>
      </w:r>
      <w:r>
        <w:rPr>
          <w:rFonts w:hint="eastAsia" w:ascii="宋体" w:hAnsi="宋体"/>
          <w:kern w:val="0"/>
          <w:highlight w:val="none"/>
        </w:rPr>
        <w:t>一级指标中的供水水质、制水工艺、运行维护、安全生产4项评价指标，每项得分不应低于该指标分值的70%，否则评价等级为无星。</w:t>
      </w:r>
    </w:p>
    <w:p w14:paraId="5C5FC5FC">
      <w:pPr>
        <w:pStyle w:val="117"/>
        <w:spacing w:before="156" w:after="156"/>
        <w:rPr>
          <w:highlight w:val="none"/>
        </w:rPr>
      </w:pPr>
      <w:r>
        <w:rPr>
          <w:rFonts w:hint="eastAsia"/>
          <w:highlight w:val="none"/>
        </w:rPr>
        <w:t>表3</w:t>
      </w:r>
      <w:r>
        <w:rPr>
          <w:rFonts w:hint="eastAsia"/>
          <w:highlight w:val="none"/>
          <w:lang w:val="en-US" w:eastAsia="zh-CN"/>
        </w:rPr>
        <w:t xml:space="preserve">  </w:t>
      </w:r>
      <w:r>
        <w:rPr>
          <w:rFonts w:hint="eastAsia"/>
          <w:highlight w:val="none"/>
        </w:rPr>
        <w:t>城镇供水厂运行管理评价等级与对应分值表</w:t>
      </w:r>
    </w:p>
    <w:tbl>
      <w:tblPr>
        <w:tblStyle w:val="31"/>
        <w:tblW w:w="243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47"/>
        <w:gridCol w:w="3310"/>
      </w:tblGrid>
      <w:tr w14:paraId="51E6A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5" w:hRule="atLeast"/>
          <w:jc w:val="center"/>
        </w:trPr>
        <w:tc>
          <w:tcPr>
            <w:tcW w:w="1446" w:type="pct"/>
          </w:tcPr>
          <w:p w14:paraId="0B592960">
            <w:pPr>
              <w:pStyle w:val="183"/>
              <w:rPr>
                <w:highlight w:val="none"/>
              </w:rPr>
            </w:pPr>
            <w:r>
              <w:rPr>
                <w:rFonts w:hint="eastAsia"/>
                <w:highlight w:val="none"/>
              </w:rPr>
              <w:t>等级</w:t>
            </w:r>
          </w:p>
        </w:tc>
        <w:tc>
          <w:tcPr>
            <w:tcW w:w="3553" w:type="pct"/>
          </w:tcPr>
          <w:p w14:paraId="3CE104B8">
            <w:pPr>
              <w:pStyle w:val="183"/>
              <w:rPr>
                <w:highlight w:val="none"/>
              </w:rPr>
            </w:pPr>
            <w:r>
              <w:rPr>
                <w:rFonts w:hint="eastAsia"/>
                <w:highlight w:val="none"/>
              </w:rPr>
              <w:t>总分</w:t>
            </w:r>
          </w:p>
        </w:tc>
      </w:tr>
      <w:tr w14:paraId="5551C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446" w:type="pct"/>
          </w:tcPr>
          <w:p w14:paraId="1B7297B1">
            <w:pPr>
              <w:pStyle w:val="183"/>
              <w:rPr>
                <w:highlight w:val="none"/>
              </w:rPr>
            </w:pPr>
            <w:r>
              <w:rPr>
                <w:rFonts w:hint="eastAsia"/>
                <w:highlight w:val="none"/>
              </w:rPr>
              <w:t>五星级</w:t>
            </w:r>
          </w:p>
        </w:tc>
        <w:tc>
          <w:tcPr>
            <w:tcW w:w="3553" w:type="pct"/>
          </w:tcPr>
          <w:p w14:paraId="7C0B4C7C">
            <w:pPr>
              <w:pStyle w:val="183"/>
              <w:rPr>
                <w:highlight w:val="none"/>
              </w:rPr>
            </w:pPr>
            <w:r>
              <w:rPr>
                <w:rFonts w:hint="eastAsia"/>
                <w:highlight w:val="none"/>
              </w:rPr>
              <w:t>W≥95</w:t>
            </w:r>
          </w:p>
        </w:tc>
      </w:tr>
      <w:tr w14:paraId="07D06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446" w:type="pct"/>
          </w:tcPr>
          <w:p w14:paraId="6B9F3344">
            <w:pPr>
              <w:pStyle w:val="183"/>
              <w:rPr>
                <w:highlight w:val="none"/>
              </w:rPr>
            </w:pPr>
            <w:r>
              <w:rPr>
                <w:rFonts w:hint="eastAsia"/>
                <w:highlight w:val="none"/>
              </w:rPr>
              <w:t>四星级</w:t>
            </w:r>
          </w:p>
        </w:tc>
        <w:tc>
          <w:tcPr>
            <w:tcW w:w="3553" w:type="pct"/>
          </w:tcPr>
          <w:p w14:paraId="4444D2E6">
            <w:pPr>
              <w:pStyle w:val="183"/>
              <w:rPr>
                <w:highlight w:val="none"/>
              </w:rPr>
            </w:pPr>
            <w:r>
              <w:rPr>
                <w:rFonts w:hint="eastAsia"/>
                <w:highlight w:val="none"/>
              </w:rPr>
              <w:t>85≤W＜95</w:t>
            </w:r>
          </w:p>
        </w:tc>
      </w:tr>
      <w:tr w14:paraId="3D5D0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446" w:type="pct"/>
          </w:tcPr>
          <w:p w14:paraId="7F095393">
            <w:pPr>
              <w:pStyle w:val="183"/>
              <w:rPr>
                <w:highlight w:val="none"/>
              </w:rPr>
            </w:pPr>
            <w:r>
              <w:rPr>
                <w:rFonts w:hint="eastAsia"/>
                <w:highlight w:val="none"/>
              </w:rPr>
              <w:t>三星级</w:t>
            </w:r>
          </w:p>
        </w:tc>
        <w:tc>
          <w:tcPr>
            <w:tcW w:w="3553" w:type="pct"/>
          </w:tcPr>
          <w:p w14:paraId="508094C2">
            <w:pPr>
              <w:pStyle w:val="183"/>
              <w:rPr>
                <w:highlight w:val="none"/>
              </w:rPr>
            </w:pPr>
            <w:r>
              <w:rPr>
                <w:rFonts w:hint="eastAsia"/>
                <w:highlight w:val="none"/>
              </w:rPr>
              <w:t>70≤W＜85</w:t>
            </w:r>
          </w:p>
        </w:tc>
      </w:tr>
      <w:tr w14:paraId="4C402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1446" w:type="pct"/>
          </w:tcPr>
          <w:p w14:paraId="3EBC1BB2">
            <w:pPr>
              <w:pStyle w:val="183"/>
              <w:rPr>
                <w:highlight w:val="none"/>
              </w:rPr>
            </w:pPr>
            <w:r>
              <w:rPr>
                <w:rFonts w:hint="eastAsia"/>
                <w:highlight w:val="none"/>
              </w:rPr>
              <w:t>无星</w:t>
            </w:r>
          </w:p>
        </w:tc>
        <w:tc>
          <w:tcPr>
            <w:tcW w:w="3553" w:type="pct"/>
          </w:tcPr>
          <w:p w14:paraId="26ABE60E">
            <w:pPr>
              <w:pStyle w:val="183"/>
              <w:rPr>
                <w:highlight w:val="none"/>
              </w:rPr>
            </w:pPr>
            <w:r>
              <w:rPr>
                <w:rFonts w:hint="eastAsia"/>
                <w:highlight w:val="none"/>
              </w:rPr>
              <w:t>W＜70</w:t>
            </w:r>
          </w:p>
        </w:tc>
      </w:tr>
      <w:bookmarkEnd w:id="20"/>
    </w:tbl>
    <w:p w14:paraId="7E57FA75">
      <w:pPr>
        <w:pStyle w:val="203"/>
        <w:numPr>
          <w:ilvl w:val="0"/>
          <w:numId w:val="0"/>
        </w:numPr>
        <w:jc w:val="both"/>
        <w:rPr>
          <w:highlight w:val="none"/>
        </w:rPr>
      </w:pPr>
    </w:p>
    <w:p w14:paraId="31892BB9">
      <w:pPr>
        <w:pStyle w:val="204"/>
        <w:rPr>
          <w:highlight w:val="none"/>
        </w:rPr>
      </w:pPr>
    </w:p>
    <w:p w14:paraId="15DD5220">
      <w:pPr>
        <w:pStyle w:val="81"/>
        <w:spacing w:after="156"/>
        <w:rPr>
          <w:highlight w:val="none"/>
        </w:rPr>
        <w:sectPr>
          <w:headerReference r:id="rId14" w:type="default"/>
          <w:footerReference r:id="rId16" w:type="default"/>
          <w:headerReference r:id="rId15" w:type="even"/>
          <w:footerReference r:id="rId17" w:type="even"/>
          <w:pgSz w:w="11906" w:h="16838"/>
          <w:pgMar w:top="1928" w:right="1134" w:bottom="1134" w:left="1134" w:header="1418" w:footer="1134" w:gutter="284"/>
          <w:cols w:space="425" w:num="1"/>
          <w:formProt w:val="0"/>
          <w:docGrid w:type="lines" w:linePitch="312" w:charSpace="0"/>
        </w:sectPr>
      </w:pPr>
      <w:bookmarkStart w:id="110" w:name="BookMark5"/>
      <w:bookmarkStart w:id="111" w:name="_Toc21342"/>
    </w:p>
    <w:bookmarkEnd w:id="110"/>
    <w:bookmarkEnd w:id="111"/>
    <w:p w14:paraId="2FC354F8">
      <w:pPr>
        <w:pStyle w:val="81"/>
        <w:spacing w:after="156"/>
        <w:rPr>
          <w:highlight w:val="none"/>
        </w:rPr>
      </w:pPr>
      <w:bookmarkStart w:id="112" w:name="_Toc133688866"/>
      <w:bookmarkStart w:id="113" w:name="_Toc879384856"/>
      <w:bookmarkStart w:id="114" w:name="_Toc720260847"/>
      <w:bookmarkStart w:id="115" w:name="BookMark8"/>
      <w:r>
        <w:rPr>
          <w:highlight w:val="none"/>
        </w:rPr>
        <w:br w:type="textWrapping"/>
      </w:r>
      <w:r>
        <w:rPr>
          <w:rFonts w:hint="eastAsia"/>
          <w:highlight w:val="none"/>
        </w:rPr>
        <w:t>（规范性）</w:t>
      </w:r>
      <w:r>
        <w:rPr>
          <w:highlight w:val="none"/>
        </w:rPr>
        <w:br w:type="textWrapping"/>
      </w:r>
      <w:r>
        <w:rPr>
          <w:rFonts w:hint="eastAsia"/>
          <w:highlight w:val="none"/>
        </w:rPr>
        <w:t>评价指标计算方法</w:t>
      </w:r>
      <w:bookmarkEnd w:id="112"/>
      <w:bookmarkEnd w:id="113"/>
      <w:bookmarkEnd w:id="114"/>
    </w:p>
    <w:bookmarkEnd w:id="115"/>
    <w:p w14:paraId="0C533B1F">
      <w:pPr>
        <w:pStyle w:val="83"/>
        <w:spacing w:before="156" w:after="156"/>
        <w:ind w:firstLine="420"/>
        <w:rPr>
          <w:highlight w:val="none"/>
        </w:rPr>
      </w:pPr>
      <w:bookmarkStart w:id="116" w:name="_Toc191565421"/>
      <w:bookmarkStart w:id="117" w:name="_Toc637913049"/>
      <w:r>
        <w:rPr>
          <w:rFonts w:hint="eastAsia"/>
          <w:highlight w:val="none"/>
        </w:rPr>
        <w:t>出厂水水质样品达标率</w:t>
      </w:r>
      <w:bookmarkEnd w:id="116"/>
    </w:p>
    <w:p w14:paraId="5363D6EE">
      <w:pPr>
        <w:pStyle w:val="61"/>
        <w:ind w:firstLine="420"/>
        <w:rPr>
          <w:highlight w:val="none"/>
        </w:rPr>
      </w:pPr>
      <w:r>
        <w:rPr>
          <w:rFonts w:hint="eastAsia"/>
          <w:highlight w:val="none"/>
        </w:rPr>
        <w:t>评价期内达标的出厂水水质样品占总出厂水水质样品数量的比例。按照公式（</w:t>
      </w:r>
      <w:r>
        <w:rPr>
          <w:rFonts w:hint="eastAsia"/>
          <w:highlight w:val="none"/>
          <w:lang w:val="en-US" w:eastAsia="zh-CN"/>
        </w:rPr>
        <w:t>A</w:t>
      </w:r>
      <w:r>
        <w:rPr>
          <w:highlight w:val="none"/>
        </w:rPr>
        <w:t>.</w:t>
      </w:r>
      <w:r>
        <w:rPr>
          <w:rFonts w:hint="eastAsia"/>
          <w:highlight w:val="none"/>
        </w:rPr>
        <w:t>1）计算。</w:t>
      </w:r>
    </w:p>
    <w:p w14:paraId="6CF8B3F9">
      <w:pPr>
        <w:pStyle w:val="118"/>
        <w:rPr>
          <w:highlight w:val="none"/>
        </w:rPr>
      </w:pPr>
      <w:r>
        <w:rPr>
          <w:highlight w:val="none"/>
        </w:rPr>
        <w:tab/>
      </w:r>
      <m:oMath>
        <m:sSub>
          <m:sSubPr>
            <m:ctrlPr>
              <w:rPr>
                <w:rFonts w:ascii="Cambria Math" w:hAnsi="Cambria Math"/>
                <w:i/>
                <w:sz w:val="24"/>
                <w:szCs w:val="24"/>
                <w:highlight w:val="none"/>
              </w:rPr>
            </m:ctrlPr>
          </m:sSubPr>
          <m:e>
            <m:r>
              <m:rPr/>
              <w:rPr>
                <w:rFonts w:ascii="Cambria Math" w:hAnsi="Cambria Math"/>
                <w:sz w:val="24"/>
                <w:szCs w:val="24"/>
                <w:highlight w:val="none"/>
              </w:rPr>
              <m:t>R</m:t>
            </m:r>
            <m:ctrlPr>
              <w:rPr>
                <w:rFonts w:ascii="Cambria Math" w:hAnsi="Cambria Math"/>
                <w:i/>
                <w:sz w:val="24"/>
                <w:szCs w:val="24"/>
                <w:highlight w:val="none"/>
              </w:rPr>
            </m:ctrlPr>
          </m:e>
          <m:sub>
            <m:r>
              <m:rPr/>
              <w:rPr>
                <w:rFonts w:ascii="Cambria Math" w:hAnsi="Cambria Math"/>
                <w:sz w:val="24"/>
                <w:szCs w:val="24"/>
                <w:highlight w:val="none"/>
              </w:rPr>
              <m:t>cq</m:t>
            </m:r>
            <m:ctrlPr>
              <w:rPr>
                <w:rFonts w:ascii="Cambria Math" w:hAnsi="Cambria Math"/>
                <w:i/>
                <w:sz w:val="24"/>
                <w:szCs w:val="24"/>
                <w:highlight w:val="none"/>
              </w:rPr>
            </m:ctrlPr>
          </m:sub>
        </m:sSub>
        <m:r>
          <m:rPr/>
          <w:rPr>
            <w:rFonts w:ascii="Cambria Math" w:hAnsi="Cambria Math"/>
            <w:sz w:val="24"/>
            <w:szCs w:val="24"/>
            <w:highlight w:val="none"/>
          </w:rPr>
          <m:t>=</m:t>
        </m:r>
        <m:f>
          <m:fPr>
            <m:ctrlPr>
              <w:rPr>
                <w:rFonts w:ascii="Cambria Math" w:hAnsi="Cambria Math"/>
                <w:i/>
                <w:sz w:val="24"/>
                <w:szCs w:val="24"/>
                <w:highlight w:val="none"/>
              </w:rPr>
            </m:ctrlPr>
          </m:fPr>
          <m:num>
            <m:sSub>
              <m:sSubPr>
                <m:ctrlPr>
                  <w:rPr>
                    <w:rFonts w:ascii="Cambria Math" w:hAnsi="Cambria Math"/>
                    <w:i/>
                    <w:sz w:val="24"/>
                    <w:szCs w:val="24"/>
                    <w:highlight w:val="none"/>
                  </w:rPr>
                </m:ctrlPr>
              </m:sSubPr>
              <m:e>
                <m:r>
                  <m:rPr/>
                  <w:rPr>
                    <w:rFonts w:ascii="Cambria Math" w:hAnsi="Cambria Math"/>
                    <w:sz w:val="24"/>
                    <w:szCs w:val="24"/>
                    <w:highlight w:val="none"/>
                  </w:rPr>
                  <m:t>S</m:t>
                </m:r>
                <m:ctrlPr>
                  <w:rPr>
                    <w:rFonts w:ascii="Cambria Math" w:hAnsi="Cambria Math"/>
                    <w:i/>
                    <w:sz w:val="24"/>
                    <w:szCs w:val="24"/>
                    <w:highlight w:val="none"/>
                  </w:rPr>
                </m:ctrlPr>
              </m:e>
              <m:sub>
                <m:r>
                  <m:rPr/>
                  <w:rPr>
                    <w:rFonts w:ascii="Cambria Math" w:hAnsi="Cambria Math"/>
                    <w:sz w:val="24"/>
                    <w:szCs w:val="24"/>
                    <w:highlight w:val="none"/>
                  </w:rPr>
                  <m:t>cq</m:t>
                </m:r>
                <m:ctrlPr>
                  <w:rPr>
                    <w:rFonts w:ascii="Cambria Math" w:hAnsi="Cambria Math"/>
                    <w:i/>
                    <w:sz w:val="24"/>
                    <w:szCs w:val="24"/>
                    <w:highlight w:val="none"/>
                  </w:rPr>
                </m:ctrlPr>
              </m:sub>
            </m:sSub>
            <m:ctrlPr>
              <w:rPr>
                <w:rFonts w:ascii="Cambria Math" w:hAnsi="Cambria Math"/>
                <w:i/>
                <w:sz w:val="24"/>
                <w:szCs w:val="24"/>
                <w:highlight w:val="none"/>
              </w:rPr>
            </m:ctrlPr>
          </m:num>
          <m:den>
            <m:sSub>
              <m:sSubPr>
                <m:ctrlPr>
                  <w:rPr>
                    <w:rFonts w:ascii="Cambria Math" w:hAnsi="Cambria Math"/>
                    <w:i/>
                    <w:sz w:val="24"/>
                    <w:szCs w:val="24"/>
                    <w:highlight w:val="none"/>
                  </w:rPr>
                </m:ctrlPr>
              </m:sSubPr>
              <m:e>
                <m:r>
                  <m:rPr/>
                  <w:rPr>
                    <w:rFonts w:ascii="Cambria Math" w:hAnsi="Cambria Math"/>
                    <w:sz w:val="24"/>
                    <w:szCs w:val="24"/>
                    <w:highlight w:val="none"/>
                  </w:rPr>
                  <m:t>S</m:t>
                </m:r>
                <m:ctrlPr>
                  <w:rPr>
                    <w:rFonts w:ascii="Cambria Math" w:hAnsi="Cambria Math"/>
                    <w:i/>
                    <w:sz w:val="24"/>
                    <w:szCs w:val="24"/>
                    <w:highlight w:val="none"/>
                  </w:rPr>
                </m:ctrlPr>
              </m:e>
              <m:sub>
                <m:r>
                  <m:rPr/>
                  <w:rPr>
                    <w:rFonts w:ascii="Cambria Math" w:hAnsi="Cambria Math"/>
                    <w:sz w:val="24"/>
                    <w:szCs w:val="24"/>
                    <w:highlight w:val="none"/>
                  </w:rPr>
                  <m:t>c</m:t>
                </m:r>
                <m:ctrlPr>
                  <w:rPr>
                    <w:rFonts w:ascii="Cambria Math" w:hAnsi="Cambria Math"/>
                    <w:i/>
                    <w:sz w:val="24"/>
                    <w:szCs w:val="24"/>
                    <w:highlight w:val="none"/>
                  </w:rPr>
                </m:ctrlPr>
              </m:sub>
            </m:sSub>
            <m:ctrlPr>
              <w:rPr>
                <w:rFonts w:ascii="Cambria Math" w:hAnsi="Cambria Math"/>
                <w:i/>
                <w:sz w:val="24"/>
                <w:szCs w:val="24"/>
                <w:highlight w:val="none"/>
              </w:rPr>
            </m:ctrlPr>
          </m:den>
        </m:f>
      </m:oMath>
      <w:r>
        <w:rPr>
          <w:rFonts w:ascii="微软雅黑" w:hAnsi="微软雅黑" w:eastAsia="微软雅黑"/>
          <w:highlight w:val="none"/>
        </w:rPr>
        <w:tab/>
      </w:r>
      <w:r>
        <w:rPr>
          <w:rFonts w:hint="eastAsia"/>
          <w:highlight w:val="none"/>
        </w:rPr>
        <w:t>（</w:t>
      </w:r>
      <w:r>
        <w:rPr>
          <w:rFonts w:hint="eastAsia"/>
          <w:highlight w:val="none"/>
          <w:lang w:val="en-US" w:eastAsia="zh-CN"/>
        </w:rPr>
        <w:t>A</w:t>
      </w:r>
      <w:r>
        <w:rPr>
          <w:highlight w:val="none"/>
        </w:rPr>
        <w:t>.</w:t>
      </w:r>
      <w:r>
        <w:rPr>
          <w:rFonts w:hint="eastAsia"/>
          <w:highlight w:val="none"/>
        </w:rPr>
        <w:t>1）</w:t>
      </w:r>
    </w:p>
    <w:p w14:paraId="4D293912">
      <w:pPr>
        <w:pStyle w:val="60"/>
        <w:spacing w:line="279" w:lineRule="auto"/>
        <w:ind w:firstLine="420"/>
        <w:rPr>
          <w:highlight w:val="none"/>
        </w:rPr>
      </w:pPr>
      <w:r>
        <w:rPr>
          <w:rFonts w:hint="eastAsia"/>
          <w:highlight w:val="none"/>
        </w:rPr>
        <w:t>式中：</w:t>
      </w:r>
    </w:p>
    <w:p w14:paraId="780B47D0">
      <w:pPr>
        <w:pStyle w:val="61"/>
        <w:ind w:firstLine="1050" w:firstLineChars="500"/>
        <w:rPr>
          <w:highlight w:val="none"/>
        </w:rPr>
      </w:pPr>
      <w:r>
        <w:rPr>
          <w:rFonts w:hint="eastAsia"/>
          <w:i/>
          <w:iCs/>
          <w:highlight w:val="none"/>
        </w:rPr>
        <w:t>R</w:t>
      </w:r>
      <w:r>
        <w:rPr>
          <w:rFonts w:hint="eastAsia"/>
          <w:i/>
          <w:iCs/>
          <w:highlight w:val="none"/>
          <w:vertAlign w:val="subscript"/>
        </w:rPr>
        <w:t xml:space="preserve">cq </w:t>
      </w:r>
      <w:r>
        <w:rPr>
          <w:rFonts w:hint="eastAsia"/>
          <w:highlight w:val="none"/>
        </w:rPr>
        <w:t>——评价期内出厂水水质样品达标率；</w:t>
      </w:r>
    </w:p>
    <w:p w14:paraId="47B86896">
      <w:pPr>
        <w:pStyle w:val="61"/>
        <w:ind w:firstLine="1050" w:firstLineChars="500"/>
        <w:rPr>
          <w:highlight w:val="none"/>
        </w:rPr>
      </w:pPr>
      <w:r>
        <w:rPr>
          <w:rFonts w:hint="eastAsia"/>
          <w:i/>
          <w:iCs/>
          <w:highlight w:val="none"/>
        </w:rPr>
        <w:t>S</w:t>
      </w:r>
      <w:r>
        <w:rPr>
          <w:rFonts w:hint="eastAsia"/>
          <w:i/>
          <w:iCs/>
          <w:highlight w:val="none"/>
          <w:vertAlign w:val="subscript"/>
        </w:rPr>
        <w:t xml:space="preserve">cq </w:t>
      </w:r>
      <w:r>
        <w:rPr>
          <w:rFonts w:hint="eastAsia"/>
          <w:highlight w:val="none"/>
        </w:rPr>
        <w:t>——评价期内达标的出厂水水质样品数量（个）；</w:t>
      </w:r>
    </w:p>
    <w:p w14:paraId="03C4B769">
      <w:pPr>
        <w:pStyle w:val="61"/>
        <w:ind w:firstLine="1050" w:firstLineChars="500"/>
        <w:rPr>
          <w:highlight w:val="none"/>
        </w:rPr>
      </w:pPr>
      <w:r>
        <w:rPr>
          <w:rFonts w:hint="eastAsia"/>
          <w:i/>
          <w:iCs/>
          <w:highlight w:val="none"/>
        </w:rPr>
        <w:t>S</w:t>
      </w:r>
      <w:r>
        <w:rPr>
          <w:rFonts w:hint="eastAsia"/>
          <w:i/>
          <w:iCs/>
          <w:highlight w:val="none"/>
          <w:vertAlign w:val="subscript"/>
        </w:rPr>
        <w:t xml:space="preserve">c  </w:t>
      </w:r>
      <w:r>
        <w:rPr>
          <w:rFonts w:hint="eastAsia"/>
          <w:highlight w:val="none"/>
        </w:rPr>
        <w:t>——评价期内出厂水水质样品总数（个）。</w:t>
      </w:r>
    </w:p>
    <w:p w14:paraId="698B366A">
      <w:pPr>
        <w:pStyle w:val="83"/>
        <w:spacing w:before="156" w:after="156"/>
        <w:ind w:firstLine="420"/>
        <w:rPr>
          <w:highlight w:val="none"/>
        </w:rPr>
      </w:pPr>
      <w:r>
        <w:rPr>
          <w:rFonts w:hint="eastAsia"/>
          <w:highlight w:val="none"/>
        </w:rPr>
        <w:t>浑浊度达标率</w:t>
      </w:r>
    </w:p>
    <w:p w14:paraId="3155BE9A">
      <w:pPr>
        <w:pStyle w:val="61"/>
        <w:ind w:firstLine="420"/>
        <w:rPr>
          <w:highlight w:val="none"/>
        </w:rPr>
      </w:pPr>
      <w:r>
        <w:rPr>
          <w:rFonts w:hint="eastAsia"/>
          <w:highlight w:val="none"/>
        </w:rPr>
        <w:t>评价期内以所有检测数据为评价依据，沉淀池出水浑浊度检测合格次数占检测总次数的比例。按照公式（</w:t>
      </w:r>
      <w:r>
        <w:rPr>
          <w:rFonts w:hint="eastAsia"/>
          <w:highlight w:val="none"/>
          <w:lang w:val="en-US" w:eastAsia="zh-CN"/>
        </w:rPr>
        <w:t>A</w:t>
      </w:r>
      <w:r>
        <w:rPr>
          <w:highlight w:val="none"/>
        </w:rPr>
        <w:t>.</w:t>
      </w:r>
      <w:r>
        <w:rPr>
          <w:rFonts w:hint="eastAsia"/>
          <w:highlight w:val="none"/>
        </w:rPr>
        <w:t>2-1）计算。</w:t>
      </w:r>
    </w:p>
    <w:p w14:paraId="52DE7BC4">
      <w:pPr>
        <w:pStyle w:val="61"/>
        <w:ind w:firstLine="420"/>
        <w:rPr>
          <w:highlight w:val="none"/>
        </w:rPr>
      </w:pPr>
      <w:r>
        <w:rPr>
          <w:rFonts w:hint="eastAsia"/>
          <w:highlight w:val="none"/>
        </w:rPr>
        <w:t xml:space="preserve">                                 </w:t>
      </w:r>
      <m:oMath>
        <m:sSub>
          <m:sSubPr>
            <m:ctrlPr>
              <w:rPr>
                <w:rFonts w:ascii="Cambria Math" w:hAnsi="Cambria Math"/>
                <w:i/>
                <w:sz w:val="24"/>
                <w:szCs w:val="24"/>
                <w:highlight w:val="none"/>
              </w:rPr>
            </m:ctrlPr>
          </m:sSubPr>
          <m:e>
            <m:r>
              <m:rPr/>
              <w:rPr>
                <w:rFonts w:ascii="Cambria Math" w:hAnsi="Cambria Math"/>
                <w:sz w:val="24"/>
                <w:szCs w:val="24"/>
                <w:highlight w:val="none"/>
              </w:rPr>
              <m:t>S</m:t>
            </m:r>
            <m:ctrlPr>
              <w:rPr>
                <w:rFonts w:ascii="Cambria Math" w:hAnsi="Cambria Math"/>
                <w:i/>
                <w:sz w:val="24"/>
                <w:szCs w:val="24"/>
                <w:highlight w:val="none"/>
              </w:rPr>
            </m:ctrlPr>
          </m:e>
          <m:sub>
            <m:r>
              <m:rPr/>
              <w:rPr>
                <w:rFonts w:ascii="Cambria Math" w:hAnsi="Cambria Math"/>
                <w:sz w:val="24"/>
                <w:szCs w:val="24"/>
                <w:highlight w:val="none"/>
              </w:rPr>
              <m:t>ct</m:t>
            </m:r>
            <m:ctrlPr>
              <w:rPr>
                <w:rFonts w:ascii="Cambria Math" w:hAnsi="Cambria Math"/>
                <w:i/>
                <w:sz w:val="24"/>
                <w:szCs w:val="24"/>
                <w:highlight w:val="none"/>
              </w:rPr>
            </m:ctrlPr>
          </m:sub>
        </m:sSub>
        <m:r>
          <m:rPr/>
          <w:rPr>
            <w:rFonts w:ascii="Cambria Math" w:hAnsi="Cambria Math"/>
            <w:sz w:val="24"/>
            <w:szCs w:val="24"/>
            <w:highlight w:val="none"/>
          </w:rPr>
          <m:t>=</m:t>
        </m:r>
        <m:f>
          <m:fPr>
            <m:ctrlPr>
              <w:rPr>
                <w:rFonts w:ascii="Cambria Math" w:hAnsi="Cambria Math"/>
                <w:i/>
                <w:sz w:val="24"/>
                <w:szCs w:val="24"/>
                <w:highlight w:val="none"/>
              </w:rPr>
            </m:ctrlPr>
          </m:fPr>
          <m:num>
            <m:sSub>
              <m:sSubPr>
                <m:ctrlPr>
                  <w:rPr>
                    <w:rFonts w:ascii="Cambria Math" w:hAnsi="Cambria Math"/>
                    <w:i/>
                    <w:sz w:val="24"/>
                    <w:szCs w:val="24"/>
                    <w:highlight w:val="none"/>
                  </w:rPr>
                </m:ctrlPr>
              </m:sSubPr>
              <m:e>
                <m:r>
                  <m:rPr/>
                  <w:rPr>
                    <w:rFonts w:ascii="Cambria Math" w:hAnsi="Cambria Math"/>
                    <w:sz w:val="24"/>
                    <w:szCs w:val="24"/>
                    <w:highlight w:val="none"/>
                  </w:rPr>
                  <m:t>H</m:t>
                </m:r>
                <m:ctrlPr>
                  <w:rPr>
                    <w:rFonts w:ascii="Cambria Math" w:hAnsi="Cambria Math"/>
                    <w:i/>
                    <w:sz w:val="24"/>
                    <w:szCs w:val="24"/>
                    <w:highlight w:val="none"/>
                  </w:rPr>
                </m:ctrlPr>
              </m:e>
              <m:sub>
                <m:r>
                  <m:rPr/>
                  <w:rPr>
                    <w:rFonts w:ascii="Cambria Math" w:hAnsi="Cambria Math"/>
                    <w:sz w:val="24"/>
                    <w:szCs w:val="24"/>
                    <w:highlight w:val="none"/>
                  </w:rPr>
                  <m:t>ct</m:t>
                </m:r>
                <m:ctrlPr>
                  <w:rPr>
                    <w:rFonts w:ascii="Cambria Math" w:hAnsi="Cambria Math"/>
                    <w:i/>
                    <w:sz w:val="24"/>
                    <w:szCs w:val="24"/>
                    <w:highlight w:val="none"/>
                  </w:rPr>
                </m:ctrlPr>
              </m:sub>
            </m:sSub>
            <m:ctrlPr>
              <w:rPr>
                <w:rFonts w:ascii="Cambria Math" w:hAnsi="Cambria Math"/>
                <w:i/>
                <w:sz w:val="24"/>
                <w:szCs w:val="24"/>
                <w:highlight w:val="none"/>
              </w:rPr>
            </m:ctrlPr>
          </m:num>
          <m:den>
            <m:sSub>
              <m:sSubPr>
                <m:ctrlPr>
                  <w:rPr>
                    <w:rFonts w:ascii="Cambria Math" w:hAnsi="Cambria Math"/>
                    <w:i/>
                    <w:sz w:val="24"/>
                    <w:szCs w:val="24"/>
                    <w:highlight w:val="none"/>
                  </w:rPr>
                </m:ctrlPr>
              </m:sSubPr>
              <m:e>
                <m:r>
                  <m:rPr/>
                  <w:rPr>
                    <w:rFonts w:ascii="Cambria Math" w:hAnsi="Cambria Math"/>
                    <w:sz w:val="24"/>
                    <w:szCs w:val="24"/>
                    <w:highlight w:val="none"/>
                  </w:rPr>
                  <m:t>H</m:t>
                </m:r>
                <m:ctrlPr>
                  <w:rPr>
                    <w:rFonts w:ascii="Cambria Math" w:hAnsi="Cambria Math"/>
                    <w:i/>
                    <w:sz w:val="24"/>
                    <w:szCs w:val="24"/>
                    <w:highlight w:val="none"/>
                  </w:rPr>
                </m:ctrlPr>
              </m:e>
              <m:sub>
                <m:r>
                  <m:rPr/>
                  <w:rPr>
                    <w:rFonts w:ascii="Cambria Math" w:hAnsi="Cambria Math"/>
                    <w:sz w:val="24"/>
                    <w:szCs w:val="24"/>
                    <w:highlight w:val="none"/>
                  </w:rPr>
                  <m:t>c</m:t>
                </m:r>
                <m:ctrlPr>
                  <w:rPr>
                    <w:rFonts w:ascii="Cambria Math" w:hAnsi="Cambria Math"/>
                    <w:i/>
                    <w:sz w:val="24"/>
                    <w:szCs w:val="24"/>
                    <w:highlight w:val="none"/>
                  </w:rPr>
                </m:ctrlPr>
              </m:sub>
            </m:sSub>
            <m:ctrlPr>
              <w:rPr>
                <w:rFonts w:ascii="Cambria Math" w:hAnsi="Cambria Math"/>
                <w:i/>
                <w:sz w:val="24"/>
                <w:szCs w:val="24"/>
                <w:highlight w:val="none"/>
              </w:rPr>
            </m:ctrlPr>
          </m:den>
        </m:f>
      </m:oMath>
      <w:r>
        <w:rPr>
          <w:rFonts w:hint="eastAsia" w:ascii="微软雅黑" w:hAnsi="微软雅黑" w:eastAsia="微软雅黑" w:cs="微软雅黑"/>
          <w:szCs w:val="21"/>
          <w:highlight w:val="none"/>
        </w:rPr>
        <w:t>..............................................................................</w:t>
      </w:r>
      <w:r>
        <w:rPr>
          <w:rFonts w:hint="eastAsia"/>
          <w:highlight w:val="none"/>
        </w:rPr>
        <w:t>（</w:t>
      </w:r>
      <w:r>
        <w:rPr>
          <w:rFonts w:hint="eastAsia"/>
          <w:highlight w:val="none"/>
          <w:lang w:val="en-US" w:eastAsia="zh-CN"/>
        </w:rPr>
        <w:t>A</w:t>
      </w:r>
      <w:r>
        <w:rPr>
          <w:highlight w:val="none"/>
        </w:rPr>
        <w:t>.</w:t>
      </w:r>
      <w:r>
        <w:rPr>
          <w:rFonts w:hint="eastAsia"/>
          <w:highlight w:val="none"/>
        </w:rPr>
        <w:t>2-1）</w:t>
      </w:r>
      <w:r>
        <w:rPr>
          <w:rFonts w:ascii="微软雅黑" w:hAnsi="微软雅黑" w:eastAsia="微软雅黑"/>
          <w:highlight w:val="none"/>
        </w:rPr>
        <w:tab/>
      </w:r>
      <w:r>
        <w:rPr>
          <w:rFonts w:hint="eastAsia"/>
          <w:highlight w:val="none"/>
        </w:rPr>
        <w:t xml:space="preserve">  </w:t>
      </w:r>
    </w:p>
    <w:p w14:paraId="498C9EB0">
      <w:pPr>
        <w:pStyle w:val="60"/>
        <w:spacing w:line="278" w:lineRule="auto"/>
        <w:ind w:firstLine="420"/>
        <w:rPr>
          <w:highlight w:val="none"/>
        </w:rPr>
      </w:pPr>
      <w:r>
        <w:rPr>
          <w:rFonts w:hint="eastAsia"/>
          <w:highlight w:val="none"/>
        </w:rPr>
        <w:t>式中：</w:t>
      </w:r>
    </w:p>
    <w:p w14:paraId="70AA46EC">
      <w:pPr>
        <w:pStyle w:val="61"/>
        <w:ind w:firstLine="1050" w:firstLineChars="500"/>
        <w:rPr>
          <w:highlight w:val="none"/>
        </w:rPr>
      </w:pPr>
      <w:r>
        <w:rPr>
          <w:rFonts w:hint="eastAsia"/>
          <w:i/>
          <w:iCs/>
          <w:highlight w:val="none"/>
        </w:rPr>
        <w:t>S</w:t>
      </w:r>
      <w:r>
        <w:rPr>
          <w:rFonts w:hint="eastAsia"/>
          <w:i/>
          <w:iCs/>
          <w:highlight w:val="none"/>
          <w:vertAlign w:val="subscript"/>
        </w:rPr>
        <w:t xml:space="preserve">ct </w:t>
      </w:r>
      <w:r>
        <w:rPr>
          <w:rFonts w:hint="eastAsia"/>
          <w:highlight w:val="none"/>
        </w:rPr>
        <w:t>——评价期内沉淀池出水浑浊度达标率；</w:t>
      </w:r>
    </w:p>
    <w:p w14:paraId="77C04AA9">
      <w:pPr>
        <w:pStyle w:val="61"/>
        <w:ind w:firstLine="1050" w:firstLineChars="500"/>
        <w:rPr>
          <w:highlight w:val="none"/>
        </w:rPr>
      </w:pPr>
      <w:r>
        <w:rPr>
          <w:rFonts w:hint="eastAsia"/>
          <w:i/>
          <w:iCs/>
          <w:highlight w:val="none"/>
        </w:rPr>
        <w:t>H</w:t>
      </w:r>
      <w:r>
        <w:rPr>
          <w:rFonts w:hint="eastAsia"/>
          <w:i/>
          <w:iCs/>
          <w:highlight w:val="none"/>
          <w:vertAlign w:val="subscript"/>
        </w:rPr>
        <w:t xml:space="preserve">ct </w:t>
      </w:r>
      <w:r>
        <w:rPr>
          <w:rFonts w:hint="eastAsia"/>
          <w:highlight w:val="none"/>
        </w:rPr>
        <w:t>——评价期内沉淀池出水浑浊度达标的样品数量（个）；</w:t>
      </w:r>
      <w:r>
        <w:rPr>
          <w:rFonts w:ascii="微软雅黑" w:hAnsi="微软雅黑" w:eastAsia="微软雅黑"/>
          <w:highlight w:val="none"/>
        </w:rPr>
        <w:tab/>
      </w:r>
    </w:p>
    <w:p w14:paraId="4921E2A7">
      <w:pPr>
        <w:pStyle w:val="61"/>
        <w:ind w:firstLine="1050" w:firstLineChars="500"/>
        <w:rPr>
          <w:highlight w:val="none"/>
        </w:rPr>
      </w:pPr>
      <w:r>
        <w:rPr>
          <w:rFonts w:hint="eastAsia"/>
          <w:i/>
          <w:iCs/>
          <w:highlight w:val="none"/>
        </w:rPr>
        <w:t>H</w:t>
      </w:r>
      <w:r>
        <w:rPr>
          <w:rFonts w:hint="eastAsia"/>
          <w:i/>
          <w:iCs/>
          <w:highlight w:val="none"/>
          <w:vertAlign w:val="subscript"/>
        </w:rPr>
        <w:t xml:space="preserve">c  </w:t>
      </w:r>
      <w:r>
        <w:rPr>
          <w:rFonts w:hint="eastAsia"/>
          <w:highlight w:val="none"/>
        </w:rPr>
        <w:t>——评价期内沉淀池出水浑浊度样品检测总数（个）。</w:t>
      </w:r>
    </w:p>
    <w:p w14:paraId="2BE7A231">
      <w:pPr>
        <w:pStyle w:val="61"/>
        <w:ind w:firstLine="420"/>
        <w:rPr>
          <w:highlight w:val="none"/>
        </w:rPr>
      </w:pPr>
    </w:p>
    <w:p w14:paraId="7DDD28D8">
      <w:pPr>
        <w:pStyle w:val="61"/>
        <w:ind w:firstLine="420"/>
        <w:rPr>
          <w:highlight w:val="none"/>
        </w:rPr>
      </w:pPr>
      <w:r>
        <w:rPr>
          <w:rFonts w:hint="eastAsia"/>
          <w:highlight w:val="none"/>
        </w:rPr>
        <w:t>评价期内以所有检测数据为评价依据，滤池出水浑浊度检测合格次数占检测总次数的比例。按照公式（</w:t>
      </w:r>
      <w:r>
        <w:rPr>
          <w:rFonts w:hint="eastAsia"/>
          <w:highlight w:val="none"/>
          <w:lang w:val="en-US" w:eastAsia="zh-CN"/>
        </w:rPr>
        <w:t>A</w:t>
      </w:r>
      <w:r>
        <w:rPr>
          <w:highlight w:val="none"/>
        </w:rPr>
        <w:t>.</w:t>
      </w:r>
      <w:r>
        <w:rPr>
          <w:rFonts w:hint="eastAsia"/>
          <w:highlight w:val="none"/>
        </w:rPr>
        <w:t>2-2）计算。</w:t>
      </w:r>
    </w:p>
    <w:p w14:paraId="7863D212">
      <w:pPr>
        <w:pStyle w:val="61"/>
        <w:ind w:firstLine="420"/>
        <w:rPr>
          <w:highlight w:val="none"/>
        </w:rPr>
      </w:pPr>
      <w:r>
        <w:rPr>
          <w:rFonts w:hint="eastAsia"/>
          <w:highlight w:val="none"/>
        </w:rPr>
        <w:t xml:space="preserve">                                 </w:t>
      </w:r>
      <m:oMath>
        <m:sSub>
          <m:sSubPr>
            <m:ctrlPr>
              <w:rPr>
                <w:rFonts w:ascii="Cambria Math" w:hAnsi="Cambria Math"/>
                <w:i/>
                <w:sz w:val="24"/>
                <w:szCs w:val="24"/>
                <w:highlight w:val="none"/>
              </w:rPr>
            </m:ctrlPr>
          </m:sSubPr>
          <m:e>
            <m:r>
              <m:rPr/>
              <w:rPr>
                <w:rFonts w:ascii="Cambria Math" w:hAnsi="Cambria Math"/>
                <w:sz w:val="24"/>
                <w:szCs w:val="24"/>
                <w:highlight w:val="none"/>
              </w:rPr>
              <m:t>F</m:t>
            </m:r>
            <m:ctrlPr>
              <w:rPr>
                <w:rFonts w:ascii="Cambria Math" w:hAnsi="Cambria Math"/>
                <w:i/>
                <w:sz w:val="24"/>
                <w:szCs w:val="24"/>
                <w:highlight w:val="none"/>
              </w:rPr>
            </m:ctrlPr>
          </m:e>
          <m:sub>
            <m:r>
              <m:rPr/>
              <w:rPr>
                <w:rFonts w:ascii="Cambria Math" w:hAnsi="Cambria Math"/>
                <w:sz w:val="24"/>
                <w:szCs w:val="24"/>
                <w:highlight w:val="none"/>
              </w:rPr>
              <m:t>ct</m:t>
            </m:r>
            <m:ctrlPr>
              <w:rPr>
                <w:rFonts w:ascii="Cambria Math" w:hAnsi="Cambria Math"/>
                <w:i/>
                <w:sz w:val="24"/>
                <w:szCs w:val="24"/>
                <w:highlight w:val="none"/>
              </w:rPr>
            </m:ctrlPr>
          </m:sub>
        </m:sSub>
        <m:r>
          <m:rPr/>
          <w:rPr>
            <w:rFonts w:ascii="Cambria Math" w:hAnsi="Cambria Math"/>
            <w:sz w:val="24"/>
            <w:szCs w:val="24"/>
            <w:highlight w:val="none"/>
          </w:rPr>
          <m:t>=</m:t>
        </m:r>
        <m:f>
          <m:fPr>
            <m:ctrlPr>
              <w:rPr>
                <w:rFonts w:ascii="Cambria Math" w:hAnsi="Cambria Math"/>
                <w:i/>
                <w:sz w:val="24"/>
                <w:szCs w:val="24"/>
                <w:highlight w:val="none"/>
              </w:rPr>
            </m:ctrlPr>
          </m:fPr>
          <m:num>
            <m:sSub>
              <m:sSubPr>
                <m:ctrlPr>
                  <w:rPr>
                    <w:rFonts w:ascii="Cambria Math" w:hAnsi="Cambria Math"/>
                    <w:i/>
                    <w:sz w:val="24"/>
                    <w:szCs w:val="24"/>
                    <w:highlight w:val="none"/>
                  </w:rPr>
                </m:ctrlPr>
              </m:sSubPr>
              <m:e>
                <m:r>
                  <m:rPr/>
                  <w:rPr>
                    <w:rFonts w:ascii="Cambria Math" w:hAnsi="Cambria Math"/>
                    <w:sz w:val="24"/>
                    <w:szCs w:val="24"/>
                    <w:highlight w:val="none"/>
                  </w:rPr>
                  <m:t>L</m:t>
                </m:r>
                <m:ctrlPr>
                  <w:rPr>
                    <w:rFonts w:ascii="Cambria Math" w:hAnsi="Cambria Math"/>
                    <w:i/>
                    <w:sz w:val="24"/>
                    <w:szCs w:val="24"/>
                    <w:highlight w:val="none"/>
                  </w:rPr>
                </m:ctrlPr>
              </m:e>
              <m:sub>
                <m:r>
                  <m:rPr/>
                  <w:rPr>
                    <w:rFonts w:ascii="Cambria Math" w:hAnsi="Cambria Math"/>
                    <w:sz w:val="24"/>
                    <w:szCs w:val="24"/>
                    <w:highlight w:val="none"/>
                  </w:rPr>
                  <m:t>ct</m:t>
                </m:r>
                <m:ctrlPr>
                  <w:rPr>
                    <w:rFonts w:ascii="Cambria Math" w:hAnsi="Cambria Math"/>
                    <w:i/>
                    <w:sz w:val="24"/>
                    <w:szCs w:val="24"/>
                    <w:highlight w:val="none"/>
                  </w:rPr>
                </m:ctrlPr>
              </m:sub>
            </m:sSub>
            <m:ctrlPr>
              <w:rPr>
                <w:rFonts w:ascii="Cambria Math" w:hAnsi="Cambria Math"/>
                <w:i/>
                <w:sz w:val="24"/>
                <w:szCs w:val="24"/>
                <w:highlight w:val="none"/>
              </w:rPr>
            </m:ctrlPr>
          </m:num>
          <m:den>
            <m:sSub>
              <m:sSubPr>
                <m:ctrlPr>
                  <w:rPr>
                    <w:rFonts w:ascii="Cambria Math" w:hAnsi="Cambria Math"/>
                    <w:i/>
                    <w:sz w:val="24"/>
                    <w:szCs w:val="24"/>
                    <w:highlight w:val="none"/>
                  </w:rPr>
                </m:ctrlPr>
              </m:sSubPr>
              <m:e>
                <m:r>
                  <m:rPr/>
                  <w:rPr>
                    <w:rFonts w:ascii="Cambria Math" w:hAnsi="Cambria Math"/>
                    <w:sz w:val="24"/>
                    <w:szCs w:val="24"/>
                    <w:highlight w:val="none"/>
                  </w:rPr>
                  <m:t>L</m:t>
                </m:r>
                <m:ctrlPr>
                  <w:rPr>
                    <w:rFonts w:ascii="Cambria Math" w:hAnsi="Cambria Math"/>
                    <w:i/>
                    <w:sz w:val="24"/>
                    <w:szCs w:val="24"/>
                    <w:highlight w:val="none"/>
                  </w:rPr>
                </m:ctrlPr>
              </m:e>
              <m:sub>
                <m:r>
                  <m:rPr/>
                  <w:rPr>
                    <w:rFonts w:ascii="Cambria Math" w:hAnsi="Cambria Math"/>
                    <w:sz w:val="24"/>
                    <w:szCs w:val="24"/>
                    <w:highlight w:val="none"/>
                  </w:rPr>
                  <m:t>c</m:t>
                </m:r>
                <m:ctrlPr>
                  <w:rPr>
                    <w:rFonts w:ascii="Cambria Math" w:hAnsi="Cambria Math"/>
                    <w:i/>
                    <w:sz w:val="24"/>
                    <w:szCs w:val="24"/>
                    <w:highlight w:val="none"/>
                  </w:rPr>
                </m:ctrlPr>
              </m:sub>
            </m:sSub>
            <m:ctrlPr>
              <w:rPr>
                <w:rFonts w:ascii="Cambria Math" w:hAnsi="Cambria Math"/>
                <w:i/>
                <w:sz w:val="24"/>
                <w:szCs w:val="24"/>
                <w:highlight w:val="none"/>
              </w:rPr>
            </m:ctrlPr>
          </m:den>
        </m:f>
      </m:oMath>
      <w:r>
        <w:rPr>
          <w:rFonts w:hint="eastAsia" w:ascii="微软雅黑" w:hAnsi="微软雅黑" w:eastAsia="微软雅黑" w:cs="微软雅黑"/>
          <w:szCs w:val="21"/>
          <w:highlight w:val="none"/>
        </w:rPr>
        <w:t>..............................................................................</w:t>
      </w:r>
      <w:r>
        <w:rPr>
          <w:rFonts w:hint="eastAsia"/>
          <w:highlight w:val="none"/>
        </w:rPr>
        <w:t>（</w:t>
      </w:r>
      <w:r>
        <w:rPr>
          <w:rFonts w:hint="eastAsia"/>
          <w:highlight w:val="none"/>
          <w:lang w:val="en-US" w:eastAsia="zh-CN"/>
        </w:rPr>
        <w:t>A</w:t>
      </w:r>
      <w:r>
        <w:rPr>
          <w:highlight w:val="none"/>
        </w:rPr>
        <w:t>.</w:t>
      </w:r>
      <w:r>
        <w:rPr>
          <w:rFonts w:hint="eastAsia"/>
          <w:highlight w:val="none"/>
        </w:rPr>
        <w:t>2-2）</w:t>
      </w:r>
      <w:r>
        <w:rPr>
          <w:rFonts w:ascii="微软雅黑" w:hAnsi="微软雅黑" w:eastAsia="微软雅黑"/>
          <w:highlight w:val="none"/>
        </w:rPr>
        <w:tab/>
      </w:r>
      <w:r>
        <w:rPr>
          <w:rFonts w:hint="eastAsia"/>
          <w:highlight w:val="none"/>
        </w:rPr>
        <w:t xml:space="preserve">  </w:t>
      </w:r>
    </w:p>
    <w:p w14:paraId="4D087C26">
      <w:pPr>
        <w:pStyle w:val="60"/>
        <w:spacing w:line="278" w:lineRule="auto"/>
        <w:ind w:firstLine="420"/>
        <w:rPr>
          <w:highlight w:val="none"/>
        </w:rPr>
      </w:pPr>
      <w:r>
        <w:rPr>
          <w:rFonts w:hint="eastAsia"/>
          <w:highlight w:val="none"/>
        </w:rPr>
        <w:t>式中：</w:t>
      </w:r>
    </w:p>
    <w:p w14:paraId="2F6A5F3B">
      <w:pPr>
        <w:pStyle w:val="61"/>
        <w:ind w:firstLine="1050" w:firstLineChars="500"/>
        <w:rPr>
          <w:highlight w:val="none"/>
        </w:rPr>
      </w:pPr>
      <w:r>
        <w:rPr>
          <w:rFonts w:hint="eastAsia"/>
          <w:i/>
          <w:iCs/>
          <w:highlight w:val="none"/>
        </w:rPr>
        <w:t>F</w:t>
      </w:r>
      <w:r>
        <w:rPr>
          <w:rFonts w:hint="eastAsia"/>
          <w:i/>
          <w:iCs/>
          <w:highlight w:val="none"/>
          <w:vertAlign w:val="subscript"/>
        </w:rPr>
        <w:t xml:space="preserve">ct </w:t>
      </w:r>
      <w:r>
        <w:rPr>
          <w:rFonts w:hint="eastAsia"/>
          <w:highlight w:val="none"/>
        </w:rPr>
        <w:t>——评价期内滤池出水浑浊度达标率；</w:t>
      </w:r>
    </w:p>
    <w:p w14:paraId="27B20679">
      <w:pPr>
        <w:pStyle w:val="61"/>
        <w:ind w:firstLine="1050" w:firstLineChars="500"/>
        <w:rPr>
          <w:highlight w:val="none"/>
        </w:rPr>
      </w:pPr>
      <w:r>
        <w:rPr>
          <w:rFonts w:hint="eastAsia"/>
          <w:i/>
          <w:iCs/>
          <w:highlight w:val="none"/>
        </w:rPr>
        <w:t>L</w:t>
      </w:r>
      <w:r>
        <w:rPr>
          <w:rFonts w:hint="eastAsia"/>
          <w:i/>
          <w:iCs/>
          <w:highlight w:val="none"/>
          <w:vertAlign w:val="subscript"/>
        </w:rPr>
        <w:t xml:space="preserve">ct </w:t>
      </w:r>
      <w:r>
        <w:rPr>
          <w:rFonts w:hint="eastAsia"/>
          <w:highlight w:val="none"/>
        </w:rPr>
        <w:t>——评价期内滤池出水浑浊度达标的样品数量（个）；</w:t>
      </w:r>
      <w:r>
        <w:rPr>
          <w:rFonts w:ascii="微软雅黑" w:hAnsi="微软雅黑" w:eastAsia="微软雅黑"/>
          <w:highlight w:val="none"/>
        </w:rPr>
        <w:tab/>
      </w:r>
    </w:p>
    <w:p w14:paraId="6026F700">
      <w:pPr>
        <w:pStyle w:val="61"/>
        <w:ind w:firstLine="1050" w:firstLineChars="500"/>
        <w:rPr>
          <w:highlight w:val="none"/>
        </w:rPr>
      </w:pPr>
      <w:r>
        <w:rPr>
          <w:rFonts w:hint="eastAsia"/>
          <w:i/>
          <w:iCs/>
          <w:highlight w:val="none"/>
        </w:rPr>
        <w:t>L</w:t>
      </w:r>
      <w:r>
        <w:rPr>
          <w:rFonts w:hint="eastAsia"/>
          <w:i/>
          <w:iCs/>
          <w:highlight w:val="none"/>
          <w:vertAlign w:val="subscript"/>
        </w:rPr>
        <w:t xml:space="preserve">c  </w:t>
      </w:r>
      <w:r>
        <w:rPr>
          <w:rFonts w:hint="eastAsia"/>
          <w:highlight w:val="none"/>
        </w:rPr>
        <w:t>——评价期内滤池出水浑浊度样品检测总数（个）。</w:t>
      </w:r>
    </w:p>
    <w:p w14:paraId="5615BC98">
      <w:pPr>
        <w:pStyle w:val="61"/>
        <w:ind w:firstLine="420"/>
        <w:rPr>
          <w:highlight w:val="none"/>
        </w:rPr>
      </w:pPr>
    </w:p>
    <w:p w14:paraId="5B94655A">
      <w:pPr>
        <w:pStyle w:val="83"/>
        <w:spacing w:before="156" w:after="156"/>
        <w:ind w:firstLine="420"/>
        <w:rPr>
          <w:highlight w:val="none"/>
        </w:rPr>
      </w:pPr>
      <w:r>
        <w:rPr>
          <w:rFonts w:hint="eastAsia"/>
          <w:highlight w:val="none"/>
        </w:rPr>
        <w:t>配水单位电耗</w:t>
      </w:r>
    </w:p>
    <w:p w14:paraId="7E4FB512">
      <w:pPr>
        <w:pStyle w:val="61"/>
        <w:ind w:firstLine="420"/>
        <w:rPr>
          <w:highlight w:val="none"/>
        </w:rPr>
      </w:pPr>
      <w:r>
        <w:rPr>
          <w:rFonts w:hint="eastAsia"/>
          <w:highlight w:val="none"/>
        </w:rPr>
        <w:t>评价期内配水泵房全部出水泵耗电量与同期内产出自来水总量及平均总扬程的比值。按照公式（</w:t>
      </w:r>
      <w:r>
        <w:rPr>
          <w:rFonts w:hint="eastAsia"/>
          <w:highlight w:val="none"/>
          <w:lang w:val="en-US" w:eastAsia="zh-CN"/>
        </w:rPr>
        <w:t>A</w:t>
      </w:r>
      <w:r>
        <w:rPr>
          <w:highlight w:val="none"/>
        </w:rPr>
        <w:t>.</w:t>
      </w:r>
      <w:r>
        <w:rPr>
          <w:rFonts w:hint="eastAsia"/>
          <w:highlight w:val="none"/>
        </w:rPr>
        <w:t>3）计算。</w:t>
      </w:r>
    </w:p>
    <w:p w14:paraId="136762BE">
      <w:pPr>
        <w:pStyle w:val="118"/>
        <w:rPr>
          <w:highlight w:val="none"/>
        </w:rPr>
      </w:pPr>
      <w:r>
        <w:rPr>
          <w:highlight w:val="none"/>
        </w:rPr>
        <w:tab/>
      </w:r>
      <w:r>
        <w:rPr>
          <w:rFonts w:hint="eastAsia"/>
          <w:highlight w:val="none"/>
        </w:rPr>
        <w:t xml:space="preserve">                                   </w:t>
      </w:r>
      <m:oMath>
        <m:sSub>
          <m:sSubPr>
            <m:ctrlPr>
              <w:rPr>
                <w:rFonts w:ascii="Cambria Math" w:hAnsi="Cambria Math"/>
                <w:sz w:val="24"/>
                <w:szCs w:val="24"/>
                <w:highlight w:val="none"/>
              </w:rPr>
            </m:ctrlPr>
          </m:sSubPr>
          <m:e>
            <m:r>
              <m:rPr/>
              <w:rPr>
                <w:rFonts w:hint="eastAsia" w:ascii="Cambria Math" w:hAnsi="Cambria Math"/>
                <w:sz w:val="24"/>
                <w:highlight w:val="none"/>
              </w:rPr>
              <m:t>EV</m:t>
            </m:r>
            <m:ctrlPr>
              <w:rPr>
                <w:rFonts w:ascii="Cambria Math" w:hAnsi="Cambria Math"/>
                <w:sz w:val="24"/>
                <w:szCs w:val="24"/>
                <w:highlight w:val="none"/>
              </w:rPr>
            </m:ctrlPr>
          </m:e>
          <m:sub>
            <m:r>
              <m:rPr/>
              <w:rPr>
                <w:rFonts w:ascii="Cambria Math" w:hAnsi="Cambria Math"/>
                <w:sz w:val="24"/>
                <w:highlight w:val="none"/>
              </w:rPr>
              <m:t>2</m:t>
            </m:r>
            <m:ctrlPr>
              <w:rPr>
                <w:rFonts w:ascii="Cambria Math" w:hAnsi="Cambria Math"/>
                <w:sz w:val="24"/>
                <w:szCs w:val="24"/>
                <w:highlight w:val="none"/>
              </w:rPr>
            </m:ctrlPr>
          </m:sub>
        </m:sSub>
        <m:r>
          <m:rPr>
            <m:sty m:val="p"/>
          </m:rPr>
          <w:rPr>
            <w:rFonts w:ascii="Cambria Math" w:hAnsi="Cambria Math"/>
            <w:sz w:val="24"/>
            <w:szCs w:val="24"/>
            <w:highlight w:val="none"/>
          </w:rPr>
          <m:t>=</m:t>
        </m:r>
        <m:f>
          <m:fPr>
            <m:ctrlPr>
              <w:rPr>
                <w:rFonts w:ascii="Cambria Math" w:hAnsi="Cambria Math"/>
                <w:i/>
                <w:sz w:val="24"/>
                <w:szCs w:val="24"/>
                <w:highlight w:val="none"/>
              </w:rPr>
            </m:ctrlPr>
          </m:fPr>
          <m:num>
            <m:r>
              <m:rPr>
                <m:sty m:val="p"/>
              </m:rPr>
              <w:rPr>
                <w:rFonts w:hint="eastAsia" w:ascii="Cambria Math" w:hAnsi="Cambria Math"/>
                <w:sz w:val="24"/>
                <w:szCs w:val="24"/>
                <w:highlight w:val="none"/>
              </w:rPr>
              <m:t>E</m:t>
            </m:r>
            <m:ctrlPr>
              <w:rPr>
                <w:rFonts w:ascii="Cambria Math" w:hAnsi="Cambria Math"/>
                <w:i/>
                <w:sz w:val="24"/>
                <w:szCs w:val="24"/>
                <w:highlight w:val="none"/>
              </w:rPr>
            </m:ctrlPr>
          </m:num>
          <m:den>
            <m:r>
              <m:rPr/>
              <w:rPr>
                <w:rFonts w:ascii="Cambria Math" w:hAnsi="Cambria Math"/>
                <w:sz w:val="24"/>
                <w:szCs w:val="24"/>
                <w:highlight w:val="none"/>
              </w:rPr>
              <m:t>10</m:t>
            </m:r>
            <m:sSub>
              <m:sSubPr>
                <m:ctrlPr>
                  <w:rPr>
                    <w:rFonts w:ascii="Cambria Math" w:hAnsi="Cambria Math"/>
                    <w:sz w:val="24"/>
                    <w:szCs w:val="24"/>
                    <w:highlight w:val="none"/>
                  </w:rPr>
                </m:ctrlPr>
              </m:sSubPr>
              <m:e>
                <m:r>
                  <m:rPr>
                    <m:sty m:val="p"/>
                  </m:rPr>
                  <w:rPr>
                    <w:rFonts w:ascii="Cambria Math" w:hAnsi="Cambria Math"/>
                    <w:sz w:val="24"/>
                    <w:highlight w:val="none"/>
                  </w:rPr>
                  <m:t>Q</m:t>
                </m:r>
                <m:ctrlPr>
                  <w:rPr>
                    <w:rFonts w:ascii="Cambria Math" w:hAnsi="Cambria Math"/>
                    <w:sz w:val="24"/>
                    <w:szCs w:val="24"/>
                    <w:highlight w:val="none"/>
                  </w:rPr>
                </m:ctrlPr>
              </m:e>
              <m:sub>
                <m:r>
                  <m:rPr/>
                  <w:rPr>
                    <w:rFonts w:ascii="Cambria Math" w:hAnsi="Cambria Math"/>
                    <w:sz w:val="24"/>
                    <w:highlight w:val="none"/>
                  </w:rPr>
                  <m:t>1</m:t>
                </m:r>
                <m:ctrlPr>
                  <w:rPr>
                    <w:rFonts w:ascii="Cambria Math" w:hAnsi="Cambria Math"/>
                    <w:sz w:val="24"/>
                    <w:szCs w:val="24"/>
                    <w:highlight w:val="none"/>
                  </w:rPr>
                </m:ctrlPr>
              </m:sub>
            </m:sSub>
            <m:r>
              <m:rPr/>
              <w:rPr>
                <w:rFonts w:hint="eastAsia" w:ascii="Cambria Math" w:hAnsi="Cambria Math"/>
                <w:sz w:val="24"/>
                <w:szCs w:val="24"/>
                <w:highlight w:val="none"/>
              </w:rPr>
              <m:t>H</m:t>
            </m:r>
            <m:ctrlPr>
              <w:rPr>
                <w:rFonts w:ascii="Cambria Math" w:hAnsi="Cambria Math"/>
                <w:i/>
                <w:sz w:val="24"/>
                <w:szCs w:val="24"/>
                <w:highlight w:val="none"/>
              </w:rPr>
            </m:ctrlPr>
          </m:den>
        </m:f>
      </m:oMath>
      <w:r>
        <w:rPr>
          <w:rFonts w:hint="eastAsia" w:ascii="微软雅黑" w:hAnsi="微软雅黑" w:eastAsia="微软雅黑" w:cs="微软雅黑"/>
          <w:highlight w:val="none"/>
        </w:rPr>
        <w:t>.......................................................................</w:t>
      </w:r>
      <w:r>
        <w:rPr>
          <w:rFonts w:hint="eastAsia"/>
          <w:highlight w:val="none"/>
        </w:rPr>
        <w:t>（</w:t>
      </w:r>
      <w:r>
        <w:rPr>
          <w:rFonts w:hint="eastAsia"/>
          <w:highlight w:val="none"/>
          <w:lang w:val="en-US" w:eastAsia="zh-CN"/>
        </w:rPr>
        <w:t>A</w:t>
      </w:r>
      <w:r>
        <w:rPr>
          <w:highlight w:val="none"/>
        </w:rPr>
        <w:t>.</w:t>
      </w:r>
      <w:r>
        <w:rPr>
          <w:rFonts w:hint="eastAsia"/>
          <w:highlight w:val="none"/>
        </w:rPr>
        <w:t>3）</w:t>
      </w:r>
    </w:p>
    <w:p w14:paraId="5583F86C">
      <w:pPr>
        <w:pStyle w:val="60"/>
        <w:spacing w:line="278" w:lineRule="auto"/>
        <w:ind w:firstLine="420"/>
        <w:rPr>
          <w:highlight w:val="none"/>
        </w:rPr>
      </w:pPr>
      <w:r>
        <w:rPr>
          <w:rFonts w:hint="eastAsia"/>
          <w:highlight w:val="none"/>
        </w:rPr>
        <w:t>式中：</w:t>
      </w:r>
    </w:p>
    <w:p w14:paraId="617A5394">
      <w:pPr>
        <w:pStyle w:val="61"/>
        <w:ind w:firstLine="1050" w:firstLineChars="500"/>
        <w:rPr>
          <w:highlight w:val="none"/>
        </w:rPr>
      </w:pPr>
      <w:r>
        <w:rPr>
          <w:rFonts w:hint="eastAsia"/>
          <w:highlight w:val="none"/>
        </w:rPr>
        <w:t>EV</w:t>
      </w:r>
      <w:r>
        <w:rPr>
          <w:rFonts w:hint="eastAsia"/>
          <w:highlight w:val="none"/>
          <w:vertAlign w:val="subscript"/>
        </w:rPr>
        <w:t xml:space="preserve">2 </w:t>
      </w:r>
      <w:r>
        <w:rPr>
          <w:rFonts w:hint="eastAsia"/>
          <w:highlight w:val="none"/>
        </w:rPr>
        <w:t>——评价期内配水单位电耗（kW·h/（km</w:t>
      </w:r>
      <w:r>
        <w:rPr>
          <w:rFonts w:hint="eastAsia"/>
          <w:highlight w:val="none"/>
          <w:vertAlign w:val="superscript"/>
        </w:rPr>
        <w:t>3</w:t>
      </w:r>
      <w:r>
        <w:rPr>
          <w:rFonts w:hint="eastAsia"/>
          <w:highlight w:val="none"/>
        </w:rPr>
        <w:t>·MPa））；</w:t>
      </w:r>
    </w:p>
    <w:p w14:paraId="0905C7A9">
      <w:pPr>
        <w:pStyle w:val="61"/>
        <w:ind w:firstLine="1050" w:firstLineChars="500"/>
        <w:rPr>
          <w:i/>
          <w:iCs/>
          <w:highlight w:val="none"/>
        </w:rPr>
      </w:pPr>
      <w:r>
        <w:rPr>
          <w:rFonts w:hint="eastAsia"/>
          <w:i/>
          <w:iCs/>
          <w:highlight w:val="none"/>
        </w:rPr>
        <w:t>Q</w:t>
      </w:r>
      <w:r>
        <w:rPr>
          <w:rFonts w:hint="eastAsia"/>
          <w:i/>
          <w:iCs/>
          <w:highlight w:val="none"/>
          <w:vertAlign w:val="subscript"/>
        </w:rPr>
        <w:t xml:space="preserve">1   </w:t>
      </w:r>
      <w:r>
        <w:rPr>
          <w:rFonts w:hint="eastAsia"/>
          <w:highlight w:val="none"/>
        </w:rPr>
        <w:t>——评价期内</w:t>
      </w:r>
      <w:r>
        <w:rPr>
          <w:rFonts w:hint="eastAsia" w:hAnsi="宋体"/>
          <w:highlight w:val="none"/>
        </w:rPr>
        <w:t>出厂水量</w:t>
      </w:r>
      <w:r>
        <w:rPr>
          <w:rFonts w:hint="eastAsia"/>
          <w:highlight w:val="none"/>
        </w:rPr>
        <w:t>（万m</w:t>
      </w:r>
      <w:r>
        <w:rPr>
          <w:rFonts w:hint="eastAsia"/>
          <w:highlight w:val="none"/>
          <w:vertAlign w:val="superscript"/>
        </w:rPr>
        <w:t>3</w:t>
      </w:r>
      <w:r>
        <w:rPr>
          <w:rFonts w:hint="eastAsia"/>
          <w:highlight w:val="none"/>
        </w:rPr>
        <w:t>）；</w:t>
      </w:r>
    </w:p>
    <w:p w14:paraId="7DA69658">
      <w:pPr>
        <w:pStyle w:val="61"/>
        <w:ind w:firstLine="1050" w:firstLineChars="500"/>
        <w:rPr>
          <w:highlight w:val="none"/>
        </w:rPr>
      </w:pPr>
      <w:r>
        <w:rPr>
          <w:rFonts w:hint="eastAsia"/>
          <w:i/>
          <w:iCs/>
          <w:highlight w:val="none"/>
        </w:rPr>
        <w:t xml:space="preserve">E  </w:t>
      </w:r>
      <w:r>
        <w:rPr>
          <w:rFonts w:hint="eastAsia"/>
          <w:highlight w:val="none"/>
        </w:rPr>
        <w:t>——评价期内</w:t>
      </w:r>
      <w:r>
        <w:rPr>
          <w:rFonts w:hint="eastAsia" w:hAnsi="宋体"/>
          <w:highlight w:val="none"/>
        </w:rPr>
        <w:t>配水</w:t>
      </w:r>
      <w:r>
        <w:rPr>
          <w:rFonts w:hint="eastAsia"/>
          <w:highlight w:val="none"/>
        </w:rPr>
        <w:t>总耗电量（</w:t>
      </w:r>
      <w:r>
        <w:rPr>
          <w:highlight w:val="none"/>
        </w:rPr>
        <w:t>kW·h</w:t>
      </w:r>
      <w:r>
        <w:rPr>
          <w:rFonts w:hint="eastAsia"/>
          <w:highlight w:val="none"/>
        </w:rPr>
        <w:t>）；</w:t>
      </w:r>
    </w:p>
    <w:p w14:paraId="4338B1A7">
      <w:pPr>
        <w:pStyle w:val="61"/>
        <w:ind w:firstLine="1050" w:firstLineChars="500"/>
        <w:rPr>
          <w:highlight w:val="none"/>
        </w:rPr>
      </w:pPr>
      <w:r>
        <w:rPr>
          <w:rFonts w:hint="eastAsia"/>
          <w:i/>
          <w:iCs/>
          <w:highlight w:val="none"/>
        </w:rPr>
        <w:t xml:space="preserve">H  </w:t>
      </w:r>
      <w:r>
        <w:rPr>
          <w:rFonts w:hint="eastAsia"/>
          <w:highlight w:val="none"/>
        </w:rPr>
        <w:t>——评价期内配水泵平均压力（MPa）。</w:t>
      </w:r>
    </w:p>
    <w:p w14:paraId="7F678412">
      <w:pPr>
        <w:pStyle w:val="83"/>
        <w:spacing w:before="156" w:after="156"/>
        <w:ind w:firstLine="420"/>
        <w:rPr>
          <w:rFonts w:ascii="宋体"/>
          <w:highlight w:val="none"/>
        </w:rPr>
      </w:pPr>
      <w:r>
        <w:rPr>
          <w:rFonts w:hint="eastAsia"/>
          <w:highlight w:val="none"/>
        </w:rPr>
        <w:t>折算后总得分</w:t>
      </w:r>
    </w:p>
    <w:p w14:paraId="403A5E8C">
      <w:pPr>
        <w:pStyle w:val="61"/>
        <w:ind w:firstLine="420"/>
        <w:rPr>
          <w:highlight w:val="none"/>
        </w:rPr>
      </w:pPr>
      <w:r>
        <w:rPr>
          <w:rFonts w:hint="eastAsia"/>
          <w:highlight w:val="none"/>
        </w:rPr>
        <w:t>水厂实际涉及评价指标</w:t>
      </w:r>
      <w:r>
        <w:rPr>
          <w:rFonts w:hint="eastAsia" w:hAnsi="宋体"/>
          <w:highlight w:val="none"/>
        </w:rPr>
        <w:t>在评分表中实得</w:t>
      </w:r>
      <w:r>
        <w:rPr>
          <w:rFonts w:hint="eastAsia"/>
          <w:highlight w:val="none"/>
        </w:rPr>
        <w:t>分值之和与扣除不涉及指标评价标准分值之比。按照公式（</w:t>
      </w:r>
      <w:r>
        <w:rPr>
          <w:rFonts w:hint="eastAsia"/>
          <w:highlight w:val="none"/>
          <w:lang w:val="en-US" w:eastAsia="zh-CN"/>
        </w:rPr>
        <w:t>A</w:t>
      </w:r>
      <w:r>
        <w:rPr>
          <w:highlight w:val="none"/>
        </w:rPr>
        <w:t>.</w:t>
      </w:r>
      <w:r>
        <w:rPr>
          <w:rFonts w:hint="eastAsia"/>
          <w:highlight w:val="none"/>
        </w:rPr>
        <w:t>4）计算。</w:t>
      </w:r>
    </w:p>
    <w:p w14:paraId="6381F614">
      <w:pPr>
        <w:spacing w:line="680" w:lineRule="exact"/>
        <w:ind w:firstLine="3990" w:firstLineChars="1900"/>
        <w:rPr>
          <w:rFonts w:hAnsi="宋体"/>
          <w:highlight w:val="none"/>
        </w:rPr>
      </w:pPr>
      <w:r>
        <w:rPr>
          <w:rFonts w:hint="eastAsia" w:ascii="宋体"/>
          <w:highlight w:val="none"/>
        </w:rPr>
        <w:t xml:space="preserve"> </w:t>
      </w:r>
      <m:oMath>
        <m:r>
          <m:rPr>
            <m:sty m:val="p"/>
          </m:rPr>
          <w:rPr>
            <w:rFonts w:ascii="Cambria Math" w:hAnsi="Cambria Math"/>
            <w:highlight w:val="none"/>
          </w:rPr>
          <m:t>W=</m:t>
        </m:r>
        <m:f>
          <m:fPr>
            <m:ctrlPr>
              <w:rPr>
                <w:rFonts w:ascii="Cambria Math" w:hAnsi="Cambria Math"/>
                <w:i/>
                <w:highlight w:val="none"/>
              </w:rPr>
            </m:ctrlPr>
          </m:fPr>
          <m:num>
            <m:sSub>
              <m:sSubPr>
                <m:ctrlPr>
                  <w:rPr>
                    <w:rFonts w:ascii="Cambria Math" w:hAnsi="Cambria Math"/>
                    <w:highlight w:val="none"/>
                  </w:rPr>
                </m:ctrlPr>
              </m:sSubPr>
              <m:e>
                <m:r>
                  <m:rPr>
                    <m:sty m:val="p"/>
                  </m:rPr>
                  <w:rPr>
                    <w:rFonts w:ascii="Cambria Math" w:hAnsi="Cambria Math"/>
                    <w:highlight w:val="none"/>
                  </w:rPr>
                  <m:t>W</m:t>
                </m:r>
                <m:ctrlPr>
                  <w:rPr>
                    <w:rFonts w:ascii="Cambria Math" w:hAnsi="Cambria Math"/>
                    <w:highlight w:val="none"/>
                  </w:rPr>
                </m:ctrlPr>
              </m:e>
              <m:sub>
                <m:r>
                  <m:rPr/>
                  <w:rPr>
                    <w:rFonts w:ascii="Cambria Math" w:hAnsi="Cambria Math"/>
                    <w:highlight w:val="none"/>
                  </w:rPr>
                  <m:t>1</m:t>
                </m:r>
                <m:ctrlPr>
                  <w:rPr>
                    <w:rFonts w:ascii="Cambria Math" w:hAnsi="Cambria Math"/>
                    <w:highlight w:val="none"/>
                  </w:rPr>
                </m:ctrlPr>
              </m:sub>
            </m:sSub>
            <m:ctrlPr>
              <w:rPr>
                <w:rFonts w:ascii="Cambria Math" w:hAnsi="Cambria Math"/>
                <w:i/>
                <w:highlight w:val="none"/>
              </w:rPr>
            </m:ctrlPr>
          </m:num>
          <m:den>
            <m:r>
              <m:rPr>
                <m:sty m:val="p"/>
              </m:rPr>
              <w:rPr>
                <w:rFonts w:ascii="Cambria Math" w:hAnsi="Cambria Math"/>
                <w:highlight w:val="none"/>
              </w:rPr>
              <m:t>100−</m:t>
            </m:r>
            <m:sSub>
              <m:sSubPr>
                <m:ctrlPr>
                  <w:rPr>
                    <w:rFonts w:ascii="Cambria Math" w:hAnsi="Cambria Math"/>
                    <w:highlight w:val="none"/>
                  </w:rPr>
                </m:ctrlPr>
              </m:sSubPr>
              <m:e>
                <m:r>
                  <m:rPr>
                    <m:sty m:val="p"/>
                  </m:rPr>
                  <w:rPr>
                    <w:rFonts w:ascii="Cambria Math" w:hAnsi="Cambria Math"/>
                    <w:highlight w:val="none"/>
                  </w:rPr>
                  <m:t>W</m:t>
                </m:r>
                <m:ctrlPr>
                  <w:rPr>
                    <w:rFonts w:ascii="Cambria Math" w:hAnsi="Cambria Math"/>
                    <w:highlight w:val="none"/>
                  </w:rPr>
                </m:ctrlPr>
              </m:e>
              <m:sub>
                <m:r>
                  <m:rPr/>
                  <w:rPr>
                    <w:rFonts w:ascii="Cambria Math" w:hAnsi="Cambria Math"/>
                    <w:highlight w:val="none"/>
                  </w:rPr>
                  <m:t>2</m:t>
                </m:r>
                <m:ctrlPr>
                  <w:rPr>
                    <w:rFonts w:ascii="Cambria Math" w:hAnsi="Cambria Math"/>
                    <w:highlight w:val="none"/>
                  </w:rPr>
                </m:ctrlPr>
              </m:sub>
            </m:sSub>
            <m:ctrlPr>
              <w:rPr>
                <w:rFonts w:ascii="Cambria Math" w:hAnsi="Cambria Math"/>
                <w:i/>
                <w:highlight w:val="none"/>
              </w:rPr>
            </m:ctrlPr>
          </m:den>
        </m:f>
        <m:r>
          <m:rPr/>
          <w:rPr>
            <w:rFonts w:hint="eastAsia" w:ascii="Cambria Math" w:hAnsi="Cambria Math"/>
            <w:highlight w:val="none"/>
          </w:rPr>
          <m:t>×</m:t>
        </m:r>
        <m:r>
          <m:rPr/>
          <w:rPr>
            <w:rFonts w:ascii="Cambria Math" w:hAnsi="Cambria Math"/>
            <w:highlight w:val="none"/>
          </w:rPr>
          <m:t>100</m:t>
        </m:r>
      </m:oMath>
      <w:r>
        <w:rPr>
          <w:rFonts w:hint="eastAsia" w:ascii="微软雅黑" w:hAnsi="微软雅黑" w:eastAsia="微软雅黑" w:cs="微软雅黑"/>
          <w:highlight w:val="none"/>
        </w:rPr>
        <w:t>.......................................................</w:t>
      </w:r>
      <w:r>
        <w:rPr>
          <w:rFonts w:hint="eastAsia" w:ascii="宋体" w:hAnsi="宋体"/>
          <w:highlight w:val="none"/>
        </w:rPr>
        <w:t>（</w:t>
      </w:r>
      <w:r>
        <w:rPr>
          <w:rFonts w:hint="eastAsia" w:ascii="宋体" w:hAnsi="宋体"/>
          <w:highlight w:val="none"/>
          <w:lang w:val="en-US" w:eastAsia="zh-CN"/>
        </w:rPr>
        <w:t>A</w:t>
      </w:r>
      <w:r>
        <w:rPr>
          <w:rFonts w:ascii="宋体" w:hAnsi="宋体"/>
          <w:highlight w:val="none"/>
        </w:rPr>
        <w:t>.</w:t>
      </w:r>
      <w:r>
        <w:rPr>
          <w:rFonts w:hint="eastAsia" w:ascii="宋体" w:hAnsi="宋体"/>
          <w:highlight w:val="none"/>
        </w:rPr>
        <w:t xml:space="preserve">4）  </w:t>
      </w:r>
    </w:p>
    <w:p w14:paraId="5AE53E18">
      <w:pPr>
        <w:pStyle w:val="235"/>
        <w:ind w:firstLine="735" w:firstLineChars="350"/>
        <w:rPr>
          <w:rFonts w:hAnsi="宋体"/>
          <w:highlight w:val="none"/>
        </w:rPr>
      </w:pPr>
    </w:p>
    <w:p w14:paraId="1F863880">
      <w:pPr>
        <w:pStyle w:val="235"/>
        <w:ind w:firstLine="0" w:firstLineChars="0"/>
        <w:rPr>
          <w:rFonts w:hAnsi="宋体"/>
          <w:highlight w:val="none"/>
        </w:rPr>
      </w:pPr>
      <w:r>
        <w:rPr>
          <w:rFonts w:hint="eastAsia" w:hAnsi="宋体"/>
          <w:highlight w:val="none"/>
        </w:rPr>
        <w:t xml:space="preserve">    式中：</w:t>
      </w:r>
    </w:p>
    <w:p w14:paraId="59254EFA">
      <w:pPr>
        <w:pStyle w:val="235"/>
        <w:ind w:firstLine="735" w:firstLineChars="350"/>
        <w:rPr>
          <w:rFonts w:hAnsi="宋体"/>
          <w:highlight w:val="none"/>
        </w:rPr>
      </w:pPr>
      <w:r>
        <w:rPr>
          <w:rFonts w:hint="eastAsia" w:hAnsi="宋体"/>
          <w:highlight w:val="none"/>
        </w:rPr>
        <w:t xml:space="preserve">   W</w:t>
      </w:r>
      <w:r>
        <w:rPr>
          <w:rFonts w:hint="eastAsia"/>
          <w:highlight w:val="none"/>
          <w:vertAlign w:val="subscript"/>
        </w:rPr>
        <w:t xml:space="preserve">  </w:t>
      </w:r>
      <w:r>
        <w:rPr>
          <w:rFonts w:hint="eastAsia"/>
          <w:highlight w:val="none"/>
        </w:rPr>
        <w:t>——</w:t>
      </w:r>
      <w:r>
        <w:rPr>
          <w:rFonts w:hint="eastAsia" w:hAnsi="宋体"/>
          <w:highlight w:val="none"/>
        </w:rPr>
        <w:t>折算后总得分；</w:t>
      </w:r>
    </w:p>
    <w:p w14:paraId="7C6CFEE0">
      <w:pPr>
        <w:pStyle w:val="235"/>
        <w:rPr>
          <w:rFonts w:hAnsi="宋体"/>
          <w:highlight w:val="none"/>
        </w:rPr>
      </w:pPr>
      <w:r>
        <w:rPr>
          <w:rFonts w:hint="eastAsia" w:hAnsi="宋体"/>
          <w:highlight w:val="none"/>
        </w:rPr>
        <w:t xml:space="preserve">      W</w:t>
      </w:r>
      <w:r>
        <w:rPr>
          <w:rFonts w:hint="eastAsia" w:hAnsi="宋体"/>
          <w:highlight w:val="none"/>
          <w:vertAlign w:val="subscript"/>
        </w:rPr>
        <w:t>1</w:t>
      </w:r>
      <w:r>
        <w:rPr>
          <w:rFonts w:hint="eastAsia"/>
          <w:highlight w:val="none"/>
          <w:vertAlign w:val="subscript"/>
        </w:rPr>
        <w:t xml:space="preserve"> </w:t>
      </w:r>
      <w:r>
        <w:rPr>
          <w:rFonts w:hint="eastAsia"/>
          <w:highlight w:val="none"/>
        </w:rPr>
        <w:t>——</w:t>
      </w:r>
      <w:r>
        <w:rPr>
          <w:rFonts w:hint="eastAsia" w:hAnsi="宋体"/>
          <w:highlight w:val="none"/>
        </w:rPr>
        <w:t>实评涉及评价指标在评分表中实得分值之和；</w:t>
      </w:r>
    </w:p>
    <w:p w14:paraId="7828952E">
      <w:pPr>
        <w:pStyle w:val="61"/>
        <w:ind w:firstLine="420"/>
        <w:rPr>
          <w:highlight w:val="none"/>
        </w:rPr>
      </w:pPr>
      <w:r>
        <w:rPr>
          <w:rFonts w:hint="eastAsia" w:hAnsi="宋体"/>
          <w:highlight w:val="none"/>
        </w:rPr>
        <w:t xml:space="preserve">      W</w:t>
      </w:r>
      <w:r>
        <w:rPr>
          <w:rFonts w:hint="eastAsia" w:hAnsi="宋体"/>
          <w:highlight w:val="none"/>
          <w:vertAlign w:val="subscript"/>
        </w:rPr>
        <w:t>2</w:t>
      </w:r>
      <w:r>
        <w:rPr>
          <w:rFonts w:hint="eastAsia"/>
          <w:highlight w:val="none"/>
          <w:vertAlign w:val="subscript"/>
        </w:rPr>
        <w:t xml:space="preserve"> </w:t>
      </w:r>
      <w:r>
        <w:rPr>
          <w:rFonts w:hint="eastAsia"/>
          <w:highlight w:val="none"/>
        </w:rPr>
        <w:t>——</w:t>
      </w:r>
      <w:r>
        <w:rPr>
          <w:rFonts w:hint="eastAsia" w:hAnsi="宋体"/>
          <w:highlight w:val="none"/>
        </w:rPr>
        <w:t>不涉及的指标评价标准分值。</w:t>
      </w:r>
    </w:p>
    <w:p w14:paraId="006D2A82">
      <w:pPr>
        <w:pStyle w:val="61"/>
        <w:ind w:firstLine="420"/>
        <w:rPr>
          <w:highlight w:val="none"/>
        </w:rPr>
      </w:pPr>
    </w:p>
    <w:p w14:paraId="12ABB052">
      <w:pPr>
        <w:pStyle w:val="61"/>
        <w:ind w:left="0" w:leftChars="0" w:firstLine="0" w:firstLineChars="0"/>
        <w:rPr>
          <w:rFonts w:hint="eastAsia"/>
        </w:rPr>
        <w:sectPr>
          <w:pgSz w:w="11906" w:h="16838"/>
          <w:pgMar w:top="1928" w:right="1134" w:bottom="1134" w:left="1134" w:header="1418" w:footer="1134" w:gutter="284"/>
          <w:cols w:space="425" w:num="1"/>
          <w:formProt w:val="0"/>
          <w:docGrid w:type="lines" w:linePitch="312" w:charSpace="0"/>
        </w:sectPr>
      </w:pPr>
    </w:p>
    <w:p w14:paraId="57DCF41A">
      <w:pPr>
        <w:pStyle w:val="81"/>
        <w:spacing w:after="156"/>
        <w:rPr>
          <w:rFonts w:hint="eastAsia"/>
          <w:highlight w:val="none"/>
        </w:rPr>
      </w:pPr>
      <w:bookmarkStart w:id="118" w:name="_Toc1250438918"/>
      <w:r>
        <w:rPr>
          <w:highlight w:val="none"/>
        </w:rPr>
        <w:br w:type="textWrapping"/>
      </w:r>
      <w:r>
        <w:rPr>
          <w:rFonts w:hint="eastAsia"/>
          <w:highlight w:val="none"/>
        </w:rPr>
        <w:t>（规范性）</w:t>
      </w:r>
      <w:r>
        <w:rPr>
          <w:highlight w:val="none"/>
        </w:rPr>
        <w:br w:type="textWrapping"/>
      </w:r>
      <w:r>
        <w:rPr>
          <w:rFonts w:hint="eastAsia"/>
          <w:highlight w:val="none"/>
        </w:rPr>
        <w:t>城镇公共供水厂运行管理评价计分细则</w:t>
      </w:r>
      <w:bookmarkEnd w:id="117"/>
      <w:bookmarkEnd w:id="118"/>
    </w:p>
    <w:p w14:paraId="13A794AF">
      <w:pPr>
        <w:pStyle w:val="61"/>
        <w:ind w:firstLine="420"/>
        <w:rPr>
          <w:rFonts w:ascii="黑体" w:eastAsia="黑体"/>
          <w:highlight w:val="none"/>
        </w:rPr>
      </w:pPr>
      <w:r>
        <w:rPr>
          <w:rFonts w:hint="eastAsia"/>
          <w:highlight w:val="none"/>
        </w:rPr>
        <w:t>城镇公共供水厂运行管理评价内容和方法应符合表</w:t>
      </w:r>
      <w:r>
        <w:rPr>
          <w:rFonts w:hint="eastAsia"/>
          <w:highlight w:val="none"/>
          <w:lang w:val="en-US" w:eastAsia="zh-CN"/>
        </w:rPr>
        <w:t>B</w:t>
      </w:r>
      <w:r>
        <w:rPr>
          <w:rFonts w:hint="eastAsia"/>
          <w:highlight w:val="none"/>
        </w:rPr>
        <w:t>.1的要求。</w:t>
      </w:r>
    </w:p>
    <w:p w14:paraId="19379B87">
      <w:pPr>
        <w:pStyle w:val="82"/>
        <w:numPr>
          <w:ilvl w:val="0"/>
          <w:numId w:val="0"/>
        </w:numPr>
        <w:spacing w:before="156" w:after="156"/>
        <w:rPr>
          <w:highlight w:val="none"/>
        </w:rPr>
      </w:pPr>
      <w:bookmarkStart w:id="119" w:name="_Hlk185705657"/>
      <w:r>
        <w:rPr>
          <w:rFonts w:hint="eastAsia"/>
          <w:highlight w:val="none"/>
        </w:rPr>
        <w:t>表</w:t>
      </w:r>
      <w:r>
        <w:rPr>
          <w:rFonts w:hint="eastAsia"/>
          <w:highlight w:val="none"/>
          <w:lang w:val="en-US" w:eastAsia="zh-CN"/>
        </w:rPr>
        <w:t>B</w:t>
      </w:r>
      <w:r>
        <w:rPr>
          <w:rFonts w:hint="eastAsia"/>
          <w:highlight w:val="none"/>
        </w:rPr>
        <w:t>.1 城镇公共供水厂运行管理评价计分细则</w:t>
      </w:r>
    </w:p>
    <w:bookmarkEnd w:id="119"/>
    <w:tbl>
      <w:tblPr>
        <w:tblStyle w:val="30"/>
        <w:tblW w:w="42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066"/>
        <w:gridCol w:w="1135"/>
        <w:gridCol w:w="4908"/>
      </w:tblGrid>
      <w:tr w14:paraId="5A03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97" w:type="dxa"/>
            <w:gridSpan w:val="3"/>
            <w:shd w:val="clear" w:color="auto" w:fill="auto"/>
            <w:vAlign w:val="center"/>
          </w:tcPr>
          <w:p w14:paraId="7549F720">
            <w:pPr>
              <w:widowControl/>
              <w:spacing w:line="26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评价内容</w:t>
            </w:r>
          </w:p>
        </w:tc>
        <w:tc>
          <w:tcPr>
            <w:tcW w:w="4910" w:type="dxa"/>
            <w:vMerge w:val="restart"/>
            <w:shd w:val="clear" w:color="auto" w:fill="auto"/>
            <w:vAlign w:val="center"/>
          </w:tcPr>
          <w:p w14:paraId="3FD21F24">
            <w:pPr>
              <w:widowControl/>
              <w:spacing w:line="26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评价方法</w:t>
            </w:r>
          </w:p>
        </w:tc>
      </w:tr>
      <w:tr w14:paraId="0209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96" w:type="dxa"/>
            <w:shd w:val="clear" w:color="auto" w:fill="auto"/>
            <w:vAlign w:val="center"/>
          </w:tcPr>
          <w:p w14:paraId="4C77EB7E">
            <w:pPr>
              <w:widowControl/>
              <w:spacing w:line="26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一级指标</w:t>
            </w:r>
          </w:p>
        </w:tc>
        <w:tc>
          <w:tcPr>
            <w:tcW w:w="1066" w:type="dxa"/>
            <w:shd w:val="clear" w:color="auto" w:fill="auto"/>
            <w:vAlign w:val="center"/>
          </w:tcPr>
          <w:p w14:paraId="6CCE7CB0">
            <w:pPr>
              <w:widowControl/>
              <w:spacing w:line="26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二级指标</w:t>
            </w:r>
          </w:p>
        </w:tc>
        <w:tc>
          <w:tcPr>
            <w:tcW w:w="1135" w:type="dxa"/>
            <w:shd w:val="clear" w:color="auto" w:fill="auto"/>
            <w:vAlign w:val="center"/>
          </w:tcPr>
          <w:p w14:paraId="0016D520">
            <w:pPr>
              <w:widowControl/>
              <w:spacing w:line="26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三级指标</w:t>
            </w:r>
          </w:p>
        </w:tc>
        <w:tc>
          <w:tcPr>
            <w:tcW w:w="4910" w:type="dxa"/>
            <w:vMerge w:val="continue"/>
            <w:vAlign w:val="center"/>
          </w:tcPr>
          <w:p w14:paraId="7D68D700">
            <w:pPr>
              <w:widowControl/>
              <w:spacing w:line="260" w:lineRule="exact"/>
              <w:jc w:val="left"/>
              <w:rPr>
                <w:rFonts w:ascii="宋体" w:hAnsi="宋体" w:cs="宋体"/>
                <w:b/>
                <w:bCs/>
                <w:kern w:val="0"/>
                <w:sz w:val="18"/>
                <w:szCs w:val="18"/>
                <w:highlight w:val="none"/>
              </w:rPr>
            </w:pPr>
          </w:p>
        </w:tc>
      </w:tr>
      <w:tr w14:paraId="5C6B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1096" w:type="dxa"/>
            <w:vMerge w:val="restart"/>
            <w:shd w:val="clear" w:color="auto" w:fill="auto"/>
            <w:vAlign w:val="center"/>
          </w:tcPr>
          <w:p w14:paraId="43C4DE74">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1.0规章制度管理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（10.0）</w:t>
            </w:r>
          </w:p>
        </w:tc>
        <w:tc>
          <w:tcPr>
            <w:tcW w:w="1066" w:type="dxa"/>
            <w:vMerge w:val="restart"/>
            <w:shd w:val="clear" w:color="auto" w:fill="auto"/>
            <w:vAlign w:val="center"/>
          </w:tcPr>
          <w:p w14:paraId="0559C591">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1.1制度管理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（7.0分）</w:t>
            </w:r>
          </w:p>
        </w:tc>
        <w:tc>
          <w:tcPr>
            <w:tcW w:w="1135" w:type="dxa"/>
            <w:shd w:val="clear" w:color="auto" w:fill="auto"/>
            <w:vAlign w:val="center"/>
          </w:tcPr>
          <w:p w14:paraId="5B341BC6">
            <w:pPr>
              <w:widowControl/>
              <w:spacing w:line="260" w:lineRule="exact"/>
              <w:jc w:val="center"/>
              <w:rPr>
                <w:rFonts w:ascii="宋体" w:hAnsi="宋体" w:cs="宋体"/>
                <w:kern w:val="0"/>
                <w:sz w:val="18"/>
                <w:szCs w:val="18"/>
                <w:highlight w:val="none"/>
              </w:rPr>
            </w:pPr>
          </w:p>
          <w:p w14:paraId="6EA8FE9D">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1.1.1制度建设</w:t>
            </w:r>
          </w:p>
          <w:p w14:paraId="06750A9E">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（6.0分）</w:t>
            </w:r>
          </w:p>
          <w:p w14:paraId="5D45F5DC">
            <w:pPr>
              <w:widowControl/>
              <w:spacing w:line="260" w:lineRule="exact"/>
              <w:jc w:val="center"/>
              <w:rPr>
                <w:rFonts w:ascii="宋体" w:hAnsi="宋体" w:cs="宋体"/>
                <w:kern w:val="0"/>
                <w:sz w:val="18"/>
                <w:szCs w:val="18"/>
                <w:highlight w:val="none"/>
              </w:rPr>
            </w:pPr>
          </w:p>
        </w:tc>
        <w:tc>
          <w:tcPr>
            <w:tcW w:w="4910" w:type="dxa"/>
            <w:shd w:val="clear" w:color="auto" w:fill="auto"/>
            <w:vAlign w:val="center"/>
          </w:tcPr>
          <w:p w14:paraId="17456D85">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水厂制度体系完善，制度根据标准规范、政策要求、实际工作需求及时更新完善，6.0分：</w:t>
            </w:r>
          </w:p>
          <w:p w14:paraId="72D84A23">
            <w:pPr>
              <w:widowControl/>
              <w:spacing w:line="260" w:lineRule="exact"/>
              <w:jc w:val="left"/>
              <w:rPr>
                <w:rFonts w:ascii="宋体" w:hAnsi="宋体" w:cs="宋体"/>
                <w:kern w:val="0"/>
                <w:sz w:val="18"/>
                <w:szCs w:val="18"/>
                <w:highlight w:val="none"/>
              </w:rPr>
            </w:pPr>
            <w:r>
              <w:rPr>
                <w:rFonts w:hint="eastAsia" w:ascii="宋体" w:hAnsi="宋体" w:cs="宋体"/>
                <w:b/>
                <w:bCs/>
                <w:kern w:val="0"/>
                <w:sz w:val="18"/>
                <w:szCs w:val="18"/>
                <w:highlight w:val="none"/>
              </w:rPr>
              <w:t>（1）安全生产责任制0.6分</w:t>
            </w:r>
            <w:r>
              <w:rPr>
                <w:rFonts w:hint="eastAsia" w:ascii="宋体" w:hAnsi="宋体" w:cs="宋体"/>
                <w:kern w:val="0"/>
                <w:sz w:val="18"/>
                <w:szCs w:val="18"/>
                <w:highlight w:val="none"/>
              </w:rPr>
              <w:t>：未正式签发，扣0.2分；关键岗位、部门（班组）人员职责不明确，扣0.2分；未签订年度安全生产责任书，扣0.2分。</w:t>
            </w:r>
          </w:p>
          <w:p w14:paraId="38F5E409">
            <w:pPr>
              <w:widowControl/>
              <w:spacing w:line="260" w:lineRule="exact"/>
              <w:jc w:val="left"/>
              <w:rPr>
                <w:rFonts w:ascii="宋体" w:hAnsi="宋体" w:cs="宋体"/>
                <w:kern w:val="0"/>
                <w:sz w:val="18"/>
                <w:szCs w:val="18"/>
                <w:highlight w:val="none"/>
              </w:rPr>
            </w:pPr>
            <w:r>
              <w:rPr>
                <w:rFonts w:hint="eastAsia" w:ascii="宋体" w:hAnsi="宋体" w:cs="宋体"/>
                <w:b/>
                <w:bCs/>
                <w:kern w:val="0"/>
                <w:sz w:val="18"/>
                <w:szCs w:val="18"/>
                <w:highlight w:val="none"/>
              </w:rPr>
              <w:t>（2）供水水质方面，0.8分：</w:t>
            </w:r>
            <w:r>
              <w:rPr>
                <w:rFonts w:hint="eastAsia" w:ascii="宋体" w:hAnsi="宋体" w:cs="宋体"/>
                <w:kern w:val="0"/>
                <w:sz w:val="18"/>
                <w:szCs w:val="18"/>
                <w:highlight w:val="none"/>
              </w:rPr>
              <w:t>建立水质管理、水质检测、各工艺段及出厂水水质内控标准、化验室管理等制度，每缺1项扣0.2分，扣完为止；</w:t>
            </w:r>
          </w:p>
          <w:p w14:paraId="2E1D9D5B">
            <w:pPr>
              <w:widowControl/>
              <w:spacing w:line="260" w:lineRule="exact"/>
              <w:jc w:val="left"/>
              <w:rPr>
                <w:rFonts w:ascii="宋体" w:hAnsi="宋体" w:cs="宋体"/>
                <w:kern w:val="0"/>
                <w:sz w:val="18"/>
                <w:szCs w:val="18"/>
                <w:highlight w:val="none"/>
              </w:rPr>
            </w:pPr>
            <w:r>
              <w:rPr>
                <w:rFonts w:hint="eastAsia" w:ascii="宋体" w:hAnsi="宋体" w:cs="宋体"/>
                <w:b/>
                <w:bCs/>
                <w:kern w:val="0"/>
                <w:sz w:val="18"/>
                <w:szCs w:val="18"/>
                <w:highlight w:val="none"/>
              </w:rPr>
              <w:t>（3）制水工艺方面，0.8分：</w:t>
            </w:r>
            <w:r>
              <w:rPr>
                <w:rFonts w:hint="eastAsia" w:ascii="宋体" w:hAnsi="宋体" w:cs="宋体"/>
                <w:kern w:val="0"/>
                <w:sz w:val="18"/>
                <w:szCs w:val="18"/>
                <w:highlight w:val="none"/>
              </w:rPr>
              <w:t>建立涉水产品索证及验收、水厂水和排泥水处理系统管理制度，每缺1项扣0.4分，扣完为止；</w:t>
            </w:r>
          </w:p>
          <w:p w14:paraId="7E62C4D1">
            <w:pPr>
              <w:widowControl/>
              <w:spacing w:line="260" w:lineRule="exact"/>
              <w:jc w:val="left"/>
              <w:rPr>
                <w:rFonts w:ascii="宋体" w:hAnsi="宋体" w:cs="宋体"/>
                <w:kern w:val="0"/>
                <w:sz w:val="18"/>
                <w:szCs w:val="18"/>
                <w:highlight w:val="none"/>
              </w:rPr>
            </w:pPr>
            <w:r>
              <w:rPr>
                <w:rFonts w:hint="eastAsia" w:ascii="宋体" w:hAnsi="宋体" w:cs="宋体"/>
                <w:b/>
                <w:bCs/>
                <w:kern w:val="0"/>
                <w:sz w:val="18"/>
                <w:szCs w:val="18"/>
                <w:highlight w:val="none"/>
              </w:rPr>
              <w:t>（4）运行维护方面，1.0分：</w:t>
            </w:r>
            <w:r>
              <w:rPr>
                <w:rFonts w:hint="eastAsia" w:ascii="宋体" w:hAnsi="宋体" w:cs="宋体"/>
                <w:kern w:val="0"/>
                <w:sz w:val="18"/>
                <w:szCs w:val="18"/>
                <w:highlight w:val="none"/>
              </w:rPr>
              <w:t>建立生产设备管理、配电室管理、设施设备日常保养、定期维护和大修理维护检修、巡视检查管理等制度，每缺1项扣0.2分，扣完为止；</w:t>
            </w:r>
          </w:p>
          <w:p w14:paraId="5FFDBFEC">
            <w:pPr>
              <w:widowControl/>
              <w:spacing w:line="260" w:lineRule="exact"/>
              <w:jc w:val="left"/>
              <w:rPr>
                <w:rFonts w:ascii="宋体" w:hAnsi="宋体" w:cs="宋体"/>
                <w:kern w:val="0"/>
                <w:sz w:val="18"/>
                <w:szCs w:val="18"/>
                <w:highlight w:val="none"/>
              </w:rPr>
            </w:pPr>
            <w:r>
              <w:rPr>
                <w:rFonts w:hint="eastAsia" w:ascii="宋体" w:hAnsi="宋体" w:cs="宋体"/>
                <w:b/>
                <w:bCs/>
                <w:kern w:val="0"/>
                <w:sz w:val="18"/>
                <w:szCs w:val="18"/>
                <w:highlight w:val="none"/>
              </w:rPr>
              <w:t>（5）安全生产方面，1.0分：</w:t>
            </w:r>
            <w:r>
              <w:rPr>
                <w:rFonts w:hint="eastAsia" w:ascii="宋体" w:hAnsi="宋体" w:cs="宋体"/>
                <w:kern w:val="0"/>
                <w:sz w:val="18"/>
                <w:szCs w:val="18"/>
                <w:highlight w:val="none"/>
              </w:rPr>
              <w:t>建立安全生产检查、安全风险分级管控、事故隐患排查治理、有限空间作业管理、危险化学品管理、劳动防护用品配备和使用、安全生产奖励和惩罚、生产安全事故报告和调查处理、应急管理、消防设施和器材管理、职业卫生管理、相关方（供应商和承包商）安全管理等安全生产管理制度；每缺1项扣0.1分，扣完为止；</w:t>
            </w:r>
          </w:p>
          <w:p w14:paraId="64FBA4D8">
            <w:pPr>
              <w:widowControl/>
              <w:spacing w:line="260" w:lineRule="exact"/>
              <w:jc w:val="left"/>
              <w:rPr>
                <w:rFonts w:ascii="宋体" w:hAnsi="宋体" w:cs="宋体"/>
                <w:kern w:val="0"/>
                <w:sz w:val="18"/>
                <w:szCs w:val="18"/>
                <w:highlight w:val="none"/>
              </w:rPr>
            </w:pPr>
            <w:r>
              <w:rPr>
                <w:rFonts w:hint="eastAsia" w:ascii="宋体" w:hAnsi="宋体" w:cs="宋体"/>
                <w:b/>
                <w:bCs/>
                <w:kern w:val="0"/>
                <w:sz w:val="18"/>
                <w:szCs w:val="18"/>
                <w:highlight w:val="none"/>
              </w:rPr>
              <w:t>（6）人员管理方面，0.6分：</w:t>
            </w:r>
            <w:r>
              <w:rPr>
                <w:rFonts w:hint="eastAsia" w:ascii="宋体" w:hAnsi="宋体" w:cs="宋体"/>
                <w:kern w:val="0"/>
                <w:sz w:val="18"/>
                <w:szCs w:val="18"/>
                <w:highlight w:val="none"/>
              </w:rPr>
              <w:t>建立人员教育和培训、绩效考核等制度，每缺1项扣0.3分，扣完为止；</w:t>
            </w:r>
          </w:p>
          <w:p w14:paraId="21DFB3EC">
            <w:pPr>
              <w:widowControl/>
              <w:spacing w:line="260" w:lineRule="exact"/>
              <w:jc w:val="left"/>
              <w:rPr>
                <w:rFonts w:ascii="宋体" w:hAnsi="宋体" w:cs="宋体"/>
                <w:kern w:val="0"/>
                <w:sz w:val="18"/>
                <w:szCs w:val="18"/>
                <w:highlight w:val="none"/>
              </w:rPr>
            </w:pPr>
            <w:r>
              <w:rPr>
                <w:rFonts w:hint="eastAsia" w:ascii="宋体" w:hAnsi="宋体" w:cs="宋体"/>
                <w:b/>
                <w:bCs/>
                <w:kern w:val="0"/>
                <w:sz w:val="18"/>
                <w:szCs w:val="18"/>
                <w:highlight w:val="none"/>
              </w:rPr>
              <w:t>（7）节能减排方面，0.6分：</w:t>
            </w:r>
            <w:r>
              <w:rPr>
                <w:rFonts w:hint="eastAsia" w:ascii="宋体" w:hAnsi="宋体" w:cs="宋体"/>
                <w:kern w:val="0"/>
                <w:sz w:val="18"/>
                <w:szCs w:val="18"/>
                <w:highlight w:val="none"/>
              </w:rPr>
              <w:t>建立能源计量管理、生产废水处理和处置等制度，每缺1项扣0.3分，扣完为止；</w:t>
            </w:r>
          </w:p>
          <w:p w14:paraId="73AB1D4D">
            <w:pPr>
              <w:widowControl/>
              <w:spacing w:line="260" w:lineRule="exact"/>
              <w:jc w:val="left"/>
              <w:rPr>
                <w:rFonts w:ascii="宋体" w:hAnsi="宋体" w:cs="宋体"/>
                <w:kern w:val="0"/>
                <w:sz w:val="18"/>
                <w:szCs w:val="18"/>
                <w:highlight w:val="none"/>
              </w:rPr>
            </w:pPr>
            <w:r>
              <w:rPr>
                <w:rFonts w:hint="eastAsia" w:ascii="宋体" w:hAnsi="宋体" w:cs="宋体"/>
                <w:b/>
                <w:bCs/>
                <w:kern w:val="0"/>
                <w:sz w:val="18"/>
                <w:szCs w:val="18"/>
                <w:highlight w:val="none"/>
              </w:rPr>
              <w:t>（8）水厂智慧化方面，0.6分：</w:t>
            </w:r>
            <w:r>
              <w:rPr>
                <w:rFonts w:hint="eastAsia" w:ascii="宋体" w:hAnsi="宋体" w:cs="宋体"/>
                <w:kern w:val="0"/>
                <w:sz w:val="18"/>
                <w:szCs w:val="18"/>
                <w:highlight w:val="none"/>
              </w:rPr>
              <w:t>建立中控系统、在线仪表、生产工艺自动化设备、监控视频系统等自动化运行管理维护制度，每缺1项扣0.2分，扣完为止。</w:t>
            </w:r>
          </w:p>
        </w:tc>
      </w:tr>
      <w:tr w14:paraId="33C3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96" w:type="dxa"/>
            <w:vMerge w:val="continue"/>
            <w:shd w:val="clear" w:color="auto" w:fill="auto"/>
            <w:vAlign w:val="center"/>
          </w:tcPr>
          <w:p w14:paraId="66FE2EE9">
            <w:pPr>
              <w:widowControl/>
              <w:spacing w:line="260" w:lineRule="exact"/>
              <w:jc w:val="center"/>
              <w:rPr>
                <w:rFonts w:ascii="宋体" w:hAnsi="宋体" w:cs="宋体"/>
                <w:kern w:val="0"/>
                <w:sz w:val="18"/>
                <w:szCs w:val="18"/>
                <w:highlight w:val="none"/>
              </w:rPr>
            </w:pPr>
          </w:p>
        </w:tc>
        <w:tc>
          <w:tcPr>
            <w:tcW w:w="1066" w:type="dxa"/>
            <w:vMerge w:val="continue"/>
            <w:shd w:val="clear" w:color="auto" w:fill="auto"/>
            <w:vAlign w:val="center"/>
          </w:tcPr>
          <w:p w14:paraId="1536BD21">
            <w:pPr>
              <w:widowControl/>
              <w:spacing w:line="260" w:lineRule="exact"/>
              <w:jc w:val="center"/>
              <w:rPr>
                <w:rFonts w:ascii="宋体" w:hAnsi="宋体" w:cs="宋体"/>
                <w:kern w:val="0"/>
                <w:sz w:val="18"/>
                <w:szCs w:val="18"/>
                <w:highlight w:val="none"/>
              </w:rPr>
            </w:pPr>
          </w:p>
        </w:tc>
        <w:tc>
          <w:tcPr>
            <w:tcW w:w="1135" w:type="dxa"/>
            <w:shd w:val="clear" w:color="auto" w:fill="auto"/>
            <w:vAlign w:val="center"/>
          </w:tcPr>
          <w:p w14:paraId="21E7C20D">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1.1.2档案管理</w:t>
            </w:r>
          </w:p>
          <w:p w14:paraId="4C6AD5B3">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（1.0分）</w:t>
            </w:r>
          </w:p>
        </w:tc>
        <w:tc>
          <w:tcPr>
            <w:tcW w:w="4910" w:type="dxa"/>
            <w:shd w:val="clear" w:color="auto" w:fill="auto"/>
            <w:vAlign w:val="center"/>
          </w:tcPr>
          <w:p w14:paraId="6D40644B">
            <w:pPr>
              <w:widowControl/>
              <w:numPr>
                <w:ilvl w:val="0"/>
                <w:numId w:val="32"/>
              </w:numPr>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档案资料齐全，</w:t>
            </w:r>
            <w:r>
              <w:rPr>
                <w:rFonts w:ascii="宋体" w:hAnsi="宋体" w:cs="宋体"/>
                <w:kern w:val="0"/>
                <w:sz w:val="18"/>
                <w:szCs w:val="18"/>
                <w:highlight w:val="none"/>
              </w:rPr>
              <w:t>涵盖</w:t>
            </w:r>
            <w:r>
              <w:rPr>
                <w:rFonts w:hint="eastAsia" w:ascii="宋体" w:hAnsi="宋体" w:cs="宋体"/>
                <w:kern w:val="0"/>
                <w:sz w:val="18"/>
                <w:szCs w:val="18"/>
                <w:highlight w:val="none"/>
              </w:rPr>
              <w:t>各类规章制度、文件、管理记录等</w:t>
            </w:r>
            <w:r>
              <w:rPr>
                <w:rFonts w:ascii="宋体" w:hAnsi="宋体" w:cs="宋体"/>
                <w:kern w:val="0"/>
                <w:sz w:val="18"/>
                <w:szCs w:val="18"/>
                <w:highlight w:val="none"/>
              </w:rPr>
              <w:t>应归档的文件资料</w:t>
            </w:r>
            <w:r>
              <w:rPr>
                <w:rFonts w:hint="eastAsia" w:ascii="宋体" w:hAnsi="宋体" w:cs="宋体"/>
                <w:kern w:val="0"/>
                <w:sz w:val="18"/>
                <w:szCs w:val="18"/>
                <w:highlight w:val="none"/>
              </w:rPr>
              <w:t>，0.8分。</w:t>
            </w:r>
            <w:r>
              <w:rPr>
                <w:rFonts w:ascii="宋体" w:hAnsi="宋体" w:cs="宋体"/>
                <w:kern w:val="0"/>
                <w:sz w:val="18"/>
                <w:szCs w:val="18"/>
                <w:highlight w:val="none"/>
              </w:rPr>
              <w:t>核查档案</w:t>
            </w:r>
            <w:r>
              <w:rPr>
                <w:rFonts w:hint="eastAsia" w:ascii="宋体" w:hAnsi="宋体" w:cs="宋体"/>
                <w:kern w:val="0"/>
                <w:sz w:val="18"/>
                <w:szCs w:val="18"/>
                <w:highlight w:val="none"/>
              </w:rPr>
              <w:t>资料</w:t>
            </w:r>
            <w:r>
              <w:rPr>
                <w:rFonts w:ascii="宋体" w:hAnsi="宋体" w:cs="宋体"/>
                <w:kern w:val="0"/>
                <w:sz w:val="18"/>
                <w:szCs w:val="18"/>
                <w:highlight w:val="none"/>
              </w:rPr>
              <w:t>的完整性，</w:t>
            </w:r>
            <w:r>
              <w:rPr>
                <w:rFonts w:hint="eastAsia" w:ascii="宋体" w:hAnsi="宋体" w:cs="宋体"/>
                <w:kern w:val="0"/>
                <w:sz w:val="18"/>
                <w:szCs w:val="18"/>
                <w:highlight w:val="none"/>
              </w:rPr>
              <w:t>每缺1项扣0.2分，扣完为止；</w:t>
            </w:r>
          </w:p>
          <w:p w14:paraId="5CCCB20E">
            <w:pPr>
              <w:widowControl/>
              <w:numPr>
                <w:ilvl w:val="0"/>
                <w:numId w:val="32"/>
              </w:numPr>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档案资料实现分类归档，且档案资料管理和标示规范，0.2分。未分类归档，扣0.1分；管理或标示不规范，扣0.1分。</w:t>
            </w:r>
          </w:p>
        </w:tc>
      </w:tr>
      <w:tr w14:paraId="29A7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096" w:type="dxa"/>
            <w:vMerge w:val="continue"/>
            <w:shd w:val="clear" w:color="auto" w:fill="auto"/>
            <w:vAlign w:val="center"/>
          </w:tcPr>
          <w:p w14:paraId="4AE937E2">
            <w:pPr>
              <w:widowControl/>
              <w:spacing w:line="260" w:lineRule="exact"/>
              <w:jc w:val="center"/>
              <w:rPr>
                <w:rFonts w:ascii="宋体" w:hAnsi="宋体" w:cs="宋体"/>
                <w:kern w:val="0"/>
                <w:sz w:val="18"/>
                <w:szCs w:val="18"/>
                <w:highlight w:val="none"/>
              </w:rPr>
            </w:pPr>
          </w:p>
        </w:tc>
        <w:tc>
          <w:tcPr>
            <w:tcW w:w="1066" w:type="dxa"/>
            <w:shd w:val="clear" w:color="auto" w:fill="auto"/>
            <w:vAlign w:val="center"/>
          </w:tcPr>
          <w:p w14:paraId="739206FF">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1.2操作规程</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w:t>
            </w:r>
            <w:r>
              <w:rPr>
                <w:rFonts w:hint="eastAsia" w:ascii="宋体" w:hAnsi="宋体" w:cs="宋体"/>
                <w:kern w:val="0"/>
                <w:sz w:val="18"/>
                <w:szCs w:val="18"/>
                <w:highlight w:val="none"/>
                <w:lang w:val="en-US" w:eastAsia="zh-CN"/>
              </w:rPr>
              <w:t>1.5</w:t>
            </w:r>
            <w:r>
              <w:rPr>
                <w:rFonts w:hint="eastAsia" w:ascii="宋体" w:hAnsi="宋体" w:cs="宋体"/>
                <w:kern w:val="0"/>
                <w:sz w:val="18"/>
                <w:szCs w:val="18"/>
                <w:highlight w:val="none"/>
              </w:rPr>
              <w:t>分）</w:t>
            </w:r>
          </w:p>
        </w:tc>
        <w:tc>
          <w:tcPr>
            <w:tcW w:w="1135" w:type="dxa"/>
            <w:shd w:val="clear" w:color="auto" w:fill="auto"/>
            <w:vAlign w:val="center"/>
          </w:tcPr>
          <w:p w14:paraId="005F9F64">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1.2.1设备操作规程</w:t>
            </w:r>
          </w:p>
          <w:p w14:paraId="6904486B">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（1.5分）</w:t>
            </w:r>
          </w:p>
        </w:tc>
        <w:tc>
          <w:tcPr>
            <w:tcW w:w="4910" w:type="dxa"/>
            <w:shd w:val="clear" w:color="auto" w:fill="auto"/>
            <w:vAlign w:val="center"/>
          </w:tcPr>
          <w:p w14:paraId="1B9AA3C1">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设备操作规程齐全，1.5分。检测仪器设备、电气及机械设备、安全防护设备、特种设备等设备操作规程，每缺1项规程，扣0.3分；规程的适用范围、安全操作要求、作业环境要求、作业防护要求、禁止事项、紧急情况现场处置措施等内容不明确，每有1项不明确，扣0.1分，扣完为止。</w:t>
            </w:r>
          </w:p>
        </w:tc>
      </w:tr>
    </w:tbl>
    <w:p w14:paraId="1D641E4E">
      <w:pPr>
        <w:pStyle w:val="82"/>
        <w:numPr>
          <w:ilvl w:val="0"/>
          <w:numId w:val="0"/>
        </w:numPr>
        <w:spacing w:before="156" w:after="156"/>
        <w:rPr>
          <w:rFonts w:hint="eastAsia"/>
          <w:highlight w:val="none"/>
        </w:rPr>
      </w:pPr>
    </w:p>
    <w:p w14:paraId="282B9B46">
      <w:pPr>
        <w:pStyle w:val="82"/>
        <w:numPr>
          <w:ilvl w:val="0"/>
          <w:numId w:val="0"/>
        </w:numPr>
        <w:spacing w:before="156" w:after="156"/>
        <w:rPr>
          <w:rFonts w:hint="eastAsia" w:eastAsia="黑体"/>
          <w:highlight w:val="none"/>
          <w:lang w:eastAsia="zh-CN"/>
        </w:rPr>
      </w:pPr>
      <w:r>
        <w:rPr>
          <w:rFonts w:hint="eastAsia"/>
          <w:highlight w:val="none"/>
        </w:rPr>
        <w:t>表</w:t>
      </w:r>
      <w:r>
        <w:rPr>
          <w:rFonts w:hint="eastAsia"/>
          <w:highlight w:val="none"/>
          <w:lang w:val="en-US" w:eastAsia="zh-CN"/>
        </w:rPr>
        <w:t>B</w:t>
      </w:r>
      <w:r>
        <w:rPr>
          <w:rFonts w:hint="eastAsia"/>
          <w:highlight w:val="none"/>
        </w:rPr>
        <w:t>.1 城镇公共供水厂运行管理评价计分细则</w:t>
      </w:r>
      <w:r>
        <w:rPr>
          <w:rFonts w:hint="eastAsia" w:ascii="宋体" w:hAnsi="宋体" w:eastAsia="宋体" w:cs="宋体"/>
          <w:highlight w:val="none"/>
          <w:lang w:eastAsia="zh-CN"/>
        </w:rPr>
        <w:t>（续）</w:t>
      </w:r>
    </w:p>
    <w:tbl>
      <w:tblPr>
        <w:tblStyle w:val="30"/>
        <w:tblW w:w="42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66"/>
        <w:gridCol w:w="1115"/>
        <w:gridCol w:w="4860"/>
      </w:tblGrid>
      <w:tr w14:paraId="68F2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11" w:type="dxa"/>
            <w:gridSpan w:val="3"/>
            <w:shd w:val="clear" w:color="auto" w:fill="auto"/>
            <w:vAlign w:val="center"/>
          </w:tcPr>
          <w:p w14:paraId="7DF9103F">
            <w:pPr>
              <w:widowControl/>
              <w:spacing w:line="260" w:lineRule="exact"/>
              <w:jc w:val="center"/>
              <w:rPr>
                <w:rFonts w:hint="eastAsia" w:ascii="宋体" w:hAnsi="宋体" w:cs="宋体"/>
                <w:kern w:val="0"/>
                <w:sz w:val="18"/>
                <w:szCs w:val="18"/>
                <w:highlight w:val="none"/>
              </w:rPr>
            </w:pPr>
            <w:r>
              <w:rPr>
                <w:rFonts w:hint="eastAsia" w:ascii="宋体" w:hAnsi="宋体" w:cs="宋体"/>
                <w:b/>
                <w:bCs/>
                <w:kern w:val="0"/>
                <w:sz w:val="18"/>
                <w:szCs w:val="18"/>
                <w:highlight w:val="none"/>
              </w:rPr>
              <w:t>评价内容</w:t>
            </w:r>
          </w:p>
        </w:tc>
        <w:tc>
          <w:tcPr>
            <w:tcW w:w="4861" w:type="dxa"/>
            <w:vMerge w:val="restart"/>
            <w:shd w:val="clear" w:color="auto" w:fill="auto"/>
            <w:vAlign w:val="center"/>
          </w:tcPr>
          <w:p w14:paraId="73872852">
            <w:pPr>
              <w:widowControl/>
              <w:spacing w:line="260" w:lineRule="exact"/>
              <w:jc w:val="center"/>
              <w:rPr>
                <w:rFonts w:hint="eastAsia" w:ascii="宋体" w:hAnsi="宋体" w:cs="宋体"/>
                <w:kern w:val="0"/>
                <w:sz w:val="18"/>
                <w:szCs w:val="18"/>
                <w:highlight w:val="none"/>
              </w:rPr>
            </w:pPr>
            <w:r>
              <w:rPr>
                <w:rFonts w:hint="eastAsia" w:ascii="宋体" w:hAnsi="宋体" w:cs="宋体"/>
                <w:b/>
                <w:bCs/>
                <w:kern w:val="0"/>
                <w:sz w:val="18"/>
                <w:szCs w:val="18"/>
                <w:highlight w:val="none"/>
              </w:rPr>
              <w:t>评价方法</w:t>
            </w:r>
          </w:p>
        </w:tc>
      </w:tr>
      <w:tr w14:paraId="07F1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0" w:type="dxa"/>
            <w:shd w:val="clear" w:color="auto" w:fill="auto"/>
            <w:vAlign w:val="center"/>
          </w:tcPr>
          <w:p w14:paraId="1D8CD2A9">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一级指标</w:t>
            </w:r>
          </w:p>
        </w:tc>
        <w:tc>
          <w:tcPr>
            <w:tcW w:w="1066" w:type="dxa"/>
            <w:shd w:val="clear" w:color="auto" w:fill="auto"/>
            <w:vAlign w:val="center"/>
          </w:tcPr>
          <w:p w14:paraId="0B892D23">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二级指标</w:t>
            </w:r>
          </w:p>
        </w:tc>
        <w:tc>
          <w:tcPr>
            <w:tcW w:w="1115" w:type="dxa"/>
            <w:shd w:val="clear" w:color="auto" w:fill="auto"/>
            <w:vAlign w:val="center"/>
          </w:tcPr>
          <w:p w14:paraId="3A36CC3F">
            <w:pPr>
              <w:widowControl/>
              <w:spacing w:line="260" w:lineRule="exact"/>
              <w:jc w:val="center"/>
              <w:rPr>
                <w:rFonts w:hint="eastAsia"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三级指标</w:t>
            </w:r>
          </w:p>
        </w:tc>
        <w:tc>
          <w:tcPr>
            <w:tcW w:w="4861" w:type="dxa"/>
            <w:vMerge w:val="continue"/>
            <w:shd w:val="clear" w:color="auto" w:fill="auto"/>
            <w:vAlign w:val="center"/>
          </w:tcPr>
          <w:p w14:paraId="4D736930">
            <w:pPr>
              <w:widowControl/>
              <w:spacing w:line="260" w:lineRule="exact"/>
              <w:jc w:val="left"/>
              <w:rPr>
                <w:rFonts w:hint="eastAsia" w:ascii="宋体" w:hAnsi="宋体" w:cs="宋体"/>
                <w:kern w:val="0"/>
                <w:sz w:val="18"/>
                <w:szCs w:val="18"/>
                <w:highlight w:val="none"/>
              </w:rPr>
            </w:pPr>
          </w:p>
        </w:tc>
      </w:tr>
      <w:tr w14:paraId="6348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030" w:type="dxa"/>
            <w:shd w:val="clear" w:color="auto" w:fill="auto"/>
            <w:vAlign w:val="center"/>
          </w:tcPr>
          <w:p w14:paraId="2ADD7F1F">
            <w:pPr>
              <w:widowControl/>
              <w:spacing w:line="260" w:lineRule="exac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1.0</w:t>
            </w:r>
            <w:r>
              <w:rPr>
                <w:rFonts w:hint="eastAsia" w:ascii="宋体" w:hAnsi="宋体" w:cs="宋体"/>
                <w:kern w:val="0"/>
                <w:sz w:val="18"/>
                <w:szCs w:val="18"/>
                <w:highlight w:val="none"/>
              </w:rPr>
              <w:t>规章制度管理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（10.0）</w:t>
            </w:r>
          </w:p>
        </w:tc>
        <w:tc>
          <w:tcPr>
            <w:tcW w:w="1066" w:type="dxa"/>
            <w:shd w:val="clear" w:color="auto" w:fill="auto"/>
            <w:vAlign w:val="center"/>
          </w:tcPr>
          <w:p w14:paraId="76FD9709">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1.2操作规程</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w:t>
            </w:r>
            <w:r>
              <w:rPr>
                <w:rFonts w:hint="eastAsia" w:ascii="宋体" w:hAnsi="宋体" w:cs="宋体"/>
                <w:kern w:val="0"/>
                <w:sz w:val="18"/>
                <w:szCs w:val="18"/>
                <w:highlight w:val="none"/>
                <w:lang w:val="en-US" w:eastAsia="zh-CN"/>
              </w:rPr>
              <w:t>1.5</w:t>
            </w:r>
            <w:r>
              <w:rPr>
                <w:rFonts w:hint="eastAsia" w:ascii="宋体" w:hAnsi="宋体" w:cs="宋体"/>
                <w:kern w:val="0"/>
                <w:sz w:val="18"/>
                <w:szCs w:val="18"/>
                <w:highlight w:val="none"/>
              </w:rPr>
              <w:t>分）</w:t>
            </w:r>
          </w:p>
        </w:tc>
        <w:tc>
          <w:tcPr>
            <w:tcW w:w="1115" w:type="dxa"/>
            <w:shd w:val="clear" w:color="auto" w:fill="auto"/>
            <w:vAlign w:val="center"/>
          </w:tcPr>
          <w:p w14:paraId="302C017F">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1.2.2岗位操作规程</w:t>
            </w:r>
          </w:p>
          <w:p w14:paraId="239953FA">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（1.5分）</w:t>
            </w:r>
          </w:p>
        </w:tc>
        <w:tc>
          <w:tcPr>
            <w:tcW w:w="4861" w:type="dxa"/>
            <w:shd w:val="clear" w:color="auto" w:fill="auto"/>
            <w:vAlign w:val="center"/>
          </w:tcPr>
          <w:p w14:paraId="47E94BD0">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变配电、钳工、自控、水质化验等岗位操作规程齐全，1.5分。每缺1项规程，扣0.3分；规程的适用范围、安全操作要求、作业环境要求、作业防护要求、禁止事项、紧急情况现场处置措施等内容不明确，每有1项不明确，扣0.1分，扣完为止。</w:t>
            </w:r>
          </w:p>
        </w:tc>
      </w:tr>
      <w:tr w14:paraId="1D95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1030" w:type="dxa"/>
            <w:vMerge w:val="restart"/>
            <w:shd w:val="clear" w:color="auto" w:fill="auto"/>
            <w:vAlign w:val="center"/>
          </w:tcPr>
          <w:p w14:paraId="28B75C62">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2.供水水质</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（16.5分）</w:t>
            </w:r>
          </w:p>
        </w:tc>
        <w:tc>
          <w:tcPr>
            <w:tcW w:w="1066" w:type="dxa"/>
            <w:vMerge w:val="restart"/>
            <w:shd w:val="clear" w:color="auto" w:fill="auto"/>
            <w:vAlign w:val="center"/>
          </w:tcPr>
          <w:p w14:paraId="03AF3665">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2.1水质检测</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（9.0分）</w:t>
            </w:r>
          </w:p>
        </w:tc>
        <w:tc>
          <w:tcPr>
            <w:tcW w:w="1115" w:type="dxa"/>
            <w:shd w:val="clear" w:color="auto" w:fill="auto"/>
            <w:vAlign w:val="center"/>
          </w:tcPr>
          <w:p w14:paraId="27AC7FC1">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2.1.1检测能力</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（3.5分）</w:t>
            </w:r>
          </w:p>
        </w:tc>
        <w:tc>
          <w:tcPr>
            <w:tcW w:w="4861" w:type="dxa"/>
            <w:shd w:val="clear" w:color="auto" w:fill="auto"/>
            <w:vAlign w:val="center"/>
          </w:tcPr>
          <w:p w14:paraId="3E3F000B">
            <w:pPr>
              <w:widowControl/>
              <w:numPr>
                <w:ilvl w:val="0"/>
                <w:numId w:val="33"/>
              </w:numPr>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实验室设备配置满足CJJ/T 182中Ⅲ级要求，设施设备齐全，建立台账，1.0分。实验室缺少1项重要设施设备，扣0.1分；未建立设备台账，扣0.2分。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（2）实验室检测人员数量与水厂规模相匹配，且具备上岗资格条件，1.0分。化验人员配备不足，扣0.5分；</w:t>
            </w:r>
          </w:p>
          <w:p w14:paraId="0039403E">
            <w:pPr>
              <w:widowControl/>
              <w:numPr>
                <w:ilvl w:val="255"/>
                <w:numId w:val="0"/>
              </w:numPr>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（3）检验方法符合GB/T 5750（所有部分）、GB 3838、GB/T 14848、CJ/T 141等相关标准或经认证的检测方法，1.0分。使用未经认证的检测方法，每有1项扣0.1分；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（4）定期进行检测仪器设备检定校准，且仪器设备使用和维护记录规范，0.5分。未定期进行检定校准，扣0.3分；使用和维护记录不规范，扣0.2分。</w:t>
            </w:r>
            <w:r>
              <w:rPr>
                <w:rFonts w:hint="eastAsia" w:ascii="宋体" w:hAnsi="宋体" w:cs="宋体"/>
                <w:kern w:val="0"/>
                <w:sz w:val="18"/>
                <w:szCs w:val="18"/>
                <w:highlight w:val="none"/>
              </w:rPr>
              <w:br w:type="textWrapping"/>
            </w:r>
          </w:p>
        </w:tc>
      </w:tr>
      <w:tr w14:paraId="36D4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30" w:type="dxa"/>
            <w:vMerge w:val="continue"/>
            <w:vAlign w:val="center"/>
          </w:tcPr>
          <w:p w14:paraId="7CBC7483">
            <w:pPr>
              <w:widowControl/>
              <w:spacing w:line="260" w:lineRule="exact"/>
              <w:jc w:val="center"/>
              <w:rPr>
                <w:rFonts w:ascii="宋体" w:hAnsi="宋体" w:cs="宋体"/>
                <w:kern w:val="0"/>
                <w:sz w:val="18"/>
                <w:szCs w:val="18"/>
                <w:highlight w:val="none"/>
              </w:rPr>
            </w:pPr>
          </w:p>
        </w:tc>
        <w:tc>
          <w:tcPr>
            <w:tcW w:w="1066" w:type="dxa"/>
            <w:vMerge w:val="continue"/>
            <w:vAlign w:val="center"/>
          </w:tcPr>
          <w:p w14:paraId="4CFB5206">
            <w:pPr>
              <w:widowControl/>
              <w:spacing w:line="260" w:lineRule="exact"/>
              <w:jc w:val="center"/>
              <w:rPr>
                <w:rFonts w:ascii="宋体" w:hAnsi="宋体" w:cs="宋体"/>
                <w:kern w:val="0"/>
                <w:sz w:val="18"/>
                <w:szCs w:val="18"/>
                <w:highlight w:val="none"/>
              </w:rPr>
            </w:pPr>
          </w:p>
        </w:tc>
        <w:tc>
          <w:tcPr>
            <w:tcW w:w="1115" w:type="dxa"/>
            <w:vAlign w:val="center"/>
          </w:tcPr>
          <w:p w14:paraId="3B48BDE4">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2.1.2水质检测项目和检测频次</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（4.0分）</w:t>
            </w:r>
          </w:p>
        </w:tc>
        <w:tc>
          <w:tcPr>
            <w:tcW w:w="4861" w:type="dxa"/>
            <w:shd w:val="clear" w:color="auto" w:fill="auto"/>
            <w:vAlign w:val="center"/>
          </w:tcPr>
          <w:p w14:paraId="0795B994">
            <w:pPr>
              <w:widowControl/>
              <w:numPr>
                <w:ilvl w:val="0"/>
                <w:numId w:val="34"/>
              </w:numPr>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按照CJ/T 206规定开展原水日检，0.3分。未开展原水日检，扣0.3分；原水日检指标每缺1项扣0.1分，扣完为止；</w:t>
            </w:r>
          </w:p>
          <w:p w14:paraId="3516B4CE">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（2）原水月检，0.7分。未做原水月检，此项不得分；指标数量不符合CJ/T 206规定，每缺1项扣0.1分，扣完0.7分为止；</w:t>
            </w:r>
          </w:p>
          <w:p w14:paraId="5F4EAF44">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（3）原水年检，0.5分。未做原水年检，此项不得分；指标数量不符合CJ/T 206规定，每缺1项扣0.1分，扣完0.5分为止；</w:t>
            </w:r>
          </w:p>
          <w:p w14:paraId="2A9F1CC3">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（4）出厂水日检，0.3分。未做出厂水日检，此项不得分；指标数量不符合CJ/T 206规定，每缺1项扣0.1分，扣完0.3分为止；</w:t>
            </w:r>
          </w:p>
          <w:p w14:paraId="529AAB9F">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（5）出厂水月检，1.5分。未做出厂水月检，此项不得分；指标数量不符合GB 5749中的水质常规指标、消毒剂常规指标及水质扩展指标中可能含有的有害物质，每缺1项扣0.1分，扣完1.5分为止；</w:t>
            </w:r>
          </w:p>
          <w:p w14:paraId="5EC14F78">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（6）出厂水年检，0.7分。未做出厂水年检或半年检（以地表水为水源时，每半年检测1次，以地下水为水源时，每年检测1次），此项不得分；指标数量不符合GB 5749规定的全部项目，每缺1项扣0.1分，扣完0.7分为止。</w:t>
            </w:r>
          </w:p>
        </w:tc>
      </w:tr>
      <w:tr w14:paraId="1481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30" w:type="dxa"/>
            <w:vMerge w:val="continue"/>
            <w:vAlign w:val="center"/>
          </w:tcPr>
          <w:p w14:paraId="04F8D522">
            <w:pPr>
              <w:widowControl/>
              <w:spacing w:line="260" w:lineRule="exact"/>
              <w:jc w:val="center"/>
              <w:rPr>
                <w:rFonts w:ascii="宋体" w:hAnsi="宋体" w:cs="宋体"/>
                <w:kern w:val="0"/>
                <w:sz w:val="18"/>
                <w:szCs w:val="18"/>
                <w:highlight w:val="none"/>
              </w:rPr>
            </w:pPr>
          </w:p>
        </w:tc>
        <w:tc>
          <w:tcPr>
            <w:tcW w:w="1066" w:type="dxa"/>
            <w:vMerge w:val="continue"/>
            <w:vAlign w:val="center"/>
          </w:tcPr>
          <w:p w14:paraId="514EE3CE">
            <w:pPr>
              <w:widowControl/>
              <w:spacing w:line="260" w:lineRule="exact"/>
              <w:jc w:val="center"/>
              <w:rPr>
                <w:rFonts w:ascii="宋体" w:hAnsi="宋体" w:cs="宋体"/>
                <w:kern w:val="0"/>
                <w:sz w:val="18"/>
                <w:szCs w:val="18"/>
                <w:highlight w:val="none"/>
              </w:rPr>
            </w:pPr>
          </w:p>
        </w:tc>
        <w:tc>
          <w:tcPr>
            <w:tcW w:w="1115" w:type="dxa"/>
            <w:vAlign w:val="center"/>
          </w:tcPr>
          <w:p w14:paraId="09FAECA4">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2.1.3水质在线监测</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（1.5分）</w:t>
            </w:r>
          </w:p>
        </w:tc>
        <w:tc>
          <w:tcPr>
            <w:tcW w:w="4861" w:type="dxa"/>
            <w:shd w:val="clear" w:color="auto" w:fill="auto"/>
            <w:vAlign w:val="center"/>
          </w:tcPr>
          <w:p w14:paraId="1D438117">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（1）出厂水浑浊度、消毒剂余量、pH、温度、电导率等实现24h在线监测，1.0分。每缺1项监测指标或数据异常，扣0.2分，扣完为止；</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（2）水质在线监测设备定期校准或与实验室的数据分析比对，0.5分。未校准或分析比对，扣0.5分。</w:t>
            </w:r>
          </w:p>
        </w:tc>
      </w:tr>
    </w:tbl>
    <w:p w14:paraId="2BCFCFD7">
      <w:pPr>
        <w:rPr>
          <w:highlight w:val="none"/>
        </w:rPr>
      </w:pPr>
    </w:p>
    <w:p w14:paraId="3FEE1DEE">
      <w:pPr>
        <w:rPr>
          <w:highlight w:val="none"/>
        </w:rPr>
      </w:pPr>
    </w:p>
    <w:p w14:paraId="417D2219">
      <w:pPr>
        <w:rPr>
          <w:highlight w:val="none"/>
        </w:rPr>
      </w:pPr>
    </w:p>
    <w:p w14:paraId="64A33D11">
      <w:pPr>
        <w:keepNext w:val="0"/>
        <w:keepLines w:val="0"/>
        <w:pageBreakBefore w:val="0"/>
        <w:widowControl w:val="0"/>
        <w:kinsoku/>
        <w:wordWrap/>
        <w:overflowPunct/>
        <w:topLinePunct w:val="0"/>
        <w:autoSpaceDE/>
        <w:autoSpaceDN/>
        <w:bidi w:val="0"/>
        <w:adjustRightInd w:val="0"/>
        <w:snapToGrid/>
        <w:spacing w:before="157" w:beforeLines="50" w:after="157" w:afterLines="50"/>
        <w:jc w:val="center"/>
        <w:textAlignment w:val="auto"/>
        <w:rPr>
          <w:rFonts w:hint="eastAsia" w:ascii="宋体" w:hAnsi="宋体" w:eastAsia="宋体" w:cs="宋体"/>
          <w:kern w:val="21"/>
          <w:sz w:val="21"/>
          <w:szCs w:val="20"/>
          <w:highlight w:val="none"/>
          <w:lang w:val="en-US" w:eastAsia="zh-CN" w:bidi="ar-SA"/>
        </w:rPr>
      </w:pPr>
      <w:r>
        <w:rPr>
          <w:rFonts w:hint="eastAsia" w:ascii="黑体" w:hAnsi="黑体" w:eastAsia="黑体" w:cs="黑体"/>
          <w:b w:val="0"/>
          <w:bCs w:val="0"/>
          <w:highlight w:val="none"/>
        </w:rPr>
        <w:t>表</w:t>
      </w:r>
      <w:r>
        <w:rPr>
          <w:rFonts w:hint="eastAsia" w:ascii="黑体" w:hAnsi="黑体" w:eastAsia="黑体" w:cs="黑体"/>
          <w:b w:val="0"/>
          <w:bCs w:val="0"/>
          <w:highlight w:val="none"/>
          <w:lang w:val="en-US" w:eastAsia="zh-CN"/>
        </w:rPr>
        <w:t>B</w:t>
      </w:r>
      <w:r>
        <w:rPr>
          <w:rFonts w:hint="eastAsia" w:ascii="黑体" w:hAnsi="黑体" w:eastAsia="黑体" w:cs="黑体"/>
          <w:b w:val="0"/>
          <w:bCs w:val="0"/>
          <w:highlight w:val="none"/>
        </w:rPr>
        <w:t>.1 城镇公共供水厂运行管理评价计分细则</w:t>
      </w:r>
      <w:r>
        <w:rPr>
          <w:rFonts w:hint="eastAsia" w:ascii="宋体" w:hAnsi="宋体" w:eastAsia="宋体" w:cs="宋体"/>
          <w:kern w:val="21"/>
          <w:sz w:val="21"/>
          <w:szCs w:val="20"/>
          <w:highlight w:val="none"/>
          <w:lang w:val="en-US" w:eastAsia="zh-CN" w:bidi="ar-SA"/>
        </w:rPr>
        <w:t>（续）</w:t>
      </w:r>
    </w:p>
    <w:tbl>
      <w:tblPr>
        <w:tblStyle w:val="30"/>
        <w:tblW w:w="41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65"/>
        <w:gridCol w:w="1100"/>
        <w:gridCol w:w="4794"/>
      </w:tblGrid>
      <w:tr w14:paraId="078A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03" w:type="dxa"/>
            <w:gridSpan w:val="3"/>
            <w:shd w:val="clear" w:color="auto" w:fill="auto"/>
            <w:vAlign w:val="center"/>
          </w:tcPr>
          <w:p w14:paraId="6B56C805">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b/>
                <w:bCs/>
                <w:kern w:val="0"/>
                <w:sz w:val="18"/>
                <w:szCs w:val="18"/>
                <w:highlight w:val="none"/>
              </w:rPr>
              <w:t>评价内容</w:t>
            </w:r>
          </w:p>
        </w:tc>
        <w:tc>
          <w:tcPr>
            <w:tcW w:w="4795" w:type="dxa"/>
            <w:vMerge w:val="restart"/>
            <w:shd w:val="clear" w:color="auto" w:fill="auto"/>
            <w:vAlign w:val="center"/>
          </w:tcPr>
          <w:p w14:paraId="71C1BC92">
            <w:pPr>
              <w:widowControl/>
              <w:spacing w:line="260" w:lineRule="exact"/>
              <w:jc w:val="center"/>
              <w:rPr>
                <w:rFonts w:hint="eastAsia" w:ascii="宋体" w:hAnsi="宋体" w:cs="宋体"/>
                <w:kern w:val="0"/>
                <w:sz w:val="18"/>
                <w:szCs w:val="18"/>
                <w:highlight w:val="none"/>
              </w:rPr>
            </w:pPr>
            <w:r>
              <w:rPr>
                <w:rFonts w:hint="eastAsia" w:ascii="宋体" w:hAnsi="宋体" w:cs="宋体"/>
                <w:b/>
                <w:bCs/>
                <w:kern w:val="0"/>
                <w:sz w:val="18"/>
                <w:szCs w:val="18"/>
                <w:highlight w:val="none"/>
              </w:rPr>
              <w:t>评价方法</w:t>
            </w:r>
          </w:p>
        </w:tc>
      </w:tr>
      <w:tr w14:paraId="4548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8" w:type="dxa"/>
            <w:shd w:val="clear" w:color="auto" w:fill="auto"/>
            <w:vAlign w:val="center"/>
          </w:tcPr>
          <w:p w14:paraId="32E6C248">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一级指标</w:t>
            </w:r>
          </w:p>
        </w:tc>
        <w:tc>
          <w:tcPr>
            <w:tcW w:w="1065" w:type="dxa"/>
            <w:shd w:val="clear" w:color="auto" w:fill="auto"/>
            <w:vAlign w:val="center"/>
          </w:tcPr>
          <w:p w14:paraId="3C324F64">
            <w:pPr>
              <w:widowControl/>
              <w:spacing w:line="260" w:lineRule="exact"/>
              <w:jc w:val="center"/>
              <w:rPr>
                <w:rFonts w:hint="eastAsia"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二级指标</w:t>
            </w:r>
          </w:p>
        </w:tc>
        <w:tc>
          <w:tcPr>
            <w:tcW w:w="1100" w:type="dxa"/>
            <w:shd w:val="clear" w:color="auto" w:fill="auto"/>
            <w:vAlign w:val="center"/>
          </w:tcPr>
          <w:p w14:paraId="77182391">
            <w:pPr>
              <w:widowControl/>
              <w:spacing w:line="260" w:lineRule="exact"/>
              <w:jc w:val="center"/>
              <w:rPr>
                <w:rFonts w:hint="eastAsia"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三级指标</w:t>
            </w:r>
          </w:p>
        </w:tc>
        <w:tc>
          <w:tcPr>
            <w:tcW w:w="4795" w:type="dxa"/>
            <w:vMerge w:val="continue"/>
            <w:shd w:val="clear" w:color="auto" w:fill="auto"/>
            <w:vAlign w:val="center"/>
          </w:tcPr>
          <w:p w14:paraId="2C2ADE35">
            <w:pPr>
              <w:widowControl/>
              <w:spacing w:line="260" w:lineRule="exact"/>
              <w:jc w:val="left"/>
              <w:rPr>
                <w:rFonts w:hint="eastAsia" w:ascii="宋体" w:hAnsi="宋体" w:cs="宋体"/>
                <w:kern w:val="0"/>
                <w:sz w:val="18"/>
                <w:szCs w:val="18"/>
                <w:highlight w:val="none"/>
              </w:rPr>
            </w:pPr>
          </w:p>
        </w:tc>
      </w:tr>
      <w:tr w14:paraId="6FD7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1038" w:type="dxa"/>
            <w:vMerge w:val="restart"/>
            <w:vAlign w:val="center"/>
          </w:tcPr>
          <w:p w14:paraId="56219A2F">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2.供水水质</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（16.5分）</w:t>
            </w:r>
          </w:p>
        </w:tc>
        <w:tc>
          <w:tcPr>
            <w:tcW w:w="1065" w:type="dxa"/>
            <w:vMerge w:val="restart"/>
            <w:shd w:val="clear" w:color="auto" w:fill="auto"/>
            <w:vAlign w:val="center"/>
          </w:tcPr>
          <w:p w14:paraId="6F2741DB">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2.2水质达标管理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（7.5分）</w:t>
            </w:r>
          </w:p>
        </w:tc>
        <w:tc>
          <w:tcPr>
            <w:tcW w:w="1100" w:type="dxa"/>
            <w:shd w:val="clear" w:color="auto" w:fill="auto"/>
            <w:vAlign w:val="center"/>
          </w:tcPr>
          <w:p w14:paraId="3F669F72">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2.2.1出厂水水质达标率</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（3.5分）</w:t>
            </w:r>
          </w:p>
        </w:tc>
        <w:tc>
          <w:tcPr>
            <w:tcW w:w="4795" w:type="dxa"/>
            <w:shd w:val="clear" w:color="auto" w:fill="auto"/>
            <w:vAlign w:val="center"/>
          </w:tcPr>
          <w:p w14:paraId="3737F91F">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（1）日检结果达标，0.5分。其中有1项指标不达标，扣0.5分；</w:t>
            </w:r>
          </w:p>
          <w:p w14:paraId="13914DB3">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（2）月检结果达标，1.0分。其中有1项指标不达标，扣1.0分；</w:t>
            </w:r>
          </w:p>
          <w:p w14:paraId="055AED63">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（3）年检结果达标，1.0分。其中有1项指标不达标，扣1.0分；</w:t>
            </w:r>
          </w:p>
          <w:p w14:paraId="2DFEF746">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（4）出厂水水质样品达标率≥98%，1.0分。达标率&lt;98%，不得分。</w:t>
            </w:r>
          </w:p>
        </w:tc>
      </w:tr>
      <w:tr w14:paraId="1096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2" w:hRule="atLeast"/>
          <w:jc w:val="center"/>
        </w:trPr>
        <w:tc>
          <w:tcPr>
            <w:tcW w:w="1038" w:type="dxa"/>
            <w:vMerge w:val="continue"/>
            <w:vAlign w:val="center"/>
          </w:tcPr>
          <w:p w14:paraId="0F98D60B">
            <w:pPr>
              <w:widowControl/>
              <w:spacing w:line="260" w:lineRule="exact"/>
              <w:jc w:val="center"/>
              <w:rPr>
                <w:rFonts w:ascii="宋体" w:hAnsi="宋体" w:cs="宋体"/>
                <w:kern w:val="0"/>
                <w:sz w:val="18"/>
                <w:szCs w:val="18"/>
                <w:highlight w:val="none"/>
              </w:rPr>
            </w:pPr>
          </w:p>
        </w:tc>
        <w:tc>
          <w:tcPr>
            <w:tcW w:w="1065" w:type="dxa"/>
            <w:vMerge w:val="continue"/>
            <w:shd w:val="clear" w:color="auto" w:fill="auto"/>
            <w:vAlign w:val="center"/>
          </w:tcPr>
          <w:p w14:paraId="6AFE33D0">
            <w:pPr>
              <w:widowControl/>
              <w:spacing w:line="260" w:lineRule="exact"/>
              <w:jc w:val="center"/>
              <w:rPr>
                <w:rFonts w:ascii="宋体" w:hAnsi="宋体" w:cs="宋体"/>
                <w:kern w:val="0"/>
                <w:sz w:val="18"/>
                <w:szCs w:val="18"/>
                <w:highlight w:val="none"/>
              </w:rPr>
            </w:pPr>
          </w:p>
        </w:tc>
        <w:tc>
          <w:tcPr>
            <w:tcW w:w="1100" w:type="dxa"/>
            <w:shd w:val="clear" w:color="auto" w:fill="auto"/>
            <w:vAlign w:val="center"/>
          </w:tcPr>
          <w:p w14:paraId="3247D20F">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2.2.2重点项目内控指标控制</w:t>
            </w:r>
          </w:p>
          <w:p w14:paraId="1B9AAA85">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（4.0分）</w:t>
            </w:r>
          </w:p>
        </w:tc>
        <w:tc>
          <w:tcPr>
            <w:tcW w:w="4795" w:type="dxa"/>
            <w:shd w:val="clear" w:color="auto" w:fill="auto"/>
            <w:vAlign w:val="center"/>
          </w:tcPr>
          <w:p w14:paraId="0DB6100E">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（1）评价期，出厂水浑浊度均值≤0.1NTU，1.0分。0.1NTU&lt;浑浊度均值≤0.2NTU，0.8分；0.2NTU&lt;浑浊度均值≤0.5NTU，0.5分，其余不得分；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（2）评价期，出厂水高锰酸盐指数均值≤1.5mg/L，1.0分；1.5mg/L&lt;高锰酸盐指数均值≤2.0mg/L，0.8分；2.0mg/L&lt;高锰酸盐指数均值≤2.5mg/L，0.5分，其余不得分；</w:t>
            </w:r>
          </w:p>
          <w:p w14:paraId="5F09CD53">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（3）次氯酸钠消毒：出厂水三卤甲烷均值≤0.5，1.0分；0.5&lt;三卤甲烷均值≤0.7，0.8分；0.7&lt;三卤甲烷均值≤0.85，0.5分，其余不得分；</w:t>
            </w:r>
          </w:p>
          <w:p w14:paraId="4863B0CC">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二氧化氯消毒（高纯式）：出厂水亚氯酸盐均值≤0.4mg/L，1.0分；0.4mg/L&lt;亚氯酸盐均值≤0.5mg/L，0.8分；0.5mg/L&lt;亚氯酸盐均值≤0.6mg/L，0.5分，其余不得分；</w:t>
            </w:r>
          </w:p>
          <w:p w14:paraId="2BCA836F">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（4）日均消毒剂余量保障率≥98%，1.0分；95%≤日均消毒剂余量保障率&lt;98%，0.5分；其余不得分。</w:t>
            </w:r>
          </w:p>
          <w:p w14:paraId="5B6F3463">
            <w:pPr>
              <w:widowControl/>
              <w:spacing w:line="260" w:lineRule="exact"/>
              <w:ind w:firstLine="360" w:firstLineChars="200"/>
              <w:jc w:val="left"/>
              <w:rPr>
                <w:rFonts w:ascii="宋体" w:hAnsi="宋体" w:cs="宋体"/>
                <w:kern w:val="0"/>
                <w:sz w:val="18"/>
                <w:szCs w:val="18"/>
                <w:highlight w:val="none"/>
              </w:rPr>
            </w:pPr>
            <w:r>
              <w:rPr>
                <w:rFonts w:hint="eastAsia" w:ascii="宋体" w:hAnsi="宋体" w:cs="宋体"/>
                <w:kern w:val="0"/>
                <w:sz w:val="18"/>
                <w:szCs w:val="18"/>
                <w:highlight w:val="none"/>
              </w:rPr>
              <w:t>出厂水消毒剂余量在水厂内控目标值内的，即为满足保障率。</w:t>
            </w:r>
          </w:p>
        </w:tc>
      </w:tr>
      <w:tr w14:paraId="0807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038" w:type="dxa"/>
            <w:vMerge w:val="restart"/>
            <w:shd w:val="clear" w:color="auto" w:fill="auto"/>
            <w:vAlign w:val="center"/>
          </w:tcPr>
          <w:p w14:paraId="6762FF30">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3.制水工艺（17.0分）</w:t>
            </w:r>
          </w:p>
        </w:tc>
        <w:tc>
          <w:tcPr>
            <w:tcW w:w="1065" w:type="dxa"/>
            <w:vMerge w:val="restart"/>
            <w:shd w:val="clear" w:color="auto" w:fill="auto"/>
            <w:vAlign w:val="center"/>
          </w:tcPr>
          <w:p w14:paraId="532D1EBE">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3.1总体评价</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1100" w:type="dxa"/>
            <w:shd w:val="clear" w:color="auto" w:fill="auto"/>
            <w:vAlign w:val="center"/>
          </w:tcPr>
          <w:p w14:paraId="74ED0871">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3.1.1工艺运行效果评价</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（0.6分）</w:t>
            </w:r>
          </w:p>
        </w:tc>
        <w:tc>
          <w:tcPr>
            <w:tcW w:w="4795" w:type="dxa"/>
            <w:shd w:val="clear" w:color="auto" w:fill="auto"/>
            <w:vAlign w:val="center"/>
          </w:tcPr>
          <w:p w14:paraId="78C27817">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年度对原水水质、制水工艺运行效果进行分析评价，包括原水水质变化趋势分析、特定项目的去除率分析等，0.6分。</w:t>
            </w:r>
          </w:p>
        </w:tc>
      </w:tr>
      <w:tr w14:paraId="24AB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038" w:type="dxa"/>
            <w:vMerge w:val="continue"/>
            <w:shd w:val="clear" w:color="auto" w:fill="auto"/>
            <w:vAlign w:val="center"/>
          </w:tcPr>
          <w:p w14:paraId="51EE34D0">
            <w:pPr>
              <w:widowControl/>
              <w:spacing w:line="260" w:lineRule="exact"/>
              <w:jc w:val="center"/>
              <w:rPr>
                <w:rFonts w:ascii="宋体" w:hAnsi="宋体" w:cs="宋体"/>
                <w:kern w:val="0"/>
                <w:sz w:val="18"/>
                <w:szCs w:val="18"/>
                <w:highlight w:val="none"/>
              </w:rPr>
            </w:pPr>
          </w:p>
        </w:tc>
        <w:tc>
          <w:tcPr>
            <w:tcW w:w="1065" w:type="dxa"/>
            <w:vMerge w:val="continue"/>
            <w:shd w:val="clear" w:color="auto" w:fill="auto"/>
            <w:vAlign w:val="center"/>
          </w:tcPr>
          <w:p w14:paraId="79545CC2">
            <w:pPr>
              <w:widowControl/>
              <w:spacing w:line="260" w:lineRule="exact"/>
              <w:jc w:val="center"/>
              <w:rPr>
                <w:rFonts w:ascii="宋体" w:hAnsi="宋体" w:cs="宋体"/>
                <w:kern w:val="0"/>
                <w:sz w:val="18"/>
                <w:szCs w:val="18"/>
                <w:highlight w:val="none"/>
              </w:rPr>
            </w:pPr>
          </w:p>
        </w:tc>
        <w:tc>
          <w:tcPr>
            <w:tcW w:w="1100" w:type="dxa"/>
            <w:shd w:val="clear" w:color="auto" w:fill="auto"/>
            <w:vAlign w:val="center"/>
          </w:tcPr>
          <w:p w14:paraId="7CA7F929">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3.1.2评价报告编制</w:t>
            </w:r>
          </w:p>
          <w:p w14:paraId="46C76265">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（0.4分）</w:t>
            </w:r>
          </w:p>
        </w:tc>
        <w:tc>
          <w:tcPr>
            <w:tcW w:w="4795" w:type="dxa"/>
            <w:shd w:val="clear" w:color="auto" w:fill="auto"/>
            <w:vAlign w:val="center"/>
          </w:tcPr>
          <w:p w14:paraId="0DAAD071">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分析评价报告内容完善，0.4分。</w:t>
            </w:r>
          </w:p>
        </w:tc>
      </w:tr>
      <w:tr w14:paraId="1437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038" w:type="dxa"/>
            <w:vMerge w:val="continue"/>
            <w:vAlign w:val="center"/>
          </w:tcPr>
          <w:p w14:paraId="759DF5FC">
            <w:pPr>
              <w:widowControl/>
              <w:spacing w:line="260" w:lineRule="exact"/>
              <w:jc w:val="center"/>
              <w:rPr>
                <w:rFonts w:ascii="宋体" w:hAnsi="宋体" w:cs="宋体"/>
                <w:kern w:val="0"/>
                <w:sz w:val="18"/>
                <w:szCs w:val="18"/>
                <w:highlight w:val="none"/>
              </w:rPr>
            </w:pPr>
          </w:p>
        </w:tc>
        <w:tc>
          <w:tcPr>
            <w:tcW w:w="1065" w:type="dxa"/>
            <w:vMerge w:val="restart"/>
            <w:shd w:val="clear" w:color="auto" w:fill="auto"/>
            <w:vAlign w:val="center"/>
          </w:tcPr>
          <w:p w14:paraId="47144163">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3.2质量控制</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w:t>
            </w:r>
            <w:r>
              <w:rPr>
                <w:rFonts w:hint="eastAsia" w:ascii="宋体" w:hAnsi="宋体" w:cs="宋体"/>
                <w:kern w:val="0"/>
                <w:sz w:val="18"/>
                <w:szCs w:val="18"/>
                <w:highlight w:val="none"/>
                <w:lang w:val="en-US" w:eastAsia="zh-CN"/>
              </w:rPr>
              <w:t>3</w:t>
            </w:r>
            <w:r>
              <w:rPr>
                <w:rFonts w:hint="eastAsia" w:ascii="宋体" w:hAnsi="宋体" w:cs="宋体"/>
                <w:kern w:val="0"/>
                <w:sz w:val="18"/>
                <w:szCs w:val="18"/>
                <w:highlight w:val="none"/>
              </w:rPr>
              <w:t>.0分）</w:t>
            </w:r>
          </w:p>
        </w:tc>
        <w:tc>
          <w:tcPr>
            <w:tcW w:w="1100" w:type="dxa"/>
            <w:shd w:val="clear" w:color="auto" w:fill="auto"/>
            <w:vAlign w:val="center"/>
          </w:tcPr>
          <w:p w14:paraId="6403DD56">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3.2.1工艺调整</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795" w:type="dxa"/>
            <w:shd w:val="clear" w:color="auto" w:fill="auto"/>
            <w:vAlign w:val="center"/>
          </w:tcPr>
          <w:p w14:paraId="29C97F34">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（1）根据水质控制目标和水源水质特点，确定运行工艺，0.3分；</w:t>
            </w:r>
          </w:p>
          <w:p w14:paraId="08D08BF3">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当遇到自然灾害、突发性事件等可能导致水源水质异常时，根据具体情况提出优化方案，适时调整水处理工艺，且效果明显，0.7分。提出优化方案，适时调整水处理工艺，但效果不明显，扣0.4分；未提出优化方案和工艺调整，扣0.7分。</w:t>
            </w:r>
          </w:p>
        </w:tc>
      </w:tr>
      <w:tr w14:paraId="3308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038" w:type="dxa"/>
            <w:vMerge w:val="continue"/>
            <w:vAlign w:val="center"/>
          </w:tcPr>
          <w:p w14:paraId="0F9B6651">
            <w:pPr>
              <w:widowControl/>
              <w:spacing w:line="260" w:lineRule="exact"/>
              <w:jc w:val="center"/>
              <w:rPr>
                <w:rFonts w:ascii="宋体" w:hAnsi="宋体" w:cs="宋体"/>
                <w:kern w:val="0"/>
                <w:sz w:val="18"/>
                <w:szCs w:val="18"/>
                <w:highlight w:val="none"/>
              </w:rPr>
            </w:pPr>
          </w:p>
        </w:tc>
        <w:tc>
          <w:tcPr>
            <w:tcW w:w="1065" w:type="dxa"/>
            <w:vMerge w:val="continue"/>
            <w:vAlign w:val="center"/>
          </w:tcPr>
          <w:p w14:paraId="1477C5AD">
            <w:pPr>
              <w:widowControl/>
              <w:spacing w:line="260" w:lineRule="exact"/>
              <w:jc w:val="center"/>
              <w:rPr>
                <w:rFonts w:ascii="宋体" w:hAnsi="宋体" w:cs="宋体"/>
                <w:kern w:val="0"/>
                <w:sz w:val="18"/>
                <w:szCs w:val="18"/>
                <w:highlight w:val="none"/>
              </w:rPr>
            </w:pPr>
          </w:p>
        </w:tc>
        <w:tc>
          <w:tcPr>
            <w:tcW w:w="1100" w:type="dxa"/>
            <w:vAlign w:val="center"/>
          </w:tcPr>
          <w:p w14:paraId="41490388">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3.2.2工序质控</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（2.0分）</w:t>
            </w:r>
          </w:p>
        </w:tc>
        <w:tc>
          <w:tcPr>
            <w:tcW w:w="4795" w:type="dxa"/>
            <w:shd w:val="clear" w:color="auto" w:fill="auto"/>
            <w:noWrap/>
            <w:vAlign w:val="center"/>
          </w:tcPr>
          <w:p w14:paraId="50628CD9">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（1）工艺单元水质内控标准，1.0分；</w:t>
            </w:r>
          </w:p>
          <w:p w14:paraId="084B05FB">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（2）配备在线监测设备，且运行正常，1.0分。配备在线监测设备，但运行异常，扣0.5分；未配备扣1.0分。</w:t>
            </w:r>
          </w:p>
        </w:tc>
      </w:tr>
    </w:tbl>
    <w:p w14:paraId="4AD4769A">
      <w:pPr>
        <w:rPr>
          <w:highlight w:val="none"/>
        </w:rPr>
      </w:pPr>
    </w:p>
    <w:p w14:paraId="1006CD1E">
      <w:pPr>
        <w:keepNext w:val="0"/>
        <w:keepLines w:val="0"/>
        <w:pageBreakBefore w:val="0"/>
        <w:widowControl w:val="0"/>
        <w:kinsoku/>
        <w:wordWrap/>
        <w:overflowPunct/>
        <w:topLinePunct w:val="0"/>
        <w:autoSpaceDE/>
        <w:autoSpaceDN/>
        <w:bidi w:val="0"/>
        <w:adjustRightInd w:val="0"/>
        <w:snapToGrid/>
        <w:spacing w:before="157" w:beforeLines="50" w:after="157" w:afterLines="50"/>
        <w:jc w:val="center"/>
        <w:textAlignment w:val="auto"/>
        <w:rPr>
          <w:rFonts w:hint="eastAsia" w:ascii="宋体" w:hAnsi="宋体" w:eastAsia="宋体" w:cs="宋体"/>
          <w:kern w:val="21"/>
          <w:sz w:val="21"/>
          <w:szCs w:val="20"/>
          <w:highlight w:val="none"/>
          <w:lang w:val="en-US" w:eastAsia="zh-CN" w:bidi="ar-SA"/>
        </w:rPr>
      </w:pPr>
      <w:r>
        <w:rPr>
          <w:rFonts w:hint="eastAsia" w:ascii="黑体" w:hAnsi="黑体" w:eastAsia="黑体" w:cs="黑体"/>
          <w:b w:val="0"/>
          <w:bCs w:val="0"/>
          <w:highlight w:val="none"/>
        </w:rPr>
        <w:t>表</w:t>
      </w:r>
      <w:r>
        <w:rPr>
          <w:rFonts w:hint="eastAsia" w:ascii="黑体" w:hAnsi="黑体" w:eastAsia="黑体" w:cs="黑体"/>
          <w:b w:val="0"/>
          <w:bCs w:val="0"/>
          <w:highlight w:val="none"/>
          <w:lang w:val="en-US" w:eastAsia="zh-CN"/>
        </w:rPr>
        <w:t>B</w:t>
      </w:r>
      <w:r>
        <w:rPr>
          <w:rFonts w:hint="eastAsia" w:ascii="黑体" w:hAnsi="黑体" w:eastAsia="黑体" w:cs="黑体"/>
          <w:b w:val="0"/>
          <w:bCs w:val="0"/>
          <w:highlight w:val="none"/>
        </w:rPr>
        <w:t>.1 城镇公共供水厂运行管理评价计分细则</w:t>
      </w:r>
      <w:r>
        <w:rPr>
          <w:rFonts w:hint="eastAsia" w:ascii="宋体" w:hAnsi="宋体" w:eastAsia="宋体" w:cs="宋体"/>
          <w:kern w:val="21"/>
          <w:sz w:val="21"/>
          <w:szCs w:val="20"/>
          <w:highlight w:val="none"/>
          <w:lang w:val="en-US" w:eastAsia="zh-CN" w:bidi="ar-SA"/>
        </w:rPr>
        <w:t>（续）</w:t>
      </w:r>
    </w:p>
    <w:tbl>
      <w:tblPr>
        <w:tblStyle w:val="30"/>
        <w:tblW w:w="41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025"/>
        <w:gridCol w:w="1156"/>
        <w:gridCol w:w="4698"/>
      </w:tblGrid>
      <w:tr w14:paraId="01C9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2" w:type="dxa"/>
            <w:gridSpan w:val="3"/>
            <w:shd w:val="clear" w:color="auto" w:fill="auto"/>
            <w:vAlign w:val="center"/>
          </w:tcPr>
          <w:p w14:paraId="3B56721A">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b/>
                <w:bCs/>
                <w:kern w:val="0"/>
                <w:sz w:val="18"/>
                <w:szCs w:val="18"/>
                <w:highlight w:val="none"/>
              </w:rPr>
              <w:t>评价内容</w:t>
            </w:r>
          </w:p>
        </w:tc>
        <w:tc>
          <w:tcPr>
            <w:tcW w:w="4698" w:type="dxa"/>
            <w:vMerge w:val="restart"/>
            <w:shd w:val="clear" w:color="auto" w:fill="auto"/>
            <w:vAlign w:val="center"/>
          </w:tcPr>
          <w:p w14:paraId="1993B493">
            <w:pPr>
              <w:widowControl/>
              <w:spacing w:line="260" w:lineRule="exact"/>
              <w:jc w:val="center"/>
              <w:rPr>
                <w:rFonts w:hint="eastAsia" w:ascii="宋体" w:hAnsi="宋体" w:cs="宋体"/>
                <w:kern w:val="0"/>
                <w:sz w:val="18"/>
                <w:szCs w:val="18"/>
                <w:highlight w:val="none"/>
              </w:rPr>
            </w:pPr>
            <w:r>
              <w:rPr>
                <w:rFonts w:hint="eastAsia" w:ascii="宋体" w:hAnsi="宋体" w:cs="宋体"/>
                <w:b/>
                <w:bCs/>
                <w:kern w:val="0"/>
                <w:sz w:val="18"/>
                <w:szCs w:val="18"/>
                <w:highlight w:val="none"/>
              </w:rPr>
              <w:t>评价方法</w:t>
            </w:r>
          </w:p>
        </w:tc>
      </w:tr>
      <w:tr w14:paraId="3EC6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91" w:type="dxa"/>
            <w:shd w:val="clear" w:color="auto" w:fill="auto"/>
            <w:vAlign w:val="center"/>
          </w:tcPr>
          <w:p w14:paraId="3A2EF65A">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一级指标</w:t>
            </w:r>
          </w:p>
        </w:tc>
        <w:tc>
          <w:tcPr>
            <w:tcW w:w="1025" w:type="dxa"/>
            <w:shd w:val="clear" w:color="auto" w:fill="auto"/>
            <w:vAlign w:val="center"/>
          </w:tcPr>
          <w:p w14:paraId="6E13E21F">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二级指标</w:t>
            </w:r>
          </w:p>
        </w:tc>
        <w:tc>
          <w:tcPr>
            <w:tcW w:w="1156" w:type="dxa"/>
            <w:shd w:val="clear" w:color="auto" w:fill="auto"/>
            <w:vAlign w:val="center"/>
          </w:tcPr>
          <w:p w14:paraId="75F56639">
            <w:pPr>
              <w:widowControl/>
              <w:spacing w:line="260" w:lineRule="exact"/>
              <w:jc w:val="center"/>
              <w:rPr>
                <w:rFonts w:hint="eastAsia"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三级指标</w:t>
            </w:r>
          </w:p>
        </w:tc>
        <w:tc>
          <w:tcPr>
            <w:tcW w:w="4698" w:type="dxa"/>
            <w:vMerge w:val="continue"/>
            <w:shd w:val="clear" w:color="auto" w:fill="auto"/>
            <w:vAlign w:val="center"/>
          </w:tcPr>
          <w:p w14:paraId="61E398CB">
            <w:pPr>
              <w:widowControl/>
              <w:numPr>
                <w:ilvl w:val="0"/>
                <w:numId w:val="0"/>
              </w:numPr>
              <w:spacing w:line="260" w:lineRule="exact"/>
              <w:jc w:val="left"/>
              <w:rPr>
                <w:rFonts w:hint="eastAsia" w:ascii="宋体" w:hAnsi="宋体" w:cs="宋体"/>
                <w:kern w:val="0"/>
                <w:sz w:val="18"/>
                <w:szCs w:val="18"/>
                <w:highlight w:val="none"/>
              </w:rPr>
            </w:pPr>
          </w:p>
        </w:tc>
      </w:tr>
      <w:tr w14:paraId="3C51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091" w:type="dxa"/>
            <w:vMerge w:val="restart"/>
            <w:vAlign w:val="center"/>
          </w:tcPr>
          <w:p w14:paraId="753786FD">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3.制水工艺（17.0分）</w:t>
            </w:r>
          </w:p>
        </w:tc>
        <w:tc>
          <w:tcPr>
            <w:tcW w:w="1025" w:type="dxa"/>
            <w:vAlign w:val="center"/>
          </w:tcPr>
          <w:p w14:paraId="68649742">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3.2质量控制</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w:t>
            </w:r>
            <w:r>
              <w:rPr>
                <w:rFonts w:hint="eastAsia" w:ascii="宋体" w:hAnsi="宋体" w:cs="宋体"/>
                <w:kern w:val="0"/>
                <w:sz w:val="18"/>
                <w:szCs w:val="18"/>
                <w:highlight w:val="none"/>
                <w:lang w:val="en-US" w:eastAsia="zh-CN"/>
              </w:rPr>
              <w:t>2</w:t>
            </w:r>
            <w:r>
              <w:rPr>
                <w:rFonts w:hint="eastAsia" w:ascii="宋体" w:hAnsi="宋体" w:cs="宋体"/>
                <w:kern w:val="0"/>
                <w:sz w:val="18"/>
                <w:szCs w:val="18"/>
                <w:highlight w:val="none"/>
              </w:rPr>
              <w:t>.0分）</w:t>
            </w:r>
          </w:p>
        </w:tc>
        <w:tc>
          <w:tcPr>
            <w:tcW w:w="1156" w:type="dxa"/>
            <w:vAlign w:val="center"/>
          </w:tcPr>
          <w:p w14:paraId="34F03D11">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3.2.3净水药剂及材料</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（2.0分）</w:t>
            </w:r>
          </w:p>
        </w:tc>
        <w:tc>
          <w:tcPr>
            <w:tcW w:w="4698" w:type="dxa"/>
            <w:shd w:val="clear" w:color="auto" w:fill="auto"/>
            <w:vAlign w:val="center"/>
          </w:tcPr>
          <w:p w14:paraId="59B8DE8E">
            <w:pPr>
              <w:widowControl/>
              <w:numPr>
                <w:ilvl w:val="0"/>
                <w:numId w:val="35"/>
              </w:numPr>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与水直接接触的输配水设备、防护材料、水处理材料、药剂等，</w:t>
            </w:r>
            <w:r>
              <w:rPr>
                <w:rFonts w:hint="eastAsia" w:ascii="宋体" w:hAnsi="宋体" w:cs="宋体"/>
                <w:kern w:val="0"/>
                <w:sz w:val="18"/>
                <w:szCs w:val="18"/>
                <w:highlight w:val="none"/>
                <w:lang w:eastAsia="zh-CN"/>
              </w:rPr>
              <w:t>有</w:t>
            </w:r>
            <w:r>
              <w:rPr>
                <w:rFonts w:hint="eastAsia" w:ascii="宋体" w:hAnsi="宋体" w:cs="宋体"/>
                <w:kern w:val="0"/>
                <w:sz w:val="18"/>
                <w:szCs w:val="18"/>
                <w:highlight w:val="none"/>
              </w:rPr>
              <w:t>效的生产许可证、卫生许可证、产品合格证及检验报告，且执行索证及验收制度，1.0分。生产许可证、卫生许可证、产品合格证及检验报告，每缺1项扣0.2分，扣完为止；未执行索证及验收制度，扣0.4分；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（2）净水药剂及材料久存后和投入使用前按照CJJ58要求进行抽检，且有抽检记录，1.0分。开展抽检，但无抽检记录，扣0.3分；未开展抽检，扣1.0分。</w:t>
            </w:r>
          </w:p>
        </w:tc>
      </w:tr>
      <w:tr w14:paraId="66DD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091" w:type="dxa"/>
            <w:vMerge w:val="continue"/>
            <w:vAlign w:val="center"/>
          </w:tcPr>
          <w:p w14:paraId="20512BA0">
            <w:pPr>
              <w:widowControl/>
              <w:spacing w:line="260" w:lineRule="exact"/>
              <w:jc w:val="center"/>
              <w:rPr>
                <w:rFonts w:ascii="宋体" w:hAnsi="宋体" w:cs="宋体"/>
                <w:kern w:val="0"/>
                <w:sz w:val="18"/>
                <w:szCs w:val="18"/>
                <w:highlight w:val="none"/>
              </w:rPr>
            </w:pPr>
          </w:p>
        </w:tc>
        <w:tc>
          <w:tcPr>
            <w:tcW w:w="1025" w:type="dxa"/>
            <w:vMerge w:val="restart"/>
            <w:shd w:val="clear" w:color="auto" w:fill="auto"/>
            <w:vAlign w:val="center"/>
          </w:tcPr>
          <w:p w14:paraId="7C7DECD7">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3.3常规水处理单元管理（3.0分）</w:t>
            </w:r>
          </w:p>
        </w:tc>
        <w:tc>
          <w:tcPr>
            <w:tcW w:w="1156" w:type="dxa"/>
            <w:shd w:val="clear" w:color="auto" w:fill="auto"/>
            <w:vAlign w:val="center"/>
          </w:tcPr>
          <w:p w14:paraId="224B6DF1">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3.3.1药剂投加</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698" w:type="dxa"/>
            <w:shd w:val="clear" w:color="auto" w:fill="auto"/>
            <w:vAlign w:val="center"/>
          </w:tcPr>
          <w:p w14:paraId="6A8B1727">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（1）实现自动投加，0.5分；</w:t>
            </w:r>
          </w:p>
          <w:p w14:paraId="4DB2A904">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（2）定期开展烧杯试验，且有试验记录，0.5分。开展烧杯试验，但无试验记录，扣0.2分；未开展烧杯试验，扣0.5分。</w:t>
            </w:r>
          </w:p>
        </w:tc>
      </w:tr>
      <w:tr w14:paraId="112B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91" w:type="dxa"/>
            <w:vMerge w:val="continue"/>
            <w:vAlign w:val="center"/>
          </w:tcPr>
          <w:p w14:paraId="3604FE4A">
            <w:pPr>
              <w:widowControl/>
              <w:spacing w:line="260" w:lineRule="exact"/>
              <w:jc w:val="center"/>
              <w:rPr>
                <w:rFonts w:ascii="宋体" w:hAnsi="宋体" w:cs="宋体"/>
                <w:kern w:val="0"/>
                <w:sz w:val="18"/>
                <w:szCs w:val="18"/>
                <w:highlight w:val="none"/>
              </w:rPr>
            </w:pPr>
          </w:p>
        </w:tc>
        <w:tc>
          <w:tcPr>
            <w:tcW w:w="1025" w:type="dxa"/>
            <w:vMerge w:val="continue"/>
            <w:vAlign w:val="center"/>
          </w:tcPr>
          <w:p w14:paraId="725CD210">
            <w:pPr>
              <w:widowControl/>
              <w:spacing w:line="260" w:lineRule="exact"/>
              <w:jc w:val="center"/>
              <w:rPr>
                <w:rFonts w:ascii="宋体" w:hAnsi="宋体" w:cs="宋体"/>
                <w:kern w:val="0"/>
                <w:sz w:val="18"/>
                <w:szCs w:val="18"/>
                <w:highlight w:val="none"/>
              </w:rPr>
            </w:pPr>
          </w:p>
        </w:tc>
        <w:tc>
          <w:tcPr>
            <w:tcW w:w="1156" w:type="dxa"/>
            <w:vAlign w:val="center"/>
          </w:tcPr>
          <w:p w14:paraId="1DF0EEEF">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3.3.2沉淀控制</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698" w:type="dxa"/>
            <w:shd w:val="clear" w:color="auto" w:fill="auto"/>
            <w:vAlign w:val="center"/>
          </w:tcPr>
          <w:p w14:paraId="27B20D40">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评价期，沉淀池（澄清池、气浮池）出水浑浊度年达标率≥98%，1.0分。</w:t>
            </w:r>
          </w:p>
        </w:tc>
      </w:tr>
      <w:tr w14:paraId="57EE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91" w:type="dxa"/>
            <w:vMerge w:val="continue"/>
            <w:vAlign w:val="center"/>
          </w:tcPr>
          <w:p w14:paraId="62F673DD">
            <w:pPr>
              <w:widowControl/>
              <w:spacing w:line="260" w:lineRule="exact"/>
              <w:jc w:val="center"/>
              <w:rPr>
                <w:rFonts w:ascii="宋体" w:hAnsi="宋体" w:cs="宋体"/>
                <w:kern w:val="0"/>
                <w:sz w:val="18"/>
                <w:szCs w:val="18"/>
                <w:highlight w:val="none"/>
              </w:rPr>
            </w:pPr>
          </w:p>
        </w:tc>
        <w:tc>
          <w:tcPr>
            <w:tcW w:w="1025" w:type="dxa"/>
            <w:vMerge w:val="continue"/>
            <w:vAlign w:val="center"/>
          </w:tcPr>
          <w:p w14:paraId="1FC9CF4E">
            <w:pPr>
              <w:widowControl/>
              <w:spacing w:line="260" w:lineRule="exact"/>
              <w:jc w:val="center"/>
              <w:rPr>
                <w:rFonts w:ascii="宋体" w:hAnsi="宋体" w:cs="宋体"/>
                <w:kern w:val="0"/>
                <w:sz w:val="18"/>
                <w:szCs w:val="18"/>
                <w:highlight w:val="none"/>
              </w:rPr>
            </w:pPr>
          </w:p>
        </w:tc>
        <w:tc>
          <w:tcPr>
            <w:tcW w:w="1156" w:type="dxa"/>
            <w:vAlign w:val="center"/>
          </w:tcPr>
          <w:p w14:paraId="70971CC2">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3.3.3过滤控制</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698" w:type="dxa"/>
            <w:shd w:val="clear" w:color="auto" w:fill="auto"/>
            <w:vAlign w:val="center"/>
          </w:tcPr>
          <w:p w14:paraId="2C1501EB">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评价期，滤池出水浑浊度年达标率≥98%，1.0分。</w:t>
            </w:r>
          </w:p>
        </w:tc>
      </w:tr>
      <w:tr w14:paraId="3E0F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91" w:type="dxa"/>
            <w:vMerge w:val="continue"/>
            <w:vAlign w:val="center"/>
          </w:tcPr>
          <w:p w14:paraId="4F1A3E4F">
            <w:pPr>
              <w:widowControl/>
              <w:spacing w:line="260" w:lineRule="exact"/>
              <w:jc w:val="center"/>
              <w:rPr>
                <w:rFonts w:ascii="宋体" w:hAnsi="宋体" w:cs="宋体"/>
                <w:kern w:val="0"/>
                <w:sz w:val="18"/>
                <w:szCs w:val="18"/>
                <w:highlight w:val="none"/>
              </w:rPr>
            </w:pPr>
          </w:p>
        </w:tc>
        <w:tc>
          <w:tcPr>
            <w:tcW w:w="1025" w:type="dxa"/>
            <w:vMerge w:val="restart"/>
            <w:shd w:val="clear" w:color="auto" w:fill="auto"/>
            <w:vAlign w:val="center"/>
          </w:tcPr>
          <w:p w14:paraId="08A23151">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3.4臭氧单元管理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1156" w:type="dxa"/>
            <w:shd w:val="clear" w:color="auto" w:fill="auto"/>
            <w:vAlign w:val="center"/>
          </w:tcPr>
          <w:p w14:paraId="62A7B8E6">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3.4.1臭氧监测</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（0.5分）</w:t>
            </w:r>
          </w:p>
        </w:tc>
        <w:tc>
          <w:tcPr>
            <w:tcW w:w="4698" w:type="dxa"/>
            <w:shd w:val="clear" w:color="auto" w:fill="auto"/>
            <w:vAlign w:val="center"/>
          </w:tcPr>
          <w:p w14:paraId="4DB08D70">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主臭氧、预臭氧接触池出水端设置余臭氧监测仪，且24h在线监测，0.5分。设置余臭氧监测仪，但运行不正常，扣0.3分；未设置余臭氧监测仪，扣0.5分。</w:t>
            </w:r>
          </w:p>
        </w:tc>
      </w:tr>
      <w:tr w14:paraId="6E3D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91" w:type="dxa"/>
            <w:vMerge w:val="continue"/>
            <w:vAlign w:val="center"/>
          </w:tcPr>
          <w:p w14:paraId="4CA4F3FD">
            <w:pPr>
              <w:widowControl/>
              <w:spacing w:line="260" w:lineRule="exact"/>
              <w:jc w:val="center"/>
              <w:rPr>
                <w:rFonts w:ascii="宋体" w:hAnsi="宋体" w:cs="宋体"/>
                <w:kern w:val="0"/>
                <w:sz w:val="18"/>
                <w:szCs w:val="18"/>
                <w:highlight w:val="none"/>
              </w:rPr>
            </w:pPr>
          </w:p>
        </w:tc>
        <w:tc>
          <w:tcPr>
            <w:tcW w:w="1025" w:type="dxa"/>
            <w:vMerge w:val="continue"/>
            <w:shd w:val="clear" w:color="auto" w:fill="auto"/>
            <w:vAlign w:val="center"/>
          </w:tcPr>
          <w:p w14:paraId="50350357">
            <w:pPr>
              <w:widowControl/>
              <w:spacing w:line="260" w:lineRule="exact"/>
              <w:jc w:val="center"/>
              <w:rPr>
                <w:rFonts w:ascii="宋体" w:hAnsi="宋体" w:cs="宋体"/>
                <w:kern w:val="0"/>
                <w:sz w:val="18"/>
                <w:szCs w:val="18"/>
                <w:highlight w:val="none"/>
              </w:rPr>
            </w:pPr>
          </w:p>
        </w:tc>
        <w:tc>
          <w:tcPr>
            <w:tcW w:w="1156" w:type="dxa"/>
            <w:shd w:val="clear" w:color="auto" w:fill="auto"/>
            <w:vAlign w:val="center"/>
          </w:tcPr>
          <w:p w14:paraId="50272E69">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3.4.2臭氧间泄露检测、报警</w:t>
            </w:r>
          </w:p>
          <w:p w14:paraId="31697DEE">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（0.5分）</w:t>
            </w:r>
          </w:p>
        </w:tc>
        <w:tc>
          <w:tcPr>
            <w:tcW w:w="4698" w:type="dxa"/>
            <w:shd w:val="clear" w:color="auto" w:fill="auto"/>
            <w:vAlign w:val="center"/>
          </w:tcPr>
          <w:p w14:paraId="30748256">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（1）臭氧间设有泄漏检测、报警装置，且运行正常，0.3分。设有泄漏检测、报警装置，但运行不正常，扣0.2分；未设置泄漏检测、报警装置，扣0.3分；</w:t>
            </w:r>
          </w:p>
          <w:p w14:paraId="0D1FBEED">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（2）泄漏超标时实现自动启动通风设备，并报警，经人工确认后停机，0.2分。</w:t>
            </w:r>
          </w:p>
        </w:tc>
      </w:tr>
      <w:tr w14:paraId="25C7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91" w:type="dxa"/>
            <w:vMerge w:val="continue"/>
            <w:vAlign w:val="center"/>
          </w:tcPr>
          <w:p w14:paraId="5D4E8623">
            <w:pPr>
              <w:widowControl/>
              <w:spacing w:line="260" w:lineRule="exact"/>
              <w:jc w:val="center"/>
              <w:rPr>
                <w:rFonts w:ascii="宋体" w:hAnsi="宋体" w:cs="宋体"/>
                <w:kern w:val="0"/>
                <w:sz w:val="18"/>
                <w:szCs w:val="18"/>
                <w:highlight w:val="none"/>
              </w:rPr>
            </w:pPr>
          </w:p>
        </w:tc>
        <w:tc>
          <w:tcPr>
            <w:tcW w:w="1025" w:type="dxa"/>
            <w:vMerge w:val="restart"/>
            <w:shd w:val="clear" w:color="auto" w:fill="auto"/>
            <w:vAlign w:val="center"/>
          </w:tcPr>
          <w:p w14:paraId="57A55262">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3.5活性炭单元管理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1156" w:type="dxa"/>
            <w:shd w:val="clear" w:color="auto" w:fill="auto"/>
            <w:vAlign w:val="center"/>
          </w:tcPr>
          <w:p w14:paraId="56247AC0">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3.5.1活性炭评估</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（0.5分）</w:t>
            </w:r>
          </w:p>
        </w:tc>
        <w:tc>
          <w:tcPr>
            <w:tcW w:w="4698" w:type="dxa"/>
            <w:shd w:val="clear" w:color="auto" w:fill="auto"/>
            <w:vAlign w:val="center"/>
          </w:tcPr>
          <w:p w14:paraId="05A2FB08">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年度对活性炭是否失效进行评估，0.5分。</w:t>
            </w:r>
          </w:p>
        </w:tc>
      </w:tr>
      <w:tr w14:paraId="45EC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91" w:type="dxa"/>
            <w:vMerge w:val="continue"/>
            <w:vAlign w:val="center"/>
          </w:tcPr>
          <w:p w14:paraId="27D5D9A0">
            <w:pPr>
              <w:widowControl/>
              <w:spacing w:line="260" w:lineRule="exact"/>
              <w:jc w:val="center"/>
              <w:rPr>
                <w:rFonts w:ascii="宋体" w:hAnsi="宋体" w:cs="宋体"/>
                <w:kern w:val="0"/>
                <w:sz w:val="18"/>
                <w:szCs w:val="18"/>
                <w:highlight w:val="none"/>
              </w:rPr>
            </w:pPr>
          </w:p>
        </w:tc>
        <w:tc>
          <w:tcPr>
            <w:tcW w:w="1025" w:type="dxa"/>
            <w:vMerge w:val="continue"/>
            <w:shd w:val="clear" w:color="auto" w:fill="auto"/>
            <w:vAlign w:val="center"/>
          </w:tcPr>
          <w:p w14:paraId="091C0C28">
            <w:pPr>
              <w:widowControl/>
              <w:spacing w:line="260" w:lineRule="exact"/>
              <w:jc w:val="center"/>
              <w:rPr>
                <w:rFonts w:ascii="宋体" w:hAnsi="宋体" w:cs="宋体"/>
                <w:kern w:val="0"/>
                <w:sz w:val="18"/>
                <w:szCs w:val="18"/>
                <w:highlight w:val="none"/>
              </w:rPr>
            </w:pPr>
          </w:p>
        </w:tc>
        <w:tc>
          <w:tcPr>
            <w:tcW w:w="1156" w:type="dxa"/>
            <w:shd w:val="clear" w:color="auto" w:fill="auto"/>
            <w:vAlign w:val="center"/>
          </w:tcPr>
          <w:p w14:paraId="6C45155F">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3.5.2活性炭更换</w:t>
            </w:r>
          </w:p>
          <w:p w14:paraId="701A5254">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（0.5分）</w:t>
            </w:r>
          </w:p>
        </w:tc>
        <w:tc>
          <w:tcPr>
            <w:tcW w:w="4698" w:type="dxa"/>
            <w:shd w:val="clear" w:color="auto" w:fill="auto"/>
            <w:vAlign w:val="center"/>
          </w:tcPr>
          <w:p w14:paraId="11CEBAF7">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按照需求及时进行活性炭更换，且记录规范，0.5分。记录不规范不完整，扣0.2分；未按需求更换，扣0.5分。</w:t>
            </w:r>
          </w:p>
        </w:tc>
      </w:tr>
      <w:tr w14:paraId="4541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1" w:type="dxa"/>
            <w:vMerge w:val="continue"/>
            <w:vAlign w:val="center"/>
          </w:tcPr>
          <w:p w14:paraId="5C54EBE2">
            <w:pPr>
              <w:widowControl/>
              <w:spacing w:line="260" w:lineRule="exact"/>
              <w:jc w:val="center"/>
              <w:rPr>
                <w:rFonts w:ascii="宋体" w:hAnsi="宋体" w:cs="宋体"/>
                <w:kern w:val="0"/>
                <w:sz w:val="18"/>
                <w:szCs w:val="18"/>
                <w:highlight w:val="none"/>
              </w:rPr>
            </w:pPr>
          </w:p>
        </w:tc>
        <w:tc>
          <w:tcPr>
            <w:tcW w:w="1025" w:type="dxa"/>
            <w:vMerge w:val="restart"/>
            <w:shd w:val="clear" w:color="auto" w:fill="auto"/>
            <w:vAlign w:val="center"/>
          </w:tcPr>
          <w:p w14:paraId="067F6FFB">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3.6膜单元管理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（2.0分）</w:t>
            </w:r>
          </w:p>
        </w:tc>
        <w:tc>
          <w:tcPr>
            <w:tcW w:w="1156" w:type="dxa"/>
            <w:shd w:val="clear" w:color="auto" w:fill="auto"/>
            <w:vAlign w:val="center"/>
          </w:tcPr>
          <w:p w14:paraId="0EB113CE">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3.6.1参数分析及评估</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698" w:type="dxa"/>
            <w:shd w:val="clear" w:color="auto" w:fill="auto"/>
            <w:vAlign w:val="center"/>
          </w:tcPr>
          <w:p w14:paraId="7E47CD57">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年度进行1次膜通量、跨膜压差、出水水质等主要技术参数分析，对膜系统运行情况进行评估，1.0分。每缺1项扣0.2分；未开展膜系统运行评估，扣0.4分。</w:t>
            </w:r>
          </w:p>
        </w:tc>
      </w:tr>
      <w:tr w14:paraId="3980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91" w:type="dxa"/>
            <w:vMerge w:val="continue"/>
            <w:vAlign w:val="center"/>
          </w:tcPr>
          <w:p w14:paraId="20BB1E1A">
            <w:pPr>
              <w:widowControl/>
              <w:spacing w:line="260" w:lineRule="exact"/>
              <w:jc w:val="center"/>
              <w:rPr>
                <w:rFonts w:ascii="宋体" w:hAnsi="宋体" w:cs="宋体"/>
                <w:kern w:val="0"/>
                <w:sz w:val="18"/>
                <w:szCs w:val="18"/>
                <w:highlight w:val="none"/>
              </w:rPr>
            </w:pPr>
            <w:bookmarkStart w:id="120" w:name="_Hlk184372514"/>
          </w:p>
        </w:tc>
        <w:tc>
          <w:tcPr>
            <w:tcW w:w="1025" w:type="dxa"/>
            <w:vMerge w:val="continue"/>
            <w:vAlign w:val="center"/>
          </w:tcPr>
          <w:p w14:paraId="245B2AE1">
            <w:pPr>
              <w:widowControl/>
              <w:spacing w:line="260" w:lineRule="exact"/>
              <w:jc w:val="center"/>
              <w:rPr>
                <w:rFonts w:ascii="宋体" w:hAnsi="宋体" w:cs="宋体"/>
                <w:kern w:val="0"/>
                <w:sz w:val="18"/>
                <w:szCs w:val="18"/>
                <w:highlight w:val="none"/>
              </w:rPr>
            </w:pPr>
          </w:p>
        </w:tc>
        <w:tc>
          <w:tcPr>
            <w:tcW w:w="1156" w:type="dxa"/>
            <w:vAlign w:val="center"/>
          </w:tcPr>
          <w:p w14:paraId="3716F73A">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3.6.2完整性检测</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698" w:type="dxa"/>
            <w:shd w:val="clear" w:color="auto" w:fill="auto"/>
            <w:vAlign w:val="center"/>
          </w:tcPr>
          <w:p w14:paraId="5EA2A2E1">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按照CJJ 58要求进行膜完整性检测，且有记录，1.0分。检测但无记录，扣0.3分。</w:t>
            </w:r>
          </w:p>
        </w:tc>
      </w:tr>
      <w:bookmarkEnd w:id="120"/>
      <w:tr w14:paraId="55FF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091" w:type="dxa"/>
            <w:vMerge w:val="continue"/>
            <w:vAlign w:val="center"/>
          </w:tcPr>
          <w:p w14:paraId="18A25324">
            <w:pPr>
              <w:widowControl/>
              <w:spacing w:line="260" w:lineRule="exact"/>
              <w:jc w:val="center"/>
              <w:rPr>
                <w:rFonts w:ascii="宋体" w:hAnsi="宋体" w:cs="宋体"/>
                <w:kern w:val="0"/>
                <w:sz w:val="18"/>
                <w:szCs w:val="18"/>
                <w:highlight w:val="none"/>
              </w:rPr>
            </w:pPr>
          </w:p>
        </w:tc>
        <w:tc>
          <w:tcPr>
            <w:tcW w:w="1025" w:type="dxa"/>
            <w:vMerge w:val="restart"/>
            <w:shd w:val="clear" w:color="auto" w:fill="auto"/>
            <w:vAlign w:val="center"/>
          </w:tcPr>
          <w:p w14:paraId="5A3FFF96">
            <w:pPr>
              <w:widowControl/>
              <w:spacing w:line="26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3.7消毒管理（</w:t>
            </w:r>
            <w:r>
              <w:rPr>
                <w:rFonts w:hint="eastAsia" w:ascii="宋体" w:hAnsi="宋体" w:cs="宋体"/>
                <w:kern w:val="0"/>
                <w:sz w:val="18"/>
                <w:szCs w:val="18"/>
                <w:highlight w:val="none"/>
                <w:lang w:val="en-US" w:eastAsia="zh-CN"/>
              </w:rPr>
              <w:t>2</w:t>
            </w:r>
            <w:r>
              <w:rPr>
                <w:rFonts w:hint="eastAsia" w:ascii="宋体" w:hAnsi="宋体" w:cs="宋体"/>
                <w:kern w:val="0"/>
                <w:sz w:val="18"/>
                <w:szCs w:val="18"/>
                <w:highlight w:val="none"/>
              </w:rPr>
              <w:t>.0分）</w:t>
            </w:r>
          </w:p>
          <w:p w14:paraId="4EA78527">
            <w:pPr>
              <w:widowControl/>
              <w:spacing w:line="260" w:lineRule="exact"/>
              <w:jc w:val="center"/>
              <w:rPr>
                <w:rFonts w:hint="eastAsia" w:ascii="宋体" w:hAnsi="宋体" w:eastAsia="宋体" w:cs="宋体"/>
                <w:kern w:val="0"/>
                <w:sz w:val="18"/>
                <w:szCs w:val="18"/>
                <w:highlight w:val="none"/>
                <w:lang w:val="en-US" w:eastAsia="zh-CN" w:bidi="ar-SA"/>
              </w:rPr>
            </w:pPr>
          </w:p>
        </w:tc>
        <w:tc>
          <w:tcPr>
            <w:tcW w:w="1156" w:type="dxa"/>
            <w:shd w:val="clear" w:color="auto" w:fill="auto"/>
            <w:vAlign w:val="center"/>
          </w:tcPr>
          <w:p w14:paraId="03AF81A5">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3.7.1消毒剂计量控制</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698" w:type="dxa"/>
            <w:shd w:val="clear" w:color="auto" w:fill="auto"/>
            <w:vAlign w:val="center"/>
          </w:tcPr>
          <w:p w14:paraId="517C6DA9">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消毒剂实现计量投加，1.0分。</w:t>
            </w:r>
          </w:p>
        </w:tc>
      </w:tr>
      <w:tr w14:paraId="2973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91" w:type="dxa"/>
            <w:vMerge w:val="continue"/>
            <w:vAlign w:val="center"/>
          </w:tcPr>
          <w:p w14:paraId="621EAB6E">
            <w:pPr>
              <w:widowControl/>
              <w:spacing w:line="260" w:lineRule="exact"/>
              <w:jc w:val="center"/>
              <w:rPr>
                <w:rFonts w:ascii="宋体" w:hAnsi="宋体" w:cs="宋体"/>
                <w:kern w:val="0"/>
                <w:sz w:val="18"/>
                <w:szCs w:val="18"/>
                <w:highlight w:val="none"/>
              </w:rPr>
            </w:pPr>
          </w:p>
        </w:tc>
        <w:tc>
          <w:tcPr>
            <w:tcW w:w="1025" w:type="dxa"/>
            <w:vMerge w:val="continue"/>
            <w:shd w:val="clear" w:color="auto" w:fill="auto"/>
            <w:vAlign w:val="center"/>
          </w:tcPr>
          <w:p w14:paraId="6D78BF92">
            <w:pPr>
              <w:widowControl/>
              <w:spacing w:line="260" w:lineRule="exact"/>
              <w:jc w:val="center"/>
              <w:rPr>
                <w:rFonts w:hint="eastAsia" w:ascii="宋体" w:hAnsi="宋体" w:eastAsia="宋体" w:cs="宋体"/>
                <w:kern w:val="0"/>
                <w:sz w:val="18"/>
                <w:szCs w:val="18"/>
                <w:highlight w:val="none"/>
                <w:lang w:val="en-US" w:eastAsia="zh-CN" w:bidi="ar-SA"/>
              </w:rPr>
            </w:pPr>
          </w:p>
        </w:tc>
        <w:tc>
          <w:tcPr>
            <w:tcW w:w="1156" w:type="dxa"/>
            <w:shd w:val="clear" w:color="auto" w:fill="auto"/>
            <w:vAlign w:val="center"/>
          </w:tcPr>
          <w:p w14:paraId="1A0D6479">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3.7.2消毒间泄漏检测、报警</w:t>
            </w:r>
          </w:p>
          <w:p w14:paraId="6C2EE71A">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rPr>
              <w:t>（1.0分）</w:t>
            </w:r>
          </w:p>
        </w:tc>
        <w:tc>
          <w:tcPr>
            <w:tcW w:w="4698" w:type="dxa"/>
            <w:shd w:val="clear" w:color="auto" w:fill="auto"/>
            <w:vAlign w:val="center"/>
          </w:tcPr>
          <w:p w14:paraId="7B5A2052">
            <w:pPr>
              <w:widowControl/>
              <w:spacing w:line="260" w:lineRule="exact"/>
              <w:jc w:val="left"/>
              <w:rPr>
                <w:rFonts w:hint="eastAsia"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rPr>
              <w:t>次氯酸钠、二氧化氯投加间有泄漏检测、报警装置，连接至中控系统，能实现实时报警，1.0分。未连接至中控系统或未实现实时报警，有1种情况，扣0.3分。</w:t>
            </w:r>
          </w:p>
        </w:tc>
      </w:tr>
    </w:tbl>
    <w:p w14:paraId="42E386EB">
      <w:pPr>
        <w:keepNext w:val="0"/>
        <w:keepLines w:val="0"/>
        <w:pageBreakBefore w:val="0"/>
        <w:widowControl w:val="0"/>
        <w:kinsoku/>
        <w:wordWrap/>
        <w:overflowPunct/>
        <w:topLinePunct w:val="0"/>
        <w:autoSpaceDE/>
        <w:autoSpaceDN/>
        <w:bidi w:val="0"/>
        <w:adjustRightInd w:val="0"/>
        <w:snapToGrid/>
        <w:spacing w:before="157" w:beforeLines="50" w:after="157" w:afterLines="50"/>
        <w:jc w:val="center"/>
        <w:textAlignment w:val="auto"/>
        <w:rPr>
          <w:rFonts w:hint="eastAsia" w:ascii="黑体" w:hAnsi="黑体" w:eastAsia="黑体" w:cs="黑体"/>
          <w:b w:val="0"/>
          <w:bCs w:val="0"/>
          <w:highlight w:val="none"/>
        </w:rPr>
      </w:pPr>
      <w:r>
        <w:rPr>
          <w:rFonts w:hint="eastAsia" w:ascii="黑体" w:hAnsi="黑体" w:eastAsia="黑体" w:cs="黑体"/>
          <w:b w:val="0"/>
          <w:bCs w:val="0"/>
          <w:highlight w:val="none"/>
        </w:rPr>
        <w:t>表</w:t>
      </w:r>
      <w:r>
        <w:rPr>
          <w:rFonts w:hint="eastAsia" w:ascii="黑体" w:hAnsi="黑体" w:eastAsia="黑体" w:cs="黑体"/>
          <w:b w:val="0"/>
          <w:bCs w:val="0"/>
          <w:highlight w:val="none"/>
          <w:lang w:val="en-US" w:eastAsia="zh-CN"/>
        </w:rPr>
        <w:t>B</w:t>
      </w:r>
      <w:r>
        <w:rPr>
          <w:rFonts w:hint="eastAsia" w:ascii="黑体" w:hAnsi="黑体" w:eastAsia="黑体" w:cs="黑体"/>
          <w:b w:val="0"/>
          <w:bCs w:val="0"/>
          <w:highlight w:val="none"/>
        </w:rPr>
        <w:t>.1 城镇公共供水厂运行管理评价计分细则</w:t>
      </w:r>
      <w:r>
        <w:rPr>
          <w:rFonts w:hint="eastAsia" w:ascii="宋体" w:hAnsi="宋体" w:eastAsia="宋体" w:cs="宋体"/>
          <w:kern w:val="21"/>
          <w:sz w:val="21"/>
          <w:szCs w:val="20"/>
          <w:highlight w:val="none"/>
          <w:lang w:val="en-US" w:eastAsia="zh-CN" w:bidi="ar-SA"/>
        </w:rPr>
        <w:t>（续）</w:t>
      </w:r>
    </w:p>
    <w:tbl>
      <w:tblPr>
        <w:tblStyle w:val="30"/>
        <w:tblW w:w="42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049"/>
        <w:gridCol w:w="1149"/>
        <w:gridCol w:w="4757"/>
      </w:tblGrid>
      <w:tr w14:paraId="385E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88" w:type="dxa"/>
            <w:gridSpan w:val="3"/>
            <w:shd w:val="clear" w:color="auto" w:fill="auto"/>
            <w:vAlign w:val="center"/>
          </w:tcPr>
          <w:p w14:paraId="47059DDF">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b/>
                <w:bCs/>
                <w:kern w:val="0"/>
                <w:sz w:val="18"/>
                <w:szCs w:val="18"/>
                <w:highlight w:val="none"/>
              </w:rPr>
              <w:t>评价内容</w:t>
            </w:r>
          </w:p>
        </w:tc>
        <w:tc>
          <w:tcPr>
            <w:tcW w:w="4757" w:type="dxa"/>
            <w:vMerge w:val="restart"/>
            <w:shd w:val="clear" w:color="auto" w:fill="auto"/>
            <w:vAlign w:val="center"/>
          </w:tcPr>
          <w:p w14:paraId="71BD799C">
            <w:pPr>
              <w:widowControl/>
              <w:spacing w:line="260" w:lineRule="exact"/>
              <w:jc w:val="center"/>
              <w:rPr>
                <w:rFonts w:hint="eastAsia" w:ascii="宋体" w:hAnsi="宋体" w:cs="宋体"/>
                <w:kern w:val="0"/>
                <w:sz w:val="18"/>
                <w:szCs w:val="18"/>
                <w:highlight w:val="none"/>
              </w:rPr>
            </w:pPr>
            <w:r>
              <w:rPr>
                <w:rFonts w:hint="eastAsia" w:ascii="宋体" w:hAnsi="宋体" w:cs="宋体"/>
                <w:b/>
                <w:bCs/>
                <w:kern w:val="0"/>
                <w:sz w:val="18"/>
                <w:szCs w:val="18"/>
                <w:highlight w:val="none"/>
              </w:rPr>
              <w:t>评价方法</w:t>
            </w:r>
          </w:p>
        </w:tc>
      </w:tr>
      <w:tr w14:paraId="32CA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90" w:type="dxa"/>
            <w:shd w:val="clear" w:color="auto" w:fill="auto"/>
            <w:vAlign w:val="center"/>
          </w:tcPr>
          <w:p w14:paraId="4A686764">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一级指标</w:t>
            </w:r>
          </w:p>
        </w:tc>
        <w:tc>
          <w:tcPr>
            <w:tcW w:w="1049" w:type="dxa"/>
            <w:shd w:val="clear" w:color="auto" w:fill="auto"/>
            <w:vAlign w:val="center"/>
          </w:tcPr>
          <w:p w14:paraId="50EB7929">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二级指标</w:t>
            </w:r>
          </w:p>
        </w:tc>
        <w:tc>
          <w:tcPr>
            <w:tcW w:w="1149" w:type="dxa"/>
            <w:shd w:val="clear" w:color="auto" w:fill="auto"/>
            <w:vAlign w:val="center"/>
          </w:tcPr>
          <w:p w14:paraId="058C4EDB">
            <w:pPr>
              <w:widowControl/>
              <w:spacing w:line="260" w:lineRule="exact"/>
              <w:jc w:val="center"/>
              <w:rPr>
                <w:rFonts w:hint="eastAsia"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三级指标</w:t>
            </w:r>
          </w:p>
        </w:tc>
        <w:tc>
          <w:tcPr>
            <w:tcW w:w="4757" w:type="dxa"/>
            <w:vMerge w:val="continue"/>
            <w:shd w:val="clear" w:color="auto" w:fill="auto"/>
            <w:vAlign w:val="center"/>
          </w:tcPr>
          <w:p w14:paraId="62CEC399">
            <w:pPr>
              <w:widowControl/>
              <w:spacing w:line="260" w:lineRule="exact"/>
              <w:jc w:val="left"/>
              <w:rPr>
                <w:rFonts w:hint="eastAsia" w:ascii="宋体" w:hAnsi="宋体" w:cs="宋体"/>
                <w:kern w:val="0"/>
                <w:sz w:val="18"/>
                <w:szCs w:val="18"/>
                <w:highlight w:val="none"/>
              </w:rPr>
            </w:pPr>
          </w:p>
        </w:tc>
      </w:tr>
      <w:tr w14:paraId="4A84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090" w:type="dxa"/>
            <w:vMerge w:val="restart"/>
            <w:vAlign w:val="center"/>
          </w:tcPr>
          <w:p w14:paraId="6647662D">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3.制水工艺（17.0分）</w:t>
            </w:r>
          </w:p>
        </w:tc>
        <w:tc>
          <w:tcPr>
            <w:tcW w:w="1049" w:type="dxa"/>
            <w:vMerge w:val="restart"/>
            <w:shd w:val="clear" w:color="auto" w:fill="auto"/>
            <w:vAlign w:val="center"/>
          </w:tcPr>
          <w:p w14:paraId="46BF4BFF">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3.8清水池管理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（2.0分）</w:t>
            </w:r>
          </w:p>
        </w:tc>
        <w:tc>
          <w:tcPr>
            <w:tcW w:w="1149" w:type="dxa"/>
            <w:shd w:val="clear" w:color="auto" w:fill="auto"/>
            <w:vAlign w:val="center"/>
          </w:tcPr>
          <w:p w14:paraId="470F306D">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3.8.1清水池清洗</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（0.8分）</w:t>
            </w:r>
          </w:p>
        </w:tc>
        <w:tc>
          <w:tcPr>
            <w:tcW w:w="4757" w:type="dxa"/>
            <w:shd w:val="clear" w:color="auto" w:fill="auto"/>
            <w:vAlign w:val="center"/>
          </w:tcPr>
          <w:p w14:paraId="12279A0F">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定期对清水池进行排空清洗，且清洗和检测记录完整，0.8分。清洗和检测记录不完整，扣0.2分。</w:t>
            </w:r>
          </w:p>
        </w:tc>
      </w:tr>
      <w:tr w14:paraId="6B74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090" w:type="dxa"/>
            <w:vMerge w:val="continue"/>
            <w:vAlign w:val="center"/>
          </w:tcPr>
          <w:p w14:paraId="0B5410A1">
            <w:pPr>
              <w:widowControl/>
              <w:spacing w:line="260" w:lineRule="exact"/>
              <w:jc w:val="center"/>
              <w:rPr>
                <w:rFonts w:ascii="宋体" w:hAnsi="宋体" w:cs="宋体"/>
                <w:kern w:val="0"/>
                <w:sz w:val="18"/>
                <w:szCs w:val="18"/>
                <w:highlight w:val="none"/>
              </w:rPr>
            </w:pPr>
          </w:p>
        </w:tc>
        <w:tc>
          <w:tcPr>
            <w:tcW w:w="1049" w:type="dxa"/>
            <w:vMerge w:val="continue"/>
            <w:shd w:val="clear" w:color="auto" w:fill="auto"/>
            <w:vAlign w:val="center"/>
          </w:tcPr>
          <w:p w14:paraId="400E25E1">
            <w:pPr>
              <w:widowControl/>
              <w:spacing w:line="260" w:lineRule="exact"/>
              <w:jc w:val="center"/>
              <w:rPr>
                <w:rFonts w:ascii="宋体" w:hAnsi="宋体" w:cs="宋体"/>
                <w:kern w:val="0"/>
                <w:sz w:val="18"/>
                <w:szCs w:val="18"/>
                <w:highlight w:val="none"/>
              </w:rPr>
            </w:pPr>
          </w:p>
        </w:tc>
        <w:tc>
          <w:tcPr>
            <w:tcW w:w="1149" w:type="dxa"/>
            <w:shd w:val="clear" w:color="auto" w:fill="auto"/>
            <w:vAlign w:val="center"/>
          </w:tcPr>
          <w:p w14:paraId="3E897989">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3.8.2清水池防护</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（0.8分）</w:t>
            </w:r>
          </w:p>
        </w:tc>
        <w:tc>
          <w:tcPr>
            <w:tcW w:w="4757" w:type="dxa"/>
            <w:shd w:val="clear" w:color="auto" w:fill="auto"/>
            <w:vAlign w:val="center"/>
          </w:tcPr>
          <w:p w14:paraId="31A6A806">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（1）清水池的检测孔、通气孔和人孔有水质污染防护措施，0.4分；</w:t>
            </w:r>
          </w:p>
          <w:p w14:paraId="0942D28D">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（2）清水池的排空、溢流等管道未直接与下水道连通，0.4分。</w:t>
            </w:r>
          </w:p>
        </w:tc>
      </w:tr>
      <w:tr w14:paraId="7E65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090" w:type="dxa"/>
            <w:vMerge w:val="continue"/>
            <w:vAlign w:val="center"/>
          </w:tcPr>
          <w:p w14:paraId="6499B6D8">
            <w:pPr>
              <w:widowControl/>
              <w:spacing w:line="260" w:lineRule="exact"/>
              <w:jc w:val="center"/>
              <w:rPr>
                <w:rFonts w:ascii="宋体" w:hAnsi="宋体" w:cs="宋体"/>
                <w:kern w:val="0"/>
                <w:sz w:val="18"/>
                <w:szCs w:val="18"/>
                <w:highlight w:val="none"/>
              </w:rPr>
            </w:pPr>
          </w:p>
        </w:tc>
        <w:tc>
          <w:tcPr>
            <w:tcW w:w="1049" w:type="dxa"/>
            <w:vMerge w:val="continue"/>
            <w:shd w:val="clear" w:color="auto" w:fill="auto"/>
            <w:vAlign w:val="center"/>
          </w:tcPr>
          <w:p w14:paraId="3DF1F508">
            <w:pPr>
              <w:widowControl/>
              <w:spacing w:line="260" w:lineRule="exact"/>
              <w:jc w:val="center"/>
              <w:rPr>
                <w:rFonts w:ascii="宋体" w:hAnsi="宋体" w:cs="宋体"/>
                <w:kern w:val="0"/>
                <w:sz w:val="18"/>
                <w:szCs w:val="18"/>
                <w:highlight w:val="none"/>
              </w:rPr>
            </w:pPr>
          </w:p>
        </w:tc>
        <w:tc>
          <w:tcPr>
            <w:tcW w:w="1149" w:type="dxa"/>
            <w:shd w:val="clear" w:color="auto" w:fill="auto"/>
            <w:vAlign w:val="center"/>
          </w:tcPr>
          <w:p w14:paraId="428DA666">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3.8.3清水池监测</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（0.4分）</w:t>
            </w:r>
          </w:p>
        </w:tc>
        <w:tc>
          <w:tcPr>
            <w:tcW w:w="4757" w:type="dxa"/>
            <w:shd w:val="clear" w:color="auto" w:fill="auto"/>
            <w:vAlign w:val="center"/>
          </w:tcPr>
          <w:p w14:paraId="5EB1B930">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清水池采用在线式液位仪连续监测，且运行正常，0.4分。数据异常，扣0.2分。</w:t>
            </w:r>
          </w:p>
        </w:tc>
      </w:tr>
      <w:tr w14:paraId="58B7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1090" w:type="dxa"/>
            <w:vMerge w:val="restart"/>
            <w:shd w:val="clear" w:color="auto" w:fill="auto"/>
            <w:vAlign w:val="center"/>
          </w:tcPr>
          <w:p w14:paraId="6A22E173">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4.运行维护（16.5分）</w:t>
            </w:r>
          </w:p>
        </w:tc>
        <w:tc>
          <w:tcPr>
            <w:tcW w:w="1049" w:type="dxa"/>
            <w:vMerge w:val="restart"/>
            <w:shd w:val="clear" w:color="auto" w:fill="auto"/>
            <w:vAlign w:val="center"/>
          </w:tcPr>
          <w:p w14:paraId="0EFFE551">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4.1设施设备管理（</w:t>
            </w:r>
            <w:r>
              <w:rPr>
                <w:rFonts w:hint="eastAsia" w:ascii="宋体" w:hAnsi="宋体" w:cs="宋体"/>
                <w:kern w:val="0"/>
                <w:sz w:val="18"/>
                <w:szCs w:val="18"/>
                <w:highlight w:val="none"/>
                <w:lang w:val="en-US" w:eastAsia="zh-CN"/>
              </w:rPr>
              <w:t>3.0</w:t>
            </w:r>
            <w:r>
              <w:rPr>
                <w:rFonts w:hint="eastAsia" w:ascii="宋体" w:hAnsi="宋体" w:cs="宋体"/>
                <w:kern w:val="0"/>
                <w:sz w:val="18"/>
                <w:szCs w:val="18"/>
                <w:highlight w:val="none"/>
              </w:rPr>
              <w:t>分）</w:t>
            </w:r>
          </w:p>
        </w:tc>
        <w:tc>
          <w:tcPr>
            <w:tcW w:w="1149" w:type="dxa"/>
            <w:shd w:val="clear" w:color="auto" w:fill="auto"/>
            <w:vAlign w:val="center"/>
          </w:tcPr>
          <w:p w14:paraId="5E6D2267">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4.1.1设施设备台账</w:t>
            </w:r>
          </w:p>
          <w:p w14:paraId="7EA7B472">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（1.8分）</w:t>
            </w:r>
          </w:p>
        </w:tc>
        <w:tc>
          <w:tcPr>
            <w:tcW w:w="4757" w:type="dxa"/>
            <w:shd w:val="clear" w:color="auto" w:fill="auto"/>
            <w:vAlign w:val="center"/>
          </w:tcPr>
          <w:p w14:paraId="6EA2FB7E">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建立检测仪器设备（化验室）、电气及机械设备（制水工艺设备、电气控制及运行监测设备、视频监控安防系统设备等）及其相关辅助设备、安全设施（生产安全设施、电气与机械设备安全设施、消防安全设施、劳动防护用品等）、特种设备等供水设施设备台账，且台账信息完整，1.8分。每缺1项台账或台账信息不完整，扣0.2分，扣完为止。</w:t>
            </w:r>
          </w:p>
          <w:p w14:paraId="34B8170E">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水厂涉及的主要安全设施包括</w:t>
            </w:r>
            <w:r>
              <w:rPr>
                <w:rFonts w:hint="eastAsia" w:ascii="宋体" w:hAnsi="宋体" w:cs="宋体"/>
                <w:kern w:val="0"/>
                <w:sz w:val="18"/>
                <w:szCs w:val="18"/>
                <w:highlight w:val="none"/>
              </w:rPr>
              <w:t>但不限于</w:t>
            </w:r>
            <w:r>
              <w:rPr>
                <w:rFonts w:ascii="宋体" w:hAnsi="宋体" w:cs="宋体"/>
                <w:kern w:val="0"/>
                <w:sz w:val="18"/>
                <w:szCs w:val="18"/>
                <w:highlight w:val="none"/>
              </w:rPr>
              <w:t>：</w:t>
            </w:r>
          </w:p>
          <w:p w14:paraId="3D6EC6E6">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①生产安全设施</w:t>
            </w:r>
          </w:p>
          <w:p w14:paraId="7D45B316">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防泄漏与防腐蚀设施：化学品储存区的防泄漏围堰（如酸、碱、氯气储罐）。</w:t>
            </w:r>
          </w:p>
          <w:p w14:paraId="2138ECE4">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氯气安全系统（针对氯消毒水厂）：氯气泄漏吸收装置（如氢氧化钠应急中和塔）、氯气室通风、报警装置</w:t>
            </w:r>
            <w:r>
              <w:rPr>
                <w:rFonts w:hint="eastAsia" w:ascii="宋体" w:hAnsi="宋体" w:cs="宋体"/>
                <w:kern w:val="0"/>
                <w:sz w:val="18"/>
                <w:szCs w:val="18"/>
                <w:highlight w:val="none"/>
              </w:rPr>
              <w:t>等</w:t>
            </w:r>
            <w:r>
              <w:rPr>
                <w:rFonts w:ascii="宋体" w:hAnsi="宋体" w:cs="宋体"/>
                <w:kern w:val="0"/>
                <w:sz w:val="18"/>
                <w:szCs w:val="18"/>
                <w:highlight w:val="none"/>
              </w:rPr>
              <w:t>。</w:t>
            </w:r>
          </w:p>
          <w:p w14:paraId="5AB9B68B">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防爆设备：易燃易爆区域（如臭氧发生器房）的防爆电器、可燃气体报警器</w:t>
            </w:r>
            <w:r>
              <w:rPr>
                <w:rFonts w:hint="eastAsia" w:ascii="宋体" w:hAnsi="宋体" w:cs="宋体"/>
                <w:kern w:val="0"/>
                <w:sz w:val="18"/>
                <w:szCs w:val="18"/>
                <w:highlight w:val="none"/>
              </w:rPr>
              <w:t>等</w:t>
            </w:r>
            <w:r>
              <w:rPr>
                <w:rFonts w:ascii="宋体" w:hAnsi="宋体" w:cs="宋体"/>
                <w:kern w:val="0"/>
                <w:sz w:val="18"/>
                <w:szCs w:val="18"/>
                <w:highlight w:val="none"/>
              </w:rPr>
              <w:t>。</w:t>
            </w:r>
          </w:p>
          <w:p w14:paraId="17351117">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②电气与机械设备安全设施</w:t>
            </w:r>
          </w:p>
          <w:p w14:paraId="7C6A28D0">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防雷接地系统、漏电保护装置、备用发电机/UPS电源</w:t>
            </w:r>
            <w:r>
              <w:rPr>
                <w:rFonts w:hint="eastAsia" w:ascii="宋体" w:hAnsi="宋体" w:cs="宋体"/>
                <w:kern w:val="0"/>
                <w:sz w:val="18"/>
                <w:szCs w:val="18"/>
                <w:highlight w:val="none"/>
              </w:rPr>
              <w:t>等</w:t>
            </w:r>
            <w:r>
              <w:rPr>
                <w:rFonts w:ascii="宋体" w:hAnsi="宋体" w:cs="宋体"/>
                <w:kern w:val="0"/>
                <w:sz w:val="18"/>
                <w:szCs w:val="18"/>
                <w:highlight w:val="none"/>
              </w:rPr>
              <w:t>。</w:t>
            </w:r>
          </w:p>
          <w:p w14:paraId="686E2A22">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机械防护：水泵、电机等旋转设备的防护罩、高压管道的安全阀、泄压装置</w:t>
            </w:r>
            <w:r>
              <w:rPr>
                <w:rFonts w:hint="eastAsia" w:ascii="宋体" w:hAnsi="宋体" w:cs="宋体"/>
                <w:kern w:val="0"/>
                <w:sz w:val="18"/>
                <w:szCs w:val="18"/>
                <w:highlight w:val="none"/>
              </w:rPr>
              <w:t>等</w:t>
            </w:r>
            <w:r>
              <w:rPr>
                <w:rFonts w:ascii="宋体" w:hAnsi="宋体" w:cs="宋体"/>
                <w:kern w:val="0"/>
                <w:sz w:val="18"/>
                <w:szCs w:val="18"/>
                <w:highlight w:val="none"/>
              </w:rPr>
              <w:t>。</w:t>
            </w:r>
          </w:p>
          <w:p w14:paraId="4F5E1E67">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③消防安全设施</w:t>
            </w:r>
          </w:p>
          <w:p w14:paraId="645C0166">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消防系统：消防栓、灭火器（如干粉、CO₂）、自动喷淋系统</w:t>
            </w:r>
            <w:r>
              <w:rPr>
                <w:rFonts w:hint="eastAsia" w:ascii="宋体" w:hAnsi="宋体" w:cs="宋体"/>
                <w:kern w:val="0"/>
                <w:sz w:val="18"/>
                <w:szCs w:val="18"/>
                <w:highlight w:val="none"/>
              </w:rPr>
              <w:t>等</w:t>
            </w:r>
            <w:r>
              <w:rPr>
                <w:rFonts w:ascii="宋体" w:hAnsi="宋体" w:cs="宋体"/>
                <w:kern w:val="0"/>
                <w:sz w:val="18"/>
                <w:szCs w:val="18"/>
                <w:highlight w:val="none"/>
              </w:rPr>
              <w:t>。</w:t>
            </w:r>
          </w:p>
          <w:p w14:paraId="30CAC683">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应急疏散：安全出口标识、应急照明、疏散通道</w:t>
            </w:r>
            <w:r>
              <w:rPr>
                <w:rFonts w:hint="eastAsia" w:ascii="宋体" w:hAnsi="宋体" w:cs="宋体"/>
                <w:kern w:val="0"/>
                <w:sz w:val="18"/>
                <w:szCs w:val="18"/>
                <w:highlight w:val="none"/>
              </w:rPr>
              <w:t>等</w:t>
            </w:r>
            <w:r>
              <w:rPr>
                <w:rFonts w:ascii="宋体" w:hAnsi="宋体" w:cs="宋体"/>
                <w:kern w:val="0"/>
                <w:sz w:val="18"/>
                <w:szCs w:val="18"/>
                <w:highlight w:val="none"/>
              </w:rPr>
              <w:t>。</w:t>
            </w:r>
          </w:p>
          <w:p w14:paraId="0388FCC9">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④劳动防护用品</w:t>
            </w:r>
          </w:p>
          <w:p w14:paraId="1E71020F">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防护手套、防护眼镜、防护面罩、防毒面具、正压式空气呼吸器、安全鞋、防化靴、安全带、安全帽、耳塞、耳罩等。</w:t>
            </w:r>
          </w:p>
        </w:tc>
      </w:tr>
      <w:tr w14:paraId="6EF3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90" w:type="dxa"/>
            <w:vMerge w:val="continue"/>
            <w:shd w:val="clear" w:color="auto" w:fill="auto"/>
            <w:vAlign w:val="center"/>
          </w:tcPr>
          <w:p w14:paraId="52003DD0">
            <w:pPr>
              <w:widowControl/>
              <w:spacing w:line="260" w:lineRule="exact"/>
              <w:jc w:val="center"/>
              <w:rPr>
                <w:rFonts w:ascii="宋体" w:hAnsi="宋体" w:cs="宋体"/>
                <w:kern w:val="0"/>
                <w:sz w:val="18"/>
                <w:szCs w:val="18"/>
                <w:highlight w:val="none"/>
              </w:rPr>
            </w:pPr>
          </w:p>
        </w:tc>
        <w:tc>
          <w:tcPr>
            <w:tcW w:w="1049" w:type="dxa"/>
            <w:vMerge w:val="continue"/>
            <w:shd w:val="clear" w:color="auto" w:fill="auto"/>
            <w:vAlign w:val="center"/>
          </w:tcPr>
          <w:p w14:paraId="3474A530">
            <w:pPr>
              <w:widowControl/>
              <w:spacing w:line="260" w:lineRule="exact"/>
              <w:jc w:val="center"/>
              <w:rPr>
                <w:rFonts w:ascii="宋体" w:hAnsi="宋体" w:cs="宋体"/>
                <w:kern w:val="0"/>
                <w:sz w:val="18"/>
                <w:szCs w:val="18"/>
                <w:highlight w:val="none"/>
              </w:rPr>
            </w:pPr>
          </w:p>
        </w:tc>
        <w:tc>
          <w:tcPr>
            <w:tcW w:w="1149" w:type="dxa"/>
            <w:shd w:val="clear" w:color="auto" w:fill="auto"/>
            <w:vAlign w:val="center"/>
          </w:tcPr>
          <w:p w14:paraId="726E1B6E">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4.1.2操作规程执行</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（1.2分）</w:t>
            </w:r>
          </w:p>
        </w:tc>
        <w:tc>
          <w:tcPr>
            <w:tcW w:w="4757" w:type="dxa"/>
            <w:shd w:val="clear" w:color="auto" w:fill="auto"/>
            <w:vAlign w:val="center"/>
          </w:tcPr>
          <w:p w14:paraId="7870CBFB">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在检测仪器设备、电气及机械设备、安全设施、特种设备等的适当位置或设施设备附近张贴或悬挂操作规程，1.2分。每缺1项扣0.3分，扣完为止。</w:t>
            </w:r>
          </w:p>
        </w:tc>
      </w:tr>
    </w:tbl>
    <w:p w14:paraId="7773365A">
      <w:pPr>
        <w:jc w:val="center"/>
        <w:rPr>
          <w:rFonts w:hint="eastAsia" w:ascii="黑体" w:hAnsi="黑体" w:eastAsia="黑体" w:cs="黑体"/>
          <w:b w:val="0"/>
          <w:bCs w:val="0"/>
          <w:highlight w:val="none"/>
        </w:rPr>
      </w:pPr>
    </w:p>
    <w:p w14:paraId="26044EF8">
      <w:pPr>
        <w:jc w:val="center"/>
        <w:rPr>
          <w:rFonts w:hint="eastAsia" w:ascii="黑体" w:hAnsi="黑体" w:eastAsia="黑体" w:cs="黑体"/>
          <w:b w:val="0"/>
          <w:bCs w:val="0"/>
          <w:highlight w:val="none"/>
        </w:rPr>
      </w:pPr>
    </w:p>
    <w:p w14:paraId="2D968A39">
      <w:pPr>
        <w:jc w:val="center"/>
        <w:rPr>
          <w:rFonts w:hint="eastAsia" w:ascii="黑体" w:hAnsi="黑体" w:eastAsia="黑体" w:cs="黑体"/>
          <w:b w:val="0"/>
          <w:bCs w:val="0"/>
          <w:highlight w:val="none"/>
        </w:rPr>
      </w:pPr>
    </w:p>
    <w:p w14:paraId="4B3A4A6D">
      <w:pPr>
        <w:jc w:val="center"/>
        <w:rPr>
          <w:rFonts w:hint="eastAsia" w:ascii="黑体" w:hAnsi="黑体" w:eastAsia="黑体" w:cs="黑体"/>
          <w:b w:val="0"/>
          <w:bCs w:val="0"/>
          <w:highlight w:val="none"/>
        </w:rPr>
      </w:pPr>
    </w:p>
    <w:p w14:paraId="0B72DF50">
      <w:pPr>
        <w:keepNext w:val="0"/>
        <w:keepLines w:val="0"/>
        <w:pageBreakBefore w:val="0"/>
        <w:widowControl w:val="0"/>
        <w:kinsoku/>
        <w:wordWrap/>
        <w:overflowPunct/>
        <w:topLinePunct w:val="0"/>
        <w:autoSpaceDE/>
        <w:autoSpaceDN/>
        <w:bidi w:val="0"/>
        <w:adjustRightInd w:val="0"/>
        <w:snapToGrid/>
        <w:spacing w:before="157" w:beforeLines="50" w:after="157" w:afterLines="50"/>
        <w:jc w:val="center"/>
        <w:textAlignment w:val="auto"/>
        <w:rPr>
          <w:rFonts w:hint="eastAsia" w:ascii="黑体" w:hAnsi="黑体" w:eastAsia="黑体" w:cs="黑体"/>
          <w:b w:val="0"/>
          <w:bCs w:val="0"/>
          <w:highlight w:val="none"/>
        </w:rPr>
      </w:pPr>
      <w:r>
        <w:rPr>
          <w:rFonts w:hint="eastAsia" w:ascii="黑体" w:hAnsi="黑体" w:eastAsia="黑体" w:cs="黑体"/>
          <w:b w:val="0"/>
          <w:bCs w:val="0"/>
          <w:highlight w:val="none"/>
        </w:rPr>
        <w:t>表</w:t>
      </w:r>
      <w:r>
        <w:rPr>
          <w:rFonts w:hint="eastAsia" w:ascii="黑体" w:hAnsi="黑体" w:eastAsia="黑体" w:cs="黑体"/>
          <w:b w:val="0"/>
          <w:bCs w:val="0"/>
          <w:highlight w:val="none"/>
          <w:lang w:val="en-US" w:eastAsia="zh-CN"/>
        </w:rPr>
        <w:t>B</w:t>
      </w:r>
      <w:r>
        <w:rPr>
          <w:rFonts w:hint="eastAsia" w:ascii="黑体" w:hAnsi="黑体" w:eastAsia="黑体" w:cs="黑体"/>
          <w:b w:val="0"/>
          <w:bCs w:val="0"/>
          <w:highlight w:val="none"/>
        </w:rPr>
        <w:t>.1 城镇公共供水厂运行管理评价计分细则</w:t>
      </w:r>
      <w:r>
        <w:rPr>
          <w:rFonts w:hint="eastAsia" w:ascii="宋体" w:hAnsi="宋体" w:eastAsia="宋体" w:cs="宋体"/>
          <w:kern w:val="21"/>
          <w:sz w:val="21"/>
          <w:szCs w:val="20"/>
          <w:highlight w:val="none"/>
          <w:lang w:val="en-US" w:eastAsia="zh-CN" w:bidi="ar-SA"/>
        </w:rPr>
        <w:t>（续）</w:t>
      </w:r>
    </w:p>
    <w:tbl>
      <w:tblPr>
        <w:tblStyle w:val="30"/>
        <w:tblW w:w="41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38"/>
        <w:gridCol w:w="1190"/>
        <w:gridCol w:w="4766"/>
      </w:tblGrid>
      <w:tr w14:paraId="0FB5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69" w:type="dxa"/>
            <w:gridSpan w:val="3"/>
            <w:shd w:val="clear" w:color="auto" w:fill="auto"/>
            <w:vAlign w:val="center"/>
          </w:tcPr>
          <w:p w14:paraId="5A3BA20B">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b/>
                <w:bCs/>
                <w:kern w:val="0"/>
                <w:sz w:val="18"/>
                <w:szCs w:val="18"/>
                <w:highlight w:val="none"/>
              </w:rPr>
              <w:t>评价内容</w:t>
            </w:r>
          </w:p>
        </w:tc>
        <w:tc>
          <w:tcPr>
            <w:tcW w:w="4766" w:type="dxa"/>
            <w:vMerge w:val="restart"/>
            <w:shd w:val="clear" w:color="auto" w:fill="auto"/>
            <w:vAlign w:val="center"/>
          </w:tcPr>
          <w:p w14:paraId="55081995">
            <w:pPr>
              <w:widowControl/>
              <w:spacing w:line="260" w:lineRule="exact"/>
              <w:jc w:val="center"/>
              <w:rPr>
                <w:rFonts w:hint="eastAsia" w:ascii="宋体" w:hAnsi="宋体" w:cs="宋体"/>
                <w:kern w:val="0"/>
                <w:sz w:val="18"/>
                <w:szCs w:val="18"/>
                <w:highlight w:val="none"/>
              </w:rPr>
            </w:pPr>
            <w:r>
              <w:rPr>
                <w:rFonts w:hint="eastAsia" w:ascii="宋体" w:hAnsi="宋体" w:cs="宋体"/>
                <w:b/>
                <w:bCs/>
                <w:kern w:val="0"/>
                <w:sz w:val="18"/>
                <w:szCs w:val="18"/>
                <w:highlight w:val="none"/>
              </w:rPr>
              <w:t>评价方法</w:t>
            </w:r>
          </w:p>
        </w:tc>
      </w:tr>
      <w:tr w14:paraId="3E86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41" w:type="dxa"/>
            <w:shd w:val="clear" w:color="auto" w:fill="auto"/>
            <w:vAlign w:val="center"/>
          </w:tcPr>
          <w:p w14:paraId="4170C09F">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一级指标</w:t>
            </w:r>
          </w:p>
        </w:tc>
        <w:tc>
          <w:tcPr>
            <w:tcW w:w="1038" w:type="dxa"/>
            <w:shd w:val="clear" w:color="auto" w:fill="auto"/>
            <w:vAlign w:val="center"/>
          </w:tcPr>
          <w:p w14:paraId="5909CB84">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二级指标</w:t>
            </w:r>
          </w:p>
        </w:tc>
        <w:tc>
          <w:tcPr>
            <w:tcW w:w="1190" w:type="dxa"/>
            <w:shd w:val="clear" w:color="auto" w:fill="auto"/>
            <w:vAlign w:val="center"/>
          </w:tcPr>
          <w:p w14:paraId="20B0DD0D">
            <w:pPr>
              <w:widowControl/>
              <w:spacing w:line="260" w:lineRule="exact"/>
              <w:jc w:val="center"/>
              <w:rPr>
                <w:rFonts w:hint="eastAsia"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三级指标</w:t>
            </w:r>
          </w:p>
        </w:tc>
        <w:tc>
          <w:tcPr>
            <w:tcW w:w="4766" w:type="dxa"/>
            <w:vMerge w:val="continue"/>
            <w:shd w:val="clear" w:color="auto" w:fill="auto"/>
            <w:vAlign w:val="center"/>
          </w:tcPr>
          <w:p w14:paraId="3B1262B6">
            <w:pPr>
              <w:widowControl/>
              <w:spacing w:line="260" w:lineRule="exact"/>
              <w:jc w:val="left"/>
              <w:rPr>
                <w:rFonts w:hint="eastAsia" w:ascii="宋体" w:hAnsi="宋体" w:cs="宋体"/>
                <w:kern w:val="0"/>
                <w:sz w:val="18"/>
                <w:szCs w:val="18"/>
                <w:highlight w:val="none"/>
              </w:rPr>
            </w:pPr>
          </w:p>
        </w:tc>
      </w:tr>
      <w:tr w14:paraId="48CD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41" w:type="dxa"/>
            <w:vMerge w:val="restart"/>
            <w:vAlign w:val="center"/>
          </w:tcPr>
          <w:p w14:paraId="69606F9C">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4.运行维护（16.5分）</w:t>
            </w:r>
          </w:p>
        </w:tc>
        <w:tc>
          <w:tcPr>
            <w:tcW w:w="1038" w:type="dxa"/>
            <w:vAlign w:val="center"/>
          </w:tcPr>
          <w:p w14:paraId="1B17E22F">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4.1设施设备管理（</w:t>
            </w:r>
            <w:r>
              <w:rPr>
                <w:rFonts w:hint="eastAsia" w:ascii="宋体" w:hAnsi="宋体" w:cs="宋体"/>
                <w:kern w:val="0"/>
                <w:sz w:val="18"/>
                <w:szCs w:val="18"/>
                <w:highlight w:val="none"/>
                <w:lang w:val="en-US" w:eastAsia="zh-CN"/>
              </w:rPr>
              <w:t>2</w:t>
            </w:r>
            <w:r>
              <w:rPr>
                <w:rFonts w:hint="eastAsia" w:ascii="宋体" w:hAnsi="宋体" w:cs="宋体"/>
                <w:kern w:val="0"/>
                <w:sz w:val="18"/>
                <w:szCs w:val="18"/>
                <w:highlight w:val="none"/>
              </w:rPr>
              <w:t>.5分）</w:t>
            </w:r>
          </w:p>
        </w:tc>
        <w:tc>
          <w:tcPr>
            <w:tcW w:w="1190" w:type="dxa"/>
            <w:vAlign w:val="center"/>
          </w:tcPr>
          <w:p w14:paraId="63221B20">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4.1.3设施设备运行</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（2.5分）</w:t>
            </w:r>
          </w:p>
        </w:tc>
        <w:tc>
          <w:tcPr>
            <w:tcW w:w="4766" w:type="dxa"/>
            <w:shd w:val="clear" w:color="auto" w:fill="auto"/>
            <w:vAlign w:val="center"/>
          </w:tcPr>
          <w:p w14:paraId="4B380364">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（1）检测仪器设备（化验室）、电气及机械设备、安全设施等设施设备运行或使用正常，1.0分。有1项运行或使用不正常，扣0.2分，扣完为止；</w:t>
            </w:r>
          </w:p>
          <w:p w14:paraId="7EC6B95C">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（2）计量泵或计量装置定期进行校准，0.5分。每少检定校准1项扣0.1分，扣完为止；对化验室仪器设备定期检定校准，0.5分。每少检定校准1项扣0.1分，扣完为止；</w:t>
            </w:r>
          </w:p>
          <w:p w14:paraId="7174F96E">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（3）在线仪表等数据校验符合CJJ/T 271等的规定，0.5分。</w:t>
            </w:r>
          </w:p>
        </w:tc>
      </w:tr>
      <w:tr w14:paraId="4FDE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041" w:type="dxa"/>
            <w:vMerge w:val="continue"/>
            <w:vAlign w:val="center"/>
          </w:tcPr>
          <w:p w14:paraId="33B2B42E">
            <w:pPr>
              <w:widowControl/>
              <w:spacing w:line="260" w:lineRule="exact"/>
              <w:jc w:val="center"/>
              <w:rPr>
                <w:rFonts w:ascii="宋体" w:hAnsi="宋体" w:cs="宋体"/>
                <w:kern w:val="0"/>
                <w:sz w:val="18"/>
                <w:szCs w:val="18"/>
                <w:highlight w:val="none"/>
              </w:rPr>
            </w:pPr>
          </w:p>
        </w:tc>
        <w:tc>
          <w:tcPr>
            <w:tcW w:w="1038" w:type="dxa"/>
            <w:vMerge w:val="restart"/>
            <w:shd w:val="clear" w:color="auto" w:fill="auto"/>
            <w:vAlign w:val="center"/>
          </w:tcPr>
          <w:p w14:paraId="31ED49EB">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4.2运行养护管理（11.0分）</w:t>
            </w:r>
          </w:p>
        </w:tc>
        <w:tc>
          <w:tcPr>
            <w:tcW w:w="1190" w:type="dxa"/>
            <w:shd w:val="clear" w:color="auto" w:fill="auto"/>
            <w:vAlign w:val="center"/>
          </w:tcPr>
          <w:p w14:paraId="5CA2FDF1">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4.2.1维修养护</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（6.5分）</w:t>
            </w:r>
          </w:p>
        </w:tc>
        <w:tc>
          <w:tcPr>
            <w:tcW w:w="4766" w:type="dxa"/>
            <w:shd w:val="clear" w:color="auto" w:fill="auto"/>
            <w:vAlign w:val="center"/>
          </w:tcPr>
          <w:p w14:paraId="65151FB4">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（1）按维护检修制度对设施设备开展日常维修养护，有规范的维修养护记录，3.0分。无维修养护记录或记录不规范，扣0.5分；</w:t>
            </w:r>
          </w:p>
          <w:p w14:paraId="70BEC93A">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（2）制定年度维修养护计划，且按计划开展维修养护，有规范的维修养护记录，3.5分。未制定年度维修计划，扣1.5分；制定计划，但未落实执行，扣1.5分；维修养护记录不规范不完整，扣0.5分。</w:t>
            </w:r>
          </w:p>
        </w:tc>
      </w:tr>
      <w:tr w14:paraId="0E5C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041" w:type="dxa"/>
            <w:vMerge w:val="continue"/>
            <w:vAlign w:val="center"/>
          </w:tcPr>
          <w:p w14:paraId="3A984A01">
            <w:pPr>
              <w:widowControl/>
              <w:spacing w:line="260" w:lineRule="exact"/>
              <w:jc w:val="center"/>
              <w:rPr>
                <w:rFonts w:ascii="宋体" w:hAnsi="宋体" w:cs="宋体"/>
                <w:kern w:val="0"/>
                <w:sz w:val="18"/>
                <w:szCs w:val="18"/>
                <w:highlight w:val="none"/>
              </w:rPr>
            </w:pPr>
          </w:p>
        </w:tc>
        <w:tc>
          <w:tcPr>
            <w:tcW w:w="1038" w:type="dxa"/>
            <w:vMerge w:val="continue"/>
            <w:vAlign w:val="center"/>
          </w:tcPr>
          <w:p w14:paraId="740AED98">
            <w:pPr>
              <w:widowControl/>
              <w:spacing w:line="260" w:lineRule="exact"/>
              <w:jc w:val="center"/>
              <w:rPr>
                <w:rFonts w:ascii="宋体" w:hAnsi="宋体" w:cs="宋体"/>
                <w:kern w:val="0"/>
                <w:sz w:val="18"/>
                <w:szCs w:val="18"/>
                <w:highlight w:val="none"/>
              </w:rPr>
            </w:pPr>
          </w:p>
        </w:tc>
        <w:tc>
          <w:tcPr>
            <w:tcW w:w="1190" w:type="dxa"/>
            <w:vAlign w:val="center"/>
          </w:tcPr>
          <w:p w14:paraId="1467CC9A">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4.2.2巡视检查</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（4.5分）</w:t>
            </w:r>
          </w:p>
        </w:tc>
        <w:tc>
          <w:tcPr>
            <w:tcW w:w="4766" w:type="dxa"/>
            <w:shd w:val="clear" w:color="auto" w:fill="auto"/>
            <w:vAlign w:val="center"/>
          </w:tcPr>
          <w:p w14:paraId="48C5C217">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按巡视检查管理制度对检测仪器设备（化验室）、电气及机械设备、安全设施等设施设备进行巡视检查，巡视检查记录完整，4.5分。未严格按照巡视检查管理制度进行巡视检查，扣2分；巡视检查记录不完整，扣0.5分。</w:t>
            </w:r>
          </w:p>
        </w:tc>
      </w:tr>
      <w:tr w14:paraId="38DA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41" w:type="dxa"/>
            <w:vMerge w:val="restart"/>
            <w:shd w:val="clear" w:color="auto" w:fill="auto"/>
            <w:vAlign w:val="center"/>
          </w:tcPr>
          <w:p w14:paraId="57574148">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5.安全生产（13.0分）</w:t>
            </w:r>
          </w:p>
        </w:tc>
        <w:tc>
          <w:tcPr>
            <w:tcW w:w="1038" w:type="dxa"/>
            <w:vMerge w:val="restart"/>
            <w:shd w:val="clear" w:color="auto" w:fill="auto"/>
            <w:vAlign w:val="center"/>
          </w:tcPr>
          <w:p w14:paraId="20D7A6F6">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5.1安全生产管理（2.5分）</w:t>
            </w:r>
          </w:p>
        </w:tc>
        <w:tc>
          <w:tcPr>
            <w:tcW w:w="1190" w:type="dxa"/>
            <w:shd w:val="clear" w:color="auto" w:fill="auto"/>
            <w:vAlign w:val="center"/>
          </w:tcPr>
          <w:p w14:paraId="64AF773B">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5.1.1安全警示标识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（1.2分）</w:t>
            </w:r>
          </w:p>
        </w:tc>
        <w:tc>
          <w:tcPr>
            <w:tcW w:w="4766" w:type="dxa"/>
            <w:shd w:val="clear" w:color="auto" w:fill="auto"/>
            <w:vAlign w:val="center"/>
          </w:tcPr>
          <w:p w14:paraId="426ED5BC">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安全警示标志符合GB 2894等相关要求，在有限空间等作业危险区域及加药间、配电室、泵房等空间设施设备的危险部位设置安全警示标志，1.2分。安全警示标识不符合GB 2894等相关要求，扣0.6分；未按要求张贴、悬挂安全警示标志，扣0.6分。</w:t>
            </w:r>
          </w:p>
        </w:tc>
      </w:tr>
      <w:tr w14:paraId="126F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041" w:type="dxa"/>
            <w:vMerge w:val="continue"/>
            <w:vAlign w:val="center"/>
          </w:tcPr>
          <w:p w14:paraId="34D0087C">
            <w:pPr>
              <w:widowControl/>
              <w:spacing w:line="260" w:lineRule="exact"/>
              <w:jc w:val="center"/>
              <w:rPr>
                <w:rFonts w:ascii="宋体" w:hAnsi="宋体" w:cs="宋体"/>
                <w:kern w:val="0"/>
                <w:sz w:val="18"/>
                <w:szCs w:val="18"/>
                <w:highlight w:val="none"/>
              </w:rPr>
            </w:pPr>
          </w:p>
        </w:tc>
        <w:tc>
          <w:tcPr>
            <w:tcW w:w="1038" w:type="dxa"/>
            <w:vMerge w:val="continue"/>
            <w:vAlign w:val="center"/>
          </w:tcPr>
          <w:p w14:paraId="6234EED7">
            <w:pPr>
              <w:widowControl/>
              <w:spacing w:line="260" w:lineRule="exact"/>
              <w:jc w:val="center"/>
              <w:rPr>
                <w:rFonts w:ascii="宋体" w:hAnsi="宋体" w:cs="宋体"/>
                <w:kern w:val="0"/>
                <w:sz w:val="18"/>
                <w:szCs w:val="18"/>
                <w:highlight w:val="none"/>
              </w:rPr>
            </w:pPr>
          </w:p>
        </w:tc>
        <w:tc>
          <w:tcPr>
            <w:tcW w:w="1190" w:type="dxa"/>
            <w:vAlign w:val="center"/>
          </w:tcPr>
          <w:p w14:paraId="262D0633">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5.1.2应急管理及风险评估</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（0.8分）</w:t>
            </w:r>
          </w:p>
        </w:tc>
        <w:tc>
          <w:tcPr>
            <w:tcW w:w="4766" w:type="dxa"/>
            <w:shd w:val="clear" w:color="auto" w:fill="auto"/>
            <w:vAlign w:val="center"/>
          </w:tcPr>
          <w:p w14:paraId="63B9C643">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（1）开展安全风险辨识与风险评估，0.3分；</w:t>
            </w:r>
          </w:p>
          <w:p w14:paraId="6C5E4F48">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（2）应急预案通过评审或论证，正式印发，0.3分。未评审或未论证，扣0.2分；未正式印发，扣0.1分；</w:t>
            </w:r>
          </w:p>
          <w:p w14:paraId="0A704E34">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（3）每年开展应急演练不少于1次，有完整的演练记录（含演练计划、演练方案和脚本、演练照片等），0.2分。演练记录不完整，扣0.1分。</w:t>
            </w:r>
          </w:p>
        </w:tc>
      </w:tr>
      <w:tr w14:paraId="37A9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041" w:type="dxa"/>
            <w:vMerge w:val="continue"/>
            <w:vAlign w:val="center"/>
          </w:tcPr>
          <w:p w14:paraId="7FD9A65D">
            <w:pPr>
              <w:widowControl/>
              <w:spacing w:line="260" w:lineRule="exact"/>
              <w:jc w:val="center"/>
              <w:rPr>
                <w:rFonts w:ascii="宋体" w:hAnsi="宋体" w:cs="宋体"/>
                <w:kern w:val="0"/>
                <w:sz w:val="18"/>
                <w:szCs w:val="18"/>
                <w:highlight w:val="none"/>
              </w:rPr>
            </w:pPr>
          </w:p>
        </w:tc>
        <w:tc>
          <w:tcPr>
            <w:tcW w:w="1038" w:type="dxa"/>
            <w:vMerge w:val="continue"/>
            <w:vAlign w:val="center"/>
          </w:tcPr>
          <w:p w14:paraId="77289A0A">
            <w:pPr>
              <w:widowControl/>
              <w:spacing w:line="260" w:lineRule="exact"/>
              <w:jc w:val="center"/>
              <w:rPr>
                <w:rFonts w:ascii="宋体" w:hAnsi="宋体" w:cs="宋体"/>
                <w:kern w:val="0"/>
                <w:sz w:val="18"/>
                <w:szCs w:val="18"/>
                <w:highlight w:val="none"/>
              </w:rPr>
            </w:pPr>
          </w:p>
        </w:tc>
        <w:tc>
          <w:tcPr>
            <w:tcW w:w="1190" w:type="dxa"/>
            <w:vAlign w:val="center"/>
          </w:tcPr>
          <w:p w14:paraId="4A82CA4A">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5.1.3第三方安全生产责任</w:t>
            </w:r>
          </w:p>
          <w:p w14:paraId="5169768B">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（0.5分）</w:t>
            </w:r>
          </w:p>
        </w:tc>
        <w:tc>
          <w:tcPr>
            <w:tcW w:w="4766" w:type="dxa"/>
            <w:shd w:val="clear" w:color="auto" w:fill="auto"/>
            <w:vAlign w:val="center"/>
          </w:tcPr>
          <w:p w14:paraId="0F9A4201">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（1）明确委托实施安全生产专业技术服务的第三方在安全生产中的责任，0.2分；</w:t>
            </w:r>
          </w:p>
          <w:p w14:paraId="61B68E8D">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（2）水厂落实监督管理责任，0.3分。</w:t>
            </w:r>
          </w:p>
        </w:tc>
      </w:tr>
      <w:tr w14:paraId="0D50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041" w:type="dxa"/>
            <w:vMerge w:val="continue"/>
            <w:vAlign w:val="center"/>
          </w:tcPr>
          <w:p w14:paraId="736F98E4">
            <w:pPr>
              <w:widowControl/>
              <w:spacing w:line="260" w:lineRule="exact"/>
              <w:jc w:val="center"/>
              <w:rPr>
                <w:rFonts w:ascii="宋体" w:hAnsi="宋体" w:cs="宋体"/>
                <w:kern w:val="0"/>
                <w:sz w:val="18"/>
                <w:szCs w:val="18"/>
                <w:highlight w:val="none"/>
              </w:rPr>
            </w:pPr>
          </w:p>
        </w:tc>
        <w:tc>
          <w:tcPr>
            <w:tcW w:w="1038" w:type="dxa"/>
            <w:vMerge w:val="restart"/>
            <w:shd w:val="clear" w:color="auto" w:fill="auto"/>
            <w:vAlign w:val="center"/>
          </w:tcPr>
          <w:p w14:paraId="7F3A2C25">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5.2危险化学品管理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（2.0分）</w:t>
            </w:r>
          </w:p>
        </w:tc>
        <w:tc>
          <w:tcPr>
            <w:tcW w:w="1190" w:type="dxa"/>
            <w:shd w:val="clear" w:color="auto" w:fill="auto"/>
            <w:vAlign w:val="center"/>
          </w:tcPr>
          <w:p w14:paraId="6A3586DF">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5.2.1存放管理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766" w:type="dxa"/>
            <w:shd w:val="clear" w:color="auto" w:fill="auto"/>
            <w:vAlign w:val="center"/>
          </w:tcPr>
          <w:p w14:paraId="7ED6B3E6">
            <w:pPr>
              <w:widowControl/>
              <w:numPr>
                <w:ilvl w:val="255"/>
                <w:numId w:val="0"/>
              </w:numPr>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按要求对危险化学品进行存放，且存放位置或防护设施配置（通风条件）符合相关规定，1.0分。危险化学品存放位置或防护设施配置（通风条件）不符合相关规定，扣0.4分。</w:t>
            </w:r>
          </w:p>
        </w:tc>
      </w:tr>
      <w:tr w14:paraId="45CC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41" w:type="dxa"/>
            <w:vMerge w:val="continue"/>
            <w:vAlign w:val="center"/>
          </w:tcPr>
          <w:p w14:paraId="5921283B">
            <w:pPr>
              <w:widowControl/>
              <w:spacing w:line="260" w:lineRule="exact"/>
              <w:jc w:val="center"/>
              <w:rPr>
                <w:rFonts w:ascii="宋体" w:hAnsi="宋体" w:cs="宋体"/>
                <w:kern w:val="0"/>
                <w:sz w:val="18"/>
                <w:szCs w:val="18"/>
                <w:highlight w:val="none"/>
              </w:rPr>
            </w:pPr>
          </w:p>
        </w:tc>
        <w:tc>
          <w:tcPr>
            <w:tcW w:w="1038" w:type="dxa"/>
            <w:vMerge w:val="continue"/>
            <w:shd w:val="clear" w:color="auto" w:fill="auto"/>
            <w:vAlign w:val="center"/>
          </w:tcPr>
          <w:p w14:paraId="23FE48EB">
            <w:pPr>
              <w:widowControl/>
              <w:spacing w:line="260" w:lineRule="exact"/>
              <w:jc w:val="center"/>
              <w:rPr>
                <w:rFonts w:ascii="宋体" w:hAnsi="宋体" w:cs="宋体"/>
                <w:kern w:val="0"/>
                <w:sz w:val="18"/>
                <w:szCs w:val="18"/>
                <w:highlight w:val="none"/>
              </w:rPr>
            </w:pPr>
          </w:p>
        </w:tc>
        <w:tc>
          <w:tcPr>
            <w:tcW w:w="1190" w:type="dxa"/>
            <w:shd w:val="clear" w:color="auto" w:fill="auto"/>
            <w:vAlign w:val="center"/>
          </w:tcPr>
          <w:p w14:paraId="603DC581">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5.2.2出入库管理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766" w:type="dxa"/>
            <w:shd w:val="clear" w:color="auto" w:fill="auto"/>
            <w:vAlign w:val="center"/>
          </w:tcPr>
          <w:p w14:paraId="6B895286">
            <w:pPr>
              <w:widowControl/>
              <w:numPr>
                <w:ilvl w:val="255"/>
                <w:numId w:val="0"/>
              </w:numPr>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危险化学品实施出入库管理，且记录规范，1.0分。记录不规范，扣0.4分。</w:t>
            </w:r>
          </w:p>
        </w:tc>
      </w:tr>
      <w:tr w14:paraId="0DD8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41" w:type="dxa"/>
            <w:vMerge w:val="continue"/>
            <w:vAlign w:val="center"/>
          </w:tcPr>
          <w:p w14:paraId="16ABFA72">
            <w:pPr>
              <w:widowControl/>
              <w:spacing w:line="260" w:lineRule="exact"/>
              <w:jc w:val="center"/>
              <w:rPr>
                <w:rFonts w:ascii="宋体" w:hAnsi="宋体" w:cs="宋体"/>
                <w:kern w:val="0"/>
                <w:sz w:val="18"/>
                <w:szCs w:val="18"/>
                <w:highlight w:val="none"/>
              </w:rPr>
            </w:pPr>
          </w:p>
        </w:tc>
        <w:tc>
          <w:tcPr>
            <w:tcW w:w="1038" w:type="dxa"/>
            <w:shd w:val="clear" w:color="auto" w:fill="auto"/>
            <w:vAlign w:val="center"/>
          </w:tcPr>
          <w:p w14:paraId="05DA5C93">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5.3有限空间作业管理</w:t>
            </w:r>
          </w:p>
          <w:p w14:paraId="73D0FCEA">
            <w:pPr>
              <w:widowControl/>
              <w:spacing w:line="260" w:lineRule="exact"/>
              <w:jc w:val="center"/>
              <w:rPr>
                <w:rFonts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rPr>
              <w:t>（</w:t>
            </w:r>
            <w:r>
              <w:rPr>
                <w:rFonts w:hint="eastAsia" w:ascii="宋体" w:hAnsi="宋体" w:cs="宋体"/>
                <w:kern w:val="0"/>
                <w:sz w:val="18"/>
                <w:szCs w:val="18"/>
                <w:highlight w:val="none"/>
                <w:lang w:val="en-US" w:eastAsia="zh-CN"/>
              </w:rPr>
              <w:t>1.4</w:t>
            </w:r>
            <w:r>
              <w:rPr>
                <w:rFonts w:hint="eastAsia" w:ascii="宋体" w:hAnsi="宋体" w:cs="宋体"/>
                <w:kern w:val="0"/>
                <w:sz w:val="18"/>
                <w:szCs w:val="18"/>
                <w:highlight w:val="none"/>
              </w:rPr>
              <w:t>分）</w:t>
            </w:r>
          </w:p>
        </w:tc>
        <w:tc>
          <w:tcPr>
            <w:tcW w:w="1190" w:type="dxa"/>
            <w:shd w:val="clear" w:color="auto" w:fill="auto"/>
            <w:vAlign w:val="center"/>
          </w:tcPr>
          <w:p w14:paraId="54C028B4">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rPr>
              <w:t>5.3.1有限空间作业审批</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（1.4分）</w:t>
            </w:r>
          </w:p>
        </w:tc>
        <w:tc>
          <w:tcPr>
            <w:tcW w:w="4766" w:type="dxa"/>
            <w:shd w:val="clear" w:color="auto" w:fill="auto"/>
            <w:vAlign w:val="center"/>
          </w:tcPr>
          <w:p w14:paraId="7FB53565">
            <w:pPr>
              <w:widowControl/>
              <w:spacing w:line="260" w:lineRule="exact"/>
              <w:jc w:val="left"/>
              <w:rPr>
                <w:rFonts w:hint="eastAsia"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rPr>
              <w:t>（1）建立有限空间作业管理台账，0.4分。台账信息不齐全，扣0.2分；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（2）有限空间作业按要求审批，且审批表填写、签字规范，1.0分。审批表填写、签字不规范，扣0.3分。</w:t>
            </w:r>
          </w:p>
        </w:tc>
      </w:tr>
    </w:tbl>
    <w:p w14:paraId="461D5747">
      <w:pPr>
        <w:keepNext w:val="0"/>
        <w:keepLines w:val="0"/>
        <w:pageBreakBefore w:val="0"/>
        <w:widowControl w:val="0"/>
        <w:kinsoku/>
        <w:wordWrap/>
        <w:overflowPunct/>
        <w:topLinePunct w:val="0"/>
        <w:autoSpaceDE/>
        <w:autoSpaceDN/>
        <w:bidi w:val="0"/>
        <w:adjustRightInd w:val="0"/>
        <w:snapToGrid/>
        <w:spacing w:before="157" w:beforeLines="50" w:after="157" w:afterLines="50"/>
        <w:jc w:val="center"/>
        <w:textAlignment w:val="auto"/>
        <w:rPr>
          <w:rFonts w:hint="eastAsia" w:ascii="黑体" w:hAnsi="黑体" w:eastAsia="黑体" w:cs="黑体"/>
          <w:b w:val="0"/>
          <w:bCs w:val="0"/>
          <w:highlight w:val="none"/>
        </w:rPr>
      </w:pPr>
      <w:r>
        <w:rPr>
          <w:rFonts w:hint="eastAsia" w:ascii="黑体" w:hAnsi="黑体" w:eastAsia="黑体" w:cs="黑体"/>
          <w:b w:val="0"/>
          <w:bCs w:val="0"/>
          <w:highlight w:val="none"/>
        </w:rPr>
        <w:t>表</w:t>
      </w:r>
      <w:r>
        <w:rPr>
          <w:rFonts w:hint="eastAsia" w:ascii="黑体" w:hAnsi="黑体" w:eastAsia="黑体" w:cs="黑体"/>
          <w:b w:val="0"/>
          <w:bCs w:val="0"/>
          <w:highlight w:val="none"/>
          <w:lang w:val="en-US" w:eastAsia="zh-CN"/>
        </w:rPr>
        <w:t>B</w:t>
      </w:r>
      <w:r>
        <w:rPr>
          <w:rFonts w:hint="eastAsia" w:ascii="黑体" w:hAnsi="黑体" w:eastAsia="黑体" w:cs="黑体"/>
          <w:b w:val="0"/>
          <w:bCs w:val="0"/>
          <w:highlight w:val="none"/>
        </w:rPr>
        <w:t>.1 城镇公共供水厂运行管理评价计分细则</w:t>
      </w:r>
      <w:r>
        <w:rPr>
          <w:rFonts w:hint="eastAsia" w:ascii="宋体" w:hAnsi="宋体" w:eastAsia="宋体" w:cs="宋体"/>
          <w:kern w:val="21"/>
          <w:sz w:val="21"/>
          <w:szCs w:val="20"/>
          <w:highlight w:val="none"/>
          <w:lang w:val="en-US" w:eastAsia="zh-CN" w:bidi="ar-SA"/>
        </w:rPr>
        <w:t>（续）</w:t>
      </w:r>
    </w:p>
    <w:tbl>
      <w:tblPr>
        <w:tblStyle w:val="30"/>
        <w:tblW w:w="41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034"/>
        <w:gridCol w:w="1200"/>
        <w:gridCol w:w="4749"/>
      </w:tblGrid>
      <w:tr w14:paraId="6F95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25" w:type="dxa"/>
            <w:gridSpan w:val="3"/>
            <w:shd w:val="clear" w:color="auto" w:fill="auto"/>
            <w:vAlign w:val="center"/>
          </w:tcPr>
          <w:p w14:paraId="2F6FAF13">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b/>
                <w:bCs/>
                <w:kern w:val="0"/>
                <w:sz w:val="18"/>
                <w:szCs w:val="18"/>
                <w:highlight w:val="none"/>
              </w:rPr>
              <w:t>评价内容</w:t>
            </w:r>
          </w:p>
        </w:tc>
        <w:tc>
          <w:tcPr>
            <w:tcW w:w="4749" w:type="dxa"/>
            <w:vMerge w:val="restart"/>
            <w:shd w:val="clear" w:color="auto" w:fill="auto"/>
            <w:vAlign w:val="center"/>
          </w:tcPr>
          <w:p w14:paraId="0298F154">
            <w:pPr>
              <w:widowControl/>
              <w:spacing w:line="260" w:lineRule="exact"/>
              <w:jc w:val="center"/>
              <w:rPr>
                <w:rFonts w:hint="eastAsia" w:ascii="宋体" w:hAnsi="宋体" w:cs="宋体"/>
                <w:kern w:val="0"/>
                <w:sz w:val="18"/>
                <w:szCs w:val="18"/>
                <w:highlight w:val="none"/>
              </w:rPr>
            </w:pPr>
            <w:r>
              <w:rPr>
                <w:rFonts w:hint="eastAsia" w:ascii="宋体" w:hAnsi="宋体" w:cs="宋体"/>
                <w:b/>
                <w:bCs/>
                <w:kern w:val="0"/>
                <w:sz w:val="18"/>
                <w:szCs w:val="18"/>
                <w:highlight w:val="none"/>
              </w:rPr>
              <w:t>评价方法</w:t>
            </w:r>
          </w:p>
        </w:tc>
      </w:tr>
      <w:tr w14:paraId="73F2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91" w:type="dxa"/>
            <w:shd w:val="clear" w:color="auto" w:fill="auto"/>
            <w:vAlign w:val="center"/>
          </w:tcPr>
          <w:p w14:paraId="749A3A69">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一级指标</w:t>
            </w:r>
          </w:p>
        </w:tc>
        <w:tc>
          <w:tcPr>
            <w:tcW w:w="1034" w:type="dxa"/>
            <w:shd w:val="clear" w:color="auto" w:fill="auto"/>
            <w:vAlign w:val="center"/>
          </w:tcPr>
          <w:p w14:paraId="43465885">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二级指标</w:t>
            </w:r>
          </w:p>
        </w:tc>
        <w:tc>
          <w:tcPr>
            <w:tcW w:w="1200" w:type="dxa"/>
            <w:shd w:val="clear" w:color="auto" w:fill="auto"/>
            <w:vAlign w:val="center"/>
          </w:tcPr>
          <w:p w14:paraId="00DC65BF">
            <w:pPr>
              <w:widowControl/>
              <w:spacing w:line="260" w:lineRule="exact"/>
              <w:jc w:val="center"/>
              <w:rPr>
                <w:rFonts w:hint="eastAsia"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三级指标</w:t>
            </w:r>
          </w:p>
        </w:tc>
        <w:tc>
          <w:tcPr>
            <w:tcW w:w="4749" w:type="dxa"/>
            <w:vMerge w:val="continue"/>
            <w:shd w:val="clear" w:color="auto" w:fill="auto"/>
            <w:vAlign w:val="center"/>
          </w:tcPr>
          <w:p w14:paraId="1B6B0550">
            <w:pPr>
              <w:widowControl/>
              <w:spacing w:line="260" w:lineRule="exact"/>
              <w:jc w:val="left"/>
              <w:rPr>
                <w:rFonts w:hint="eastAsia" w:ascii="宋体" w:hAnsi="宋体" w:cs="宋体"/>
                <w:kern w:val="0"/>
                <w:sz w:val="18"/>
                <w:szCs w:val="18"/>
                <w:highlight w:val="none"/>
              </w:rPr>
            </w:pPr>
          </w:p>
        </w:tc>
      </w:tr>
      <w:tr w14:paraId="28C0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91" w:type="dxa"/>
            <w:vMerge w:val="restart"/>
            <w:vAlign w:val="center"/>
          </w:tcPr>
          <w:p w14:paraId="53BC1062">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5.安全生产（13.0分）</w:t>
            </w:r>
          </w:p>
        </w:tc>
        <w:tc>
          <w:tcPr>
            <w:tcW w:w="1034" w:type="dxa"/>
            <w:shd w:val="clear" w:color="auto" w:fill="auto"/>
            <w:vAlign w:val="center"/>
          </w:tcPr>
          <w:p w14:paraId="21B4B16D">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5.3有限空间作业管理</w:t>
            </w:r>
          </w:p>
          <w:p w14:paraId="4FF87767">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cs="宋体"/>
                <w:kern w:val="0"/>
                <w:sz w:val="18"/>
                <w:szCs w:val="18"/>
                <w:highlight w:val="none"/>
                <w:lang w:val="en-US" w:eastAsia="zh-CN"/>
              </w:rPr>
              <w:t>0.6</w:t>
            </w:r>
            <w:r>
              <w:rPr>
                <w:rFonts w:hint="eastAsia" w:ascii="宋体" w:hAnsi="宋体" w:cs="宋体"/>
                <w:kern w:val="0"/>
                <w:sz w:val="18"/>
                <w:szCs w:val="18"/>
                <w:highlight w:val="none"/>
              </w:rPr>
              <w:t>分）</w:t>
            </w:r>
          </w:p>
        </w:tc>
        <w:tc>
          <w:tcPr>
            <w:tcW w:w="1200" w:type="dxa"/>
            <w:shd w:val="clear" w:color="auto" w:fill="auto"/>
            <w:vAlign w:val="center"/>
          </w:tcPr>
          <w:p w14:paraId="0DEF29E3">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5.3.2有限空间安全防护</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（0.6分）</w:t>
            </w:r>
          </w:p>
        </w:tc>
        <w:tc>
          <w:tcPr>
            <w:tcW w:w="4749" w:type="dxa"/>
            <w:shd w:val="clear" w:color="auto" w:fill="auto"/>
            <w:vAlign w:val="center"/>
          </w:tcPr>
          <w:p w14:paraId="30ECBE6F">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配备用于有限空间的通风设备、气体检测报警仪等安全防护设备设施，0.6分。每缺1项扣0.2分。</w:t>
            </w:r>
          </w:p>
        </w:tc>
      </w:tr>
      <w:tr w14:paraId="3B8B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1" w:type="dxa"/>
            <w:vMerge w:val="continue"/>
            <w:vAlign w:val="center"/>
          </w:tcPr>
          <w:p w14:paraId="04BF700D">
            <w:pPr>
              <w:widowControl/>
              <w:spacing w:line="260" w:lineRule="exact"/>
              <w:jc w:val="center"/>
              <w:rPr>
                <w:rFonts w:ascii="宋体" w:hAnsi="宋体" w:cs="宋体"/>
                <w:kern w:val="0"/>
                <w:sz w:val="18"/>
                <w:szCs w:val="18"/>
                <w:highlight w:val="none"/>
              </w:rPr>
            </w:pPr>
          </w:p>
        </w:tc>
        <w:tc>
          <w:tcPr>
            <w:tcW w:w="1034" w:type="dxa"/>
            <w:vMerge w:val="restart"/>
            <w:shd w:val="clear" w:color="auto" w:fill="auto"/>
            <w:vAlign w:val="center"/>
          </w:tcPr>
          <w:p w14:paraId="67BAE5A5">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5.4配电室安全管理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（2.5分）</w:t>
            </w:r>
          </w:p>
        </w:tc>
        <w:tc>
          <w:tcPr>
            <w:tcW w:w="1200" w:type="dxa"/>
            <w:shd w:val="clear" w:color="auto" w:fill="auto"/>
            <w:vAlign w:val="center"/>
          </w:tcPr>
          <w:p w14:paraId="440F6F24">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5.4.1电气设备运行管理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（0.8分）</w:t>
            </w:r>
          </w:p>
        </w:tc>
        <w:tc>
          <w:tcPr>
            <w:tcW w:w="4749" w:type="dxa"/>
            <w:shd w:val="clear" w:color="auto" w:fill="auto"/>
            <w:vAlign w:val="center"/>
          </w:tcPr>
          <w:p w14:paraId="52927569">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（1）电气设备工作票、操作票填写完整规范，0.2分。有1项不规范，扣0.1分；</w:t>
            </w:r>
          </w:p>
          <w:p w14:paraId="7A6662A7">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（2）交接班记录、巡回检查记录、设备定期试验轮换记录完整规范，0.3分；有1项不规范，扣0.1分；</w:t>
            </w:r>
          </w:p>
          <w:p w14:paraId="541CE30D">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（3）定期清扫、遥测绝缘电阻，且留存记录，0.3分。缺少留存记录，扣0.1分。</w:t>
            </w:r>
          </w:p>
        </w:tc>
      </w:tr>
      <w:tr w14:paraId="7407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1" w:type="dxa"/>
            <w:vMerge w:val="continue"/>
            <w:vAlign w:val="center"/>
          </w:tcPr>
          <w:p w14:paraId="0755FF68">
            <w:pPr>
              <w:widowControl/>
              <w:spacing w:line="260" w:lineRule="exact"/>
              <w:jc w:val="center"/>
              <w:rPr>
                <w:rFonts w:ascii="宋体" w:hAnsi="宋体" w:cs="宋体"/>
                <w:kern w:val="0"/>
                <w:sz w:val="18"/>
                <w:szCs w:val="18"/>
                <w:highlight w:val="none"/>
              </w:rPr>
            </w:pPr>
          </w:p>
        </w:tc>
        <w:tc>
          <w:tcPr>
            <w:tcW w:w="1034" w:type="dxa"/>
            <w:vMerge w:val="continue"/>
            <w:shd w:val="clear" w:color="auto" w:fill="auto"/>
            <w:vAlign w:val="center"/>
          </w:tcPr>
          <w:p w14:paraId="6E840276">
            <w:pPr>
              <w:widowControl/>
              <w:spacing w:line="260" w:lineRule="exact"/>
              <w:jc w:val="center"/>
              <w:rPr>
                <w:rFonts w:ascii="宋体" w:hAnsi="宋体" w:cs="宋体"/>
                <w:kern w:val="0"/>
                <w:sz w:val="18"/>
                <w:szCs w:val="18"/>
                <w:highlight w:val="none"/>
              </w:rPr>
            </w:pPr>
          </w:p>
        </w:tc>
        <w:tc>
          <w:tcPr>
            <w:tcW w:w="1200" w:type="dxa"/>
            <w:shd w:val="clear" w:color="auto" w:fill="auto"/>
            <w:vAlign w:val="center"/>
          </w:tcPr>
          <w:p w14:paraId="6D741F4E">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5.4.2配电室安全管理制度张贴悬挂</w:t>
            </w:r>
          </w:p>
          <w:p w14:paraId="064610DA">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（0.8分）</w:t>
            </w:r>
          </w:p>
        </w:tc>
        <w:tc>
          <w:tcPr>
            <w:tcW w:w="4749" w:type="dxa"/>
            <w:shd w:val="clear" w:color="auto" w:fill="auto"/>
            <w:vAlign w:val="center"/>
          </w:tcPr>
          <w:p w14:paraId="33A78E29">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值班制度、交接班制度、巡视检查制度、设备缺陷管理制度、运行维护工作制度、场地环境管理制度、工作票和操作票管理制度、门禁制度在明显位置悬挂，0.8分。有1处悬挂不规范，扣0.1分，扣完为止；</w:t>
            </w:r>
          </w:p>
          <w:p w14:paraId="18F8F701">
            <w:pPr>
              <w:widowControl/>
              <w:spacing w:line="260" w:lineRule="exact"/>
              <w:jc w:val="left"/>
              <w:rPr>
                <w:rFonts w:ascii="宋体" w:hAnsi="宋体" w:cs="宋体"/>
                <w:kern w:val="0"/>
                <w:sz w:val="18"/>
                <w:szCs w:val="18"/>
                <w:highlight w:val="none"/>
              </w:rPr>
            </w:pPr>
          </w:p>
        </w:tc>
      </w:tr>
      <w:tr w14:paraId="006D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1" w:type="dxa"/>
            <w:vMerge w:val="continue"/>
            <w:vAlign w:val="center"/>
          </w:tcPr>
          <w:p w14:paraId="07060D45">
            <w:pPr>
              <w:widowControl/>
              <w:spacing w:line="260" w:lineRule="exact"/>
              <w:jc w:val="center"/>
              <w:rPr>
                <w:rFonts w:ascii="宋体" w:hAnsi="宋体" w:cs="宋体"/>
                <w:kern w:val="0"/>
                <w:sz w:val="18"/>
                <w:szCs w:val="18"/>
                <w:highlight w:val="none"/>
              </w:rPr>
            </w:pPr>
          </w:p>
        </w:tc>
        <w:tc>
          <w:tcPr>
            <w:tcW w:w="1034" w:type="dxa"/>
            <w:vMerge w:val="continue"/>
            <w:shd w:val="clear" w:color="auto" w:fill="auto"/>
            <w:vAlign w:val="center"/>
          </w:tcPr>
          <w:p w14:paraId="06538E8A">
            <w:pPr>
              <w:widowControl/>
              <w:spacing w:line="260" w:lineRule="exact"/>
              <w:jc w:val="center"/>
              <w:rPr>
                <w:rFonts w:ascii="宋体" w:hAnsi="宋体" w:cs="宋体"/>
                <w:kern w:val="0"/>
                <w:sz w:val="18"/>
                <w:szCs w:val="18"/>
                <w:highlight w:val="none"/>
              </w:rPr>
            </w:pPr>
          </w:p>
        </w:tc>
        <w:tc>
          <w:tcPr>
            <w:tcW w:w="1200" w:type="dxa"/>
            <w:shd w:val="clear" w:color="auto" w:fill="auto"/>
            <w:vAlign w:val="center"/>
          </w:tcPr>
          <w:p w14:paraId="6F1C86DB">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5.4.3配电室安全设施设备配备</w:t>
            </w:r>
          </w:p>
          <w:p w14:paraId="1972AA81">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（0.9分）</w:t>
            </w:r>
          </w:p>
        </w:tc>
        <w:tc>
          <w:tcPr>
            <w:tcW w:w="4749" w:type="dxa"/>
            <w:shd w:val="clear" w:color="auto" w:fill="auto"/>
            <w:vAlign w:val="center"/>
          </w:tcPr>
          <w:p w14:paraId="7B8B9378">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配备防雷接地系统、漏电保护装置、备用发电机/UPS电源等安全设施设备，0.9分。每缺1项扣0.3分，扣完为止。</w:t>
            </w:r>
          </w:p>
        </w:tc>
      </w:tr>
      <w:tr w14:paraId="3D22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991" w:type="dxa"/>
            <w:vMerge w:val="continue"/>
            <w:vAlign w:val="center"/>
          </w:tcPr>
          <w:p w14:paraId="02E45753">
            <w:pPr>
              <w:widowControl/>
              <w:spacing w:line="260" w:lineRule="exact"/>
              <w:jc w:val="center"/>
              <w:rPr>
                <w:rFonts w:ascii="宋体" w:hAnsi="宋体" w:cs="宋体"/>
                <w:kern w:val="0"/>
                <w:sz w:val="18"/>
                <w:szCs w:val="18"/>
                <w:highlight w:val="none"/>
              </w:rPr>
            </w:pPr>
          </w:p>
        </w:tc>
        <w:tc>
          <w:tcPr>
            <w:tcW w:w="1034" w:type="dxa"/>
            <w:vMerge w:val="restart"/>
            <w:shd w:val="clear" w:color="auto" w:fill="auto"/>
            <w:vAlign w:val="center"/>
          </w:tcPr>
          <w:p w14:paraId="44CA6035">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5.5安全防护管理（2.2分）</w:t>
            </w:r>
          </w:p>
        </w:tc>
        <w:tc>
          <w:tcPr>
            <w:tcW w:w="1200" w:type="dxa"/>
            <w:shd w:val="clear" w:color="auto" w:fill="auto"/>
            <w:vAlign w:val="center"/>
          </w:tcPr>
          <w:p w14:paraId="1AC3FDB9">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5.5.1消防设施管理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（0.5分）</w:t>
            </w:r>
          </w:p>
        </w:tc>
        <w:tc>
          <w:tcPr>
            <w:tcW w:w="4749" w:type="dxa"/>
            <w:shd w:val="clear" w:color="auto" w:fill="auto"/>
            <w:vAlign w:val="center"/>
          </w:tcPr>
          <w:p w14:paraId="04C7E9E9">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（1）配备必要的消防设施和器材，且运行正常，0.3分。每缺1项或有1项运行不正常扣0.1分，扣完为止；</w:t>
            </w:r>
          </w:p>
          <w:p w14:paraId="0B8D18D6">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（2）定期进行维护、保养、检定、更换，且记录完整，0.2分。记录不完整，扣0.1分。</w:t>
            </w:r>
          </w:p>
        </w:tc>
      </w:tr>
      <w:tr w14:paraId="37F7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91" w:type="dxa"/>
            <w:vMerge w:val="continue"/>
            <w:vAlign w:val="center"/>
          </w:tcPr>
          <w:p w14:paraId="25C3F5B8">
            <w:pPr>
              <w:widowControl/>
              <w:spacing w:line="260" w:lineRule="exact"/>
              <w:jc w:val="center"/>
              <w:rPr>
                <w:rFonts w:ascii="宋体" w:hAnsi="宋体" w:cs="宋体"/>
                <w:kern w:val="0"/>
                <w:sz w:val="18"/>
                <w:szCs w:val="18"/>
                <w:highlight w:val="none"/>
              </w:rPr>
            </w:pPr>
          </w:p>
        </w:tc>
        <w:tc>
          <w:tcPr>
            <w:tcW w:w="1034" w:type="dxa"/>
            <w:vMerge w:val="continue"/>
            <w:vAlign w:val="center"/>
          </w:tcPr>
          <w:p w14:paraId="7DAABA60">
            <w:pPr>
              <w:widowControl/>
              <w:spacing w:line="260" w:lineRule="exact"/>
              <w:jc w:val="center"/>
              <w:rPr>
                <w:rFonts w:ascii="宋体" w:hAnsi="宋体" w:cs="宋体"/>
                <w:kern w:val="0"/>
                <w:sz w:val="18"/>
                <w:szCs w:val="18"/>
                <w:highlight w:val="none"/>
              </w:rPr>
            </w:pPr>
          </w:p>
        </w:tc>
        <w:tc>
          <w:tcPr>
            <w:tcW w:w="1200" w:type="dxa"/>
            <w:vAlign w:val="center"/>
          </w:tcPr>
          <w:p w14:paraId="2805C694">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5.5.2劳动防护管理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749" w:type="dxa"/>
            <w:shd w:val="clear" w:color="auto" w:fill="auto"/>
            <w:vAlign w:val="center"/>
          </w:tcPr>
          <w:p w14:paraId="75DB7DED">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（1）配备必要的劳动防护用品，发放记录，0.5分。无发放记录，扣0.2分；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（2）消毒间、化验室等在合理位置配置排风装置和气体浓度报警装置，0.5分。缺1项扣0.1分，扣完为止。</w:t>
            </w:r>
          </w:p>
        </w:tc>
      </w:tr>
      <w:tr w14:paraId="7A13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91" w:type="dxa"/>
            <w:vMerge w:val="continue"/>
            <w:vAlign w:val="center"/>
          </w:tcPr>
          <w:p w14:paraId="437B5C1E">
            <w:pPr>
              <w:widowControl/>
              <w:spacing w:line="260" w:lineRule="exact"/>
              <w:jc w:val="center"/>
              <w:rPr>
                <w:rFonts w:ascii="宋体" w:hAnsi="宋体" w:cs="宋体"/>
                <w:kern w:val="0"/>
                <w:sz w:val="18"/>
                <w:szCs w:val="18"/>
                <w:highlight w:val="none"/>
              </w:rPr>
            </w:pPr>
          </w:p>
        </w:tc>
        <w:tc>
          <w:tcPr>
            <w:tcW w:w="1034" w:type="dxa"/>
            <w:vMerge w:val="continue"/>
            <w:vAlign w:val="center"/>
          </w:tcPr>
          <w:p w14:paraId="20AD9B49">
            <w:pPr>
              <w:widowControl/>
              <w:spacing w:line="260" w:lineRule="exact"/>
              <w:jc w:val="center"/>
              <w:rPr>
                <w:rFonts w:ascii="宋体" w:hAnsi="宋体" w:cs="宋体"/>
                <w:kern w:val="0"/>
                <w:sz w:val="18"/>
                <w:szCs w:val="18"/>
                <w:highlight w:val="none"/>
              </w:rPr>
            </w:pPr>
          </w:p>
        </w:tc>
        <w:tc>
          <w:tcPr>
            <w:tcW w:w="1200" w:type="dxa"/>
            <w:vAlign w:val="center"/>
          </w:tcPr>
          <w:p w14:paraId="044F41E6">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5.5.3机械设备安全防护管理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（0.7分）</w:t>
            </w:r>
          </w:p>
        </w:tc>
        <w:tc>
          <w:tcPr>
            <w:tcW w:w="4749" w:type="dxa"/>
            <w:shd w:val="clear" w:color="auto" w:fill="auto"/>
            <w:vAlign w:val="center"/>
          </w:tcPr>
          <w:p w14:paraId="4445CBBA">
            <w:pPr>
              <w:widowControl/>
              <w:numPr>
                <w:ilvl w:val="0"/>
                <w:numId w:val="36"/>
              </w:numPr>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配备水泵、电机等旋转设备的防护罩、高压管道的安全阀、泄压装置等安全设施，且正常运行，0.4分。每缺1项扣0.1分，扣完为止；</w:t>
            </w:r>
          </w:p>
          <w:p w14:paraId="08793FF1">
            <w:pPr>
              <w:widowControl/>
              <w:numPr>
                <w:ilvl w:val="0"/>
                <w:numId w:val="36"/>
              </w:numPr>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定期进行维护、保养、检定、更换，且记录完整，0.3分。记录不完整，扣0.1分。</w:t>
            </w:r>
          </w:p>
        </w:tc>
      </w:tr>
      <w:tr w14:paraId="175D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1" w:type="dxa"/>
            <w:vMerge w:val="continue"/>
            <w:vAlign w:val="center"/>
          </w:tcPr>
          <w:p w14:paraId="6B5B2178">
            <w:pPr>
              <w:widowControl/>
              <w:spacing w:line="260" w:lineRule="exact"/>
              <w:jc w:val="center"/>
              <w:rPr>
                <w:rFonts w:ascii="宋体" w:hAnsi="宋体" w:cs="宋体"/>
                <w:kern w:val="0"/>
                <w:sz w:val="18"/>
                <w:szCs w:val="18"/>
                <w:highlight w:val="none"/>
              </w:rPr>
            </w:pPr>
          </w:p>
        </w:tc>
        <w:tc>
          <w:tcPr>
            <w:tcW w:w="1034" w:type="dxa"/>
            <w:vMerge w:val="restart"/>
            <w:shd w:val="clear" w:color="auto" w:fill="auto"/>
            <w:vAlign w:val="center"/>
          </w:tcPr>
          <w:p w14:paraId="664A3790">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5.6安全防范系统（</w:t>
            </w:r>
            <w:r>
              <w:rPr>
                <w:rFonts w:hint="eastAsia" w:ascii="宋体" w:hAnsi="宋体" w:cs="宋体"/>
                <w:kern w:val="0"/>
                <w:sz w:val="18"/>
                <w:szCs w:val="18"/>
                <w:highlight w:val="none"/>
                <w:lang w:val="en-US" w:eastAsia="zh-CN"/>
              </w:rPr>
              <w:t>1.1</w:t>
            </w:r>
            <w:r>
              <w:rPr>
                <w:rFonts w:hint="eastAsia" w:ascii="宋体" w:hAnsi="宋体" w:cs="宋体"/>
                <w:kern w:val="0"/>
                <w:sz w:val="18"/>
                <w:szCs w:val="18"/>
                <w:highlight w:val="none"/>
              </w:rPr>
              <w:t>分）</w:t>
            </w:r>
          </w:p>
        </w:tc>
        <w:tc>
          <w:tcPr>
            <w:tcW w:w="1200" w:type="dxa"/>
            <w:shd w:val="clear" w:color="auto" w:fill="auto"/>
            <w:vAlign w:val="center"/>
          </w:tcPr>
          <w:p w14:paraId="354761DF">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5.6.1入侵报警系统</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（0.4分）</w:t>
            </w:r>
          </w:p>
        </w:tc>
        <w:tc>
          <w:tcPr>
            <w:tcW w:w="4749" w:type="dxa"/>
            <w:shd w:val="clear" w:color="auto" w:fill="auto"/>
            <w:vAlign w:val="center"/>
          </w:tcPr>
          <w:p w14:paraId="307FC0D4">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有入侵报警系统，具备实时报警功能，且与视频监控系统联动，0.4分。不具备实时报警功能，扣0.2分；未与视频监控系统联动，扣0.2分。</w:t>
            </w:r>
          </w:p>
        </w:tc>
      </w:tr>
      <w:tr w14:paraId="0DC7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991" w:type="dxa"/>
            <w:vMerge w:val="continue"/>
            <w:vAlign w:val="center"/>
          </w:tcPr>
          <w:p w14:paraId="2E36D3B1">
            <w:pPr>
              <w:widowControl/>
              <w:spacing w:line="260" w:lineRule="exact"/>
              <w:jc w:val="center"/>
              <w:rPr>
                <w:rFonts w:ascii="宋体" w:hAnsi="宋体" w:cs="宋体"/>
                <w:kern w:val="0"/>
                <w:sz w:val="18"/>
                <w:szCs w:val="18"/>
                <w:highlight w:val="none"/>
              </w:rPr>
            </w:pPr>
          </w:p>
        </w:tc>
        <w:tc>
          <w:tcPr>
            <w:tcW w:w="1034" w:type="dxa"/>
            <w:vMerge w:val="continue"/>
            <w:vAlign w:val="center"/>
          </w:tcPr>
          <w:p w14:paraId="37DB8014">
            <w:pPr>
              <w:widowControl/>
              <w:spacing w:line="260" w:lineRule="exact"/>
              <w:jc w:val="center"/>
              <w:rPr>
                <w:rFonts w:ascii="宋体" w:hAnsi="宋体" w:cs="宋体"/>
                <w:kern w:val="0"/>
                <w:sz w:val="18"/>
                <w:szCs w:val="18"/>
                <w:highlight w:val="none"/>
              </w:rPr>
            </w:pPr>
          </w:p>
        </w:tc>
        <w:tc>
          <w:tcPr>
            <w:tcW w:w="1200" w:type="dxa"/>
            <w:vAlign w:val="center"/>
          </w:tcPr>
          <w:p w14:paraId="28A339A2">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5.6.2视频监控系统</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（0.3分）</w:t>
            </w:r>
          </w:p>
        </w:tc>
        <w:tc>
          <w:tcPr>
            <w:tcW w:w="4749" w:type="dxa"/>
            <w:shd w:val="clear" w:color="auto" w:fill="auto"/>
            <w:vAlign w:val="center"/>
          </w:tcPr>
          <w:p w14:paraId="781FA4AC">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有能满足反恐怖、综治安全、运行安全管理需求的视频监控系统，具备实时报警、自动存储、历史监控记录检索功能，0.3分。每缺1项功能扣0.1分，扣完为止。</w:t>
            </w:r>
          </w:p>
        </w:tc>
      </w:tr>
      <w:tr w14:paraId="58AD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991" w:type="dxa"/>
            <w:vMerge w:val="continue"/>
            <w:vAlign w:val="center"/>
          </w:tcPr>
          <w:p w14:paraId="38599B90">
            <w:pPr>
              <w:widowControl/>
              <w:spacing w:line="260" w:lineRule="exact"/>
              <w:jc w:val="center"/>
              <w:rPr>
                <w:rFonts w:ascii="宋体" w:hAnsi="宋体" w:cs="宋体"/>
                <w:kern w:val="0"/>
                <w:sz w:val="18"/>
                <w:szCs w:val="18"/>
                <w:highlight w:val="none"/>
              </w:rPr>
            </w:pPr>
          </w:p>
        </w:tc>
        <w:tc>
          <w:tcPr>
            <w:tcW w:w="1034" w:type="dxa"/>
            <w:vMerge w:val="continue"/>
            <w:vAlign w:val="center"/>
          </w:tcPr>
          <w:p w14:paraId="11765C9F">
            <w:pPr>
              <w:widowControl/>
              <w:spacing w:line="260" w:lineRule="exact"/>
              <w:jc w:val="center"/>
              <w:rPr>
                <w:rFonts w:ascii="宋体" w:hAnsi="宋体" w:cs="宋体"/>
                <w:kern w:val="0"/>
                <w:sz w:val="18"/>
                <w:szCs w:val="18"/>
                <w:highlight w:val="none"/>
              </w:rPr>
            </w:pPr>
          </w:p>
        </w:tc>
        <w:tc>
          <w:tcPr>
            <w:tcW w:w="1200" w:type="dxa"/>
            <w:vAlign w:val="center"/>
          </w:tcPr>
          <w:p w14:paraId="1712F525">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5.6.3出入口控制系统</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（0.4分）</w:t>
            </w:r>
          </w:p>
        </w:tc>
        <w:tc>
          <w:tcPr>
            <w:tcW w:w="4749" w:type="dxa"/>
            <w:shd w:val="clear" w:color="auto" w:fill="auto"/>
            <w:vAlign w:val="center"/>
          </w:tcPr>
          <w:p w14:paraId="2A82F3D0">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水厂生产系统建（构）筑物、门卫室、危险物品存放场所、中控室等出入口安装门禁系统，且具备实时报警、报警信息和出入信息查询功能，0.4分。每有1处未安装，扣0.1分，扣完为止；系统不具备实时报警、报警信息和出入信息查询功能，每缺1项功能扣0.1分。</w:t>
            </w:r>
          </w:p>
        </w:tc>
      </w:tr>
    </w:tbl>
    <w:p w14:paraId="3AA7BDF2">
      <w:pPr>
        <w:jc w:val="center"/>
        <w:rPr>
          <w:rFonts w:hint="eastAsia" w:ascii="黑体" w:hAnsi="黑体" w:eastAsia="黑体" w:cs="黑体"/>
          <w:b w:val="0"/>
          <w:bCs w:val="0"/>
          <w:highlight w:val="none"/>
        </w:rPr>
      </w:pPr>
    </w:p>
    <w:p w14:paraId="1E40BA83">
      <w:pPr>
        <w:keepNext w:val="0"/>
        <w:keepLines w:val="0"/>
        <w:pageBreakBefore w:val="0"/>
        <w:widowControl w:val="0"/>
        <w:kinsoku/>
        <w:wordWrap/>
        <w:overflowPunct/>
        <w:topLinePunct w:val="0"/>
        <w:autoSpaceDE/>
        <w:autoSpaceDN/>
        <w:bidi w:val="0"/>
        <w:adjustRightInd w:val="0"/>
        <w:snapToGrid/>
        <w:spacing w:before="157" w:beforeLines="50" w:after="157" w:afterLines="50"/>
        <w:jc w:val="center"/>
        <w:textAlignment w:val="auto"/>
        <w:rPr>
          <w:rFonts w:hint="eastAsia" w:ascii="黑体" w:hAnsi="黑体" w:eastAsia="黑体" w:cs="黑体"/>
          <w:b w:val="0"/>
          <w:bCs w:val="0"/>
          <w:highlight w:val="none"/>
        </w:rPr>
      </w:pPr>
      <w:r>
        <w:rPr>
          <w:rFonts w:hint="eastAsia" w:ascii="黑体" w:hAnsi="黑体" w:eastAsia="黑体" w:cs="黑体"/>
          <w:b w:val="0"/>
          <w:bCs w:val="0"/>
          <w:highlight w:val="none"/>
        </w:rPr>
        <w:t>表</w:t>
      </w:r>
      <w:r>
        <w:rPr>
          <w:rFonts w:hint="eastAsia" w:ascii="黑体" w:hAnsi="黑体" w:eastAsia="黑体" w:cs="黑体"/>
          <w:b w:val="0"/>
          <w:bCs w:val="0"/>
          <w:highlight w:val="none"/>
          <w:lang w:val="en-US" w:eastAsia="zh-CN"/>
        </w:rPr>
        <w:t>B</w:t>
      </w:r>
      <w:r>
        <w:rPr>
          <w:rFonts w:hint="eastAsia" w:ascii="黑体" w:hAnsi="黑体" w:eastAsia="黑体" w:cs="黑体"/>
          <w:b w:val="0"/>
          <w:bCs w:val="0"/>
          <w:highlight w:val="none"/>
        </w:rPr>
        <w:t>.1 城镇公共供水厂运行管理评价计分细则</w:t>
      </w:r>
      <w:r>
        <w:rPr>
          <w:rFonts w:hint="eastAsia" w:ascii="宋体" w:hAnsi="宋体" w:eastAsia="宋体" w:cs="宋体"/>
          <w:kern w:val="21"/>
          <w:sz w:val="21"/>
          <w:szCs w:val="20"/>
          <w:highlight w:val="none"/>
          <w:lang w:val="en-US" w:eastAsia="zh-CN" w:bidi="ar-SA"/>
        </w:rPr>
        <w:t>（续）</w:t>
      </w:r>
    </w:p>
    <w:tbl>
      <w:tblPr>
        <w:tblStyle w:val="30"/>
        <w:tblW w:w="41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983"/>
        <w:gridCol w:w="1017"/>
        <w:gridCol w:w="4808"/>
      </w:tblGrid>
      <w:tr w14:paraId="7CBC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041" w:type="dxa"/>
            <w:gridSpan w:val="3"/>
            <w:shd w:val="clear" w:color="auto" w:fill="auto"/>
            <w:vAlign w:val="center"/>
          </w:tcPr>
          <w:p w14:paraId="2665D037">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b/>
                <w:bCs/>
                <w:kern w:val="0"/>
                <w:sz w:val="18"/>
                <w:szCs w:val="18"/>
                <w:highlight w:val="none"/>
              </w:rPr>
              <w:t>评价内容</w:t>
            </w:r>
          </w:p>
        </w:tc>
        <w:tc>
          <w:tcPr>
            <w:tcW w:w="4810" w:type="dxa"/>
            <w:vMerge w:val="restart"/>
            <w:shd w:val="clear" w:color="auto" w:fill="auto"/>
            <w:vAlign w:val="center"/>
          </w:tcPr>
          <w:p w14:paraId="7AA03AD6">
            <w:pPr>
              <w:widowControl/>
              <w:spacing w:line="260" w:lineRule="exact"/>
              <w:jc w:val="center"/>
              <w:rPr>
                <w:rFonts w:hint="eastAsia" w:ascii="宋体" w:hAnsi="宋体" w:cs="宋体"/>
                <w:kern w:val="0"/>
                <w:sz w:val="18"/>
                <w:szCs w:val="18"/>
                <w:highlight w:val="none"/>
              </w:rPr>
            </w:pPr>
            <w:r>
              <w:rPr>
                <w:rFonts w:hint="eastAsia" w:ascii="宋体" w:hAnsi="宋体" w:cs="宋体"/>
                <w:b/>
                <w:bCs/>
                <w:kern w:val="0"/>
                <w:sz w:val="18"/>
                <w:szCs w:val="18"/>
                <w:highlight w:val="none"/>
              </w:rPr>
              <w:t>评价方法</w:t>
            </w:r>
          </w:p>
        </w:tc>
      </w:tr>
      <w:tr w14:paraId="1F67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41" w:type="dxa"/>
            <w:shd w:val="clear" w:color="auto" w:fill="auto"/>
            <w:vAlign w:val="center"/>
          </w:tcPr>
          <w:p w14:paraId="38250AC4">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一级指标</w:t>
            </w:r>
          </w:p>
        </w:tc>
        <w:tc>
          <w:tcPr>
            <w:tcW w:w="983" w:type="dxa"/>
            <w:shd w:val="clear" w:color="auto" w:fill="auto"/>
            <w:vAlign w:val="center"/>
          </w:tcPr>
          <w:p w14:paraId="0CE3252B">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二级指标</w:t>
            </w:r>
          </w:p>
        </w:tc>
        <w:tc>
          <w:tcPr>
            <w:tcW w:w="1017" w:type="dxa"/>
            <w:shd w:val="clear" w:color="auto" w:fill="auto"/>
            <w:vAlign w:val="center"/>
          </w:tcPr>
          <w:p w14:paraId="0E68FD99">
            <w:pPr>
              <w:widowControl/>
              <w:spacing w:line="260" w:lineRule="exact"/>
              <w:jc w:val="center"/>
              <w:rPr>
                <w:rFonts w:hint="eastAsia"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三级指标</w:t>
            </w:r>
          </w:p>
        </w:tc>
        <w:tc>
          <w:tcPr>
            <w:tcW w:w="4810" w:type="dxa"/>
            <w:vMerge w:val="continue"/>
            <w:shd w:val="clear" w:color="auto" w:fill="auto"/>
            <w:vAlign w:val="center"/>
          </w:tcPr>
          <w:p w14:paraId="45BF251A">
            <w:pPr>
              <w:widowControl/>
              <w:spacing w:line="260" w:lineRule="exact"/>
              <w:jc w:val="left"/>
              <w:rPr>
                <w:rFonts w:hint="eastAsia" w:ascii="宋体" w:hAnsi="宋体" w:cs="宋体"/>
                <w:kern w:val="0"/>
                <w:sz w:val="18"/>
                <w:szCs w:val="18"/>
                <w:highlight w:val="none"/>
              </w:rPr>
            </w:pPr>
          </w:p>
        </w:tc>
      </w:tr>
      <w:tr w14:paraId="00D8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041" w:type="dxa"/>
            <w:vMerge w:val="restart"/>
            <w:vAlign w:val="center"/>
          </w:tcPr>
          <w:p w14:paraId="70BABE76">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5.安全生产（13.0分）</w:t>
            </w:r>
          </w:p>
        </w:tc>
        <w:tc>
          <w:tcPr>
            <w:tcW w:w="983" w:type="dxa"/>
            <w:vMerge w:val="restart"/>
            <w:vAlign w:val="center"/>
          </w:tcPr>
          <w:p w14:paraId="75929E06">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5.6安全防范系统（</w:t>
            </w:r>
            <w:r>
              <w:rPr>
                <w:rFonts w:hint="eastAsia" w:ascii="宋体" w:hAnsi="宋体" w:cs="宋体"/>
                <w:kern w:val="0"/>
                <w:sz w:val="18"/>
                <w:szCs w:val="18"/>
                <w:highlight w:val="none"/>
                <w:lang w:val="en-US" w:eastAsia="zh-CN"/>
              </w:rPr>
              <w:t>0.7</w:t>
            </w:r>
            <w:r>
              <w:rPr>
                <w:rFonts w:hint="eastAsia" w:ascii="宋体" w:hAnsi="宋体" w:cs="宋体"/>
                <w:kern w:val="0"/>
                <w:sz w:val="18"/>
                <w:szCs w:val="18"/>
                <w:highlight w:val="none"/>
              </w:rPr>
              <w:t>分）</w:t>
            </w:r>
          </w:p>
        </w:tc>
        <w:tc>
          <w:tcPr>
            <w:tcW w:w="1017" w:type="dxa"/>
            <w:vAlign w:val="center"/>
          </w:tcPr>
          <w:p w14:paraId="71B9E57A">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5.6.4电子巡查系统</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（0.2分）</w:t>
            </w:r>
          </w:p>
        </w:tc>
        <w:tc>
          <w:tcPr>
            <w:tcW w:w="4810" w:type="dxa"/>
            <w:shd w:val="clear" w:color="auto" w:fill="auto"/>
            <w:vAlign w:val="center"/>
          </w:tcPr>
          <w:p w14:paraId="61009B78">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有电子巡查系统，具备巡查路线、时间、人员设定功能，具备异常报警、巡查活动情况统计功能，0.2分。不能对巡查路线、时间、人员进行设定，扣0.1分；不具备异常报警、巡查活动情况统计功能，扣0.1分。</w:t>
            </w:r>
          </w:p>
        </w:tc>
      </w:tr>
      <w:tr w14:paraId="2E88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41" w:type="dxa"/>
            <w:vMerge w:val="continue"/>
            <w:vAlign w:val="center"/>
          </w:tcPr>
          <w:p w14:paraId="4850B48F">
            <w:pPr>
              <w:widowControl/>
              <w:spacing w:line="260" w:lineRule="exact"/>
              <w:jc w:val="center"/>
              <w:rPr>
                <w:rFonts w:ascii="宋体" w:hAnsi="宋体" w:cs="宋体"/>
                <w:kern w:val="0"/>
                <w:sz w:val="18"/>
                <w:szCs w:val="18"/>
                <w:highlight w:val="none"/>
              </w:rPr>
            </w:pPr>
          </w:p>
        </w:tc>
        <w:tc>
          <w:tcPr>
            <w:tcW w:w="983" w:type="dxa"/>
            <w:vMerge w:val="continue"/>
            <w:vAlign w:val="center"/>
          </w:tcPr>
          <w:p w14:paraId="63845232">
            <w:pPr>
              <w:widowControl/>
              <w:spacing w:line="260" w:lineRule="exact"/>
              <w:jc w:val="center"/>
              <w:rPr>
                <w:rFonts w:ascii="宋体" w:hAnsi="宋体" w:cs="宋体"/>
                <w:kern w:val="0"/>
                <w:sz w:val="18"/>
                <w:szCs w:val="18"/>
                <w:highlight w:val="none"/>
              </w:rPr>
            </w:pPr>
          </w:p>
        </w:tc>
        <w:tc>
          <w:tcPr>
            <w:tcW w:w="1017" w:type="dxa"/>
            <w:vAlign w:val="center"/>
          </w:tcPr>
          <w:p w14:paraId="1E6370B5">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5.6.5防汛管理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（0.5分）</w:t>
            </w:r>
          </w:p>
        </w:tc>
        <w:tc>
          <w:tcPr>
            <w:tcW w:w="4810" w:type="dxa"/>
            <w:shd w:val="clear" w:color="auto" w:fill="auto"/>
            <w:vAlign w:val="center"/>
          </w:tcPr>
          <w:p w14:paraId="2587AA35">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（1）配备沙袋、应急供电、应急通讯等必要的防汛设施和物资，0.25分；</w:t>
            </w:r>
          </w:p>
          <w:p w14:paraId="5E575F28">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（2）建立专业应急救援抢险队伍，0.25分。</w:t>
            </w:r>
          </w:p>
        </w:tc>
      </w:tr>
      <w:tr w14:paraId="133F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1" w:type="dxa"/>
            <w:vMerge w:val="restart"/>
            <w:shd w:val="clear" w:color="auto" w:fill="auto"/>
            <w:vAlign w:val="center"/>
          </w:tcPr>
          <w:p w14:paraId="725A3C1A">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6.人员管理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（7.0分）</w:t>
            </w:r>
          </w:p>
        </w:tc>
        <w:tc>
          <w:tcPr>
            <w:tcW w:w="983" w:type="dxa"/>
            <w:vMerge w:val="restart"/>
            <w:shd w:val="clear" w:color="auto" w:fill="auto"/>
            <w:vAlign w:val="center"/>
          </w:tcPr>
          <w:p w14:paraId="414C43E4">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6.1人员数量匹配度（2.5分）</w:t>
            </w:r>
          </w:p>
        </w:tc>
        <w:tc>
          <w:tcPr>
            <w:tcW w:w="1017" w:type="dxa"/>
            <w:shd w:val="clear" w:color="auto" w:fill="auto"/>
            <w:vAlign w:val="center"/>
          </w:tcPr>
          <w:p w14:paraId="725FA878">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6.1.1水厂人员配置</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（1.5分）</w:t>
            </w:r>
          </w:p>
        </w:tc>
        <w:tc>
          <w:tcPr>
            <w:tcW w:w="4810" w:type="dxa"/>
            <w:shd w:val="clear" w:color="auto" w:fill="auto"/>
            <w:vAlign w:val="center"/>
          </w:tcPr>
          <w:p w14:paraId="3E61B766">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人员总数量与水厂规模相适宜，符合人员配置标准，1.5分：</w:t>
            </w:r>
          </w:p>
          <w:p w14:paraId="30487167">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（1）供水规模为10(含)万m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/d以下时，设定基准值为25人，当1.0&lt;水厂实际人数/基准值≤1.2，扣0.4分；1.2&lt;水厂实际人数/基准值≤1.5，扣1.0分；水厂实际人数/基准值</w:t>
            </w:r>
            <w:r>
              <w:rPr>
                <w:rFonts w:ascii="宋体" w:hAnsi="宋体" w:cs="宋体"/>
                <w:kern w:val="0"/>
                <w:sz w:val="18"/>
                <w:szCs w:val="18"/>
                <w:highlight w:val="none"/>
                <w:lang w:val="en"/>
              </w:rPr>
              <w:t>&gt;</w:t>
            </w:r>
            <w:r>
              <w:rPr>
                <w:rFonts w:hint="eastAsia" w:ascii="宋体" w:hAnsi="宋体" w:cs="宋体"/>
                <w:kern w:val="0"/>
                <w:sz w:val="18"/>
                <w:szCs w:val="18"/>
                <w:highlight w:val="none"/>
              </w:rPr>
              <w:t>1.5，扣1.5分；</w:t>
            </w:r>
          </w:p>
          <w:p w14:paraId="66AE8C2A">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（2）供水规模为10-25(含)万m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/d时，设定基准值为25-50人（供水规模为10-20(含)万m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/d时，基准值=供水规模*2.5；供水规模为20-25(含)万m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/d时，基准值=供水规模*2.0），当 1.0&lt;水厂实际人数/基准值≤1.2，扣0.4分；1.2&lt;水厂实际人数/基准值≤1.5，扣1.0分；水厂实际人数/基准值</w:t>
            </w:r>
            <w:r>
              <w:rPr>
                <w:rFonts w:ascii="宋体" w:hAnsi="宋体" w:cs="宋体"/>
                <w:kern w:val="0"/>
                <w:sz w:val="18"/>
                <w:szCs w:val="18"/>
                <w:highlight w:val="none"/>
                <w:lang w:val="en"/>
              </w:rPr>
              <w:t>&gt;</w:t>
            </w:r>
            <w:r>
              <w:rPr>
                <w:rFonts w:hint="eastAsia" w:ascii="宋体" w:hAnsi="宋体" w:cs="宋体"/>
                <w:kern w:val="0"/>
                <w:sz w:val="18"/>
                <w:szCs w:val="18"/>
                <w:highlight w:val="none"/>
              </w:rPr>
              <w:t>1.5，扣1.5分；</w:t>
            </w:r>
          </w:p>
          <w:p w14:paraId="347197AF">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（3）供水规模为25-50（含）万m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/d时，设定基准值为50-100人（基准值=供水规模*2.0），当 1.0&lt;水厂实际人数/基准值≤1.1，扣0.4分；1.1&lt;水厂实际人数/基准值≤1.2，扣1.0分；水厂实际人数/基准值</w:t>
            </w:r>
            <w:r>
              <w:rPr>
                <w:rFonts w:ascii="宋体" w:hAnsi="宋体" w:cs="宋体"/>
                <w:kern w:val="0"/>
                <w:sz w:val="18"/>
                <w:szCs w:val="18"/>
                <w:highlight w:val="none"/>
                <w:lang w:val="en"/>
              </w:rPr>
              <w:t>&gt;</w:t>
            </w:r>
            <w:r>
              <w:rPr>
                <w:rFonts w:hint="eastAsia" w:ascii="宋体" w:hAnsi="宋体" w:cs="宋体"/>
                <w:kern w:val="0"/>
                <w:sz w:val="18"/>
                <w:szCs w:val="18"/>
                <w:highlight w:val="none"/>
              </w:rPr>
              <w:t>1.2，扣1.5分；</w:t>
            </w:r>
          </w:p>
          <w:p w14:paraId="1F17D855">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（4）供水规模为50-200万m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/d时，设定基准值为100-400人（基准值=供水规模*2.0），当 1.0&lt;水厂实际人数/基准值≤1.1，扣0.4分；1.1&lt;水厂实际人数/基准值≤1.2，扣1.0分；水厂实际人数/基准值</w:t>
            </w:r>
            <w:r>
              <w:rPr>
                <w:rFonts w:ascii="宋体" w:hAnsi="宋体" w:cs="宋体"/>
                <w:kern w:val="0"/>
                <w:sz w:val="18"/>
                <w:szCs w:val="18"/>
                <w:highlight w:val="none"/>
                <w:lang w:val="en"/>
              </w:rPr>
              <w:t>&gt;</w:t>
            </w:r>
            <w:r>
              <w:rPr>
                <w:rFonts w:hint="eastAsia" w:ascii="宋体" w:hAnsi="宋体" w:cs="宋体"/>
                <w:kern w:val="0"/>
                <w:sz w:val="18"/>
                <w:szCs w:val="18"/>
                <w:highlight w:val="none"/>
              </w:rPr>
              <w:t>1.2，扣1.5分。</w:t>
            </w:r>
          </w:p>
        </w:tc>
      </w:tr>
      <w:tr w14:paraId="18D9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1" w:type="dxa"/>
            <w:vMerge w:val="continue"/>
            <w:shd w:val="clear" w:color="auto" w:fill="auto"/>
            <w:vAlign w:val="center"/>
          </w:tcPr>
          <w:p w14:paraId="670459ED">
            <w:pPr>
              <w:widowControl/>
              <w:spacing w:line="260" w:lineRule="exact"/>
              <w:jc w:val="center"/>
              <w:rPr>
                <w:rFonts w:ascii="宋体" w:hAnsi="宋体" w:cs="宋体"/>
                <w:kern w:val="0"/>
                <w:sz w:val="18"/>
                <w:szCs w:val="18"/>
                <w:highlight w:val="none"/>
              </w:rPr>
            </w:pPr>
          </w:p>
        </w:tc>
        <w:tc>
          <w:tcPr>
            <w:tcW w:w="983" w:type="dxa"/>
            <w:vMerge w:val="continue"/>
            <w:shd w:val="clear" w:color="auto" w:fill="auto"/>
            <w:vAlign w:val="center"/>
          </w:tcPr>
          <w:p w14:paraId="3EEAB684">
            <w:pPr>
              <w:widowControl/>
              <w:spacing w:line="260" w:lineRule="exact"/>
              <w:jc w:val="center"/>
              <w:rPr>
                <w:rFonts w:ascii="宋体" w:hAnsi="宋体" w:cs="宋体"/>
                <w:kern w:val="0"/>
                <w:sz w:val="18"/>
                <w:szCs w:val="18"/>
                <w:highlight w:val="none"/>
              </w:rPr>
            </w:pPr>
          </w:p>
        </w:tc>
        <w:tc>
          <w:tcPr>
            <w:tcW w:w="1017" w:type="dxa"/>
            <w:shd w:val="clear" w:color="auto" w:fill="auto"/>
            <w:vAlign w:val="center"/>
          </w:tcPr>
          <w:p w14:paraId="183BBF66">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6.1.2水厂生产运行与技术管理人员配置</w:t>
            </w:r>
          </w:p>
          <w:p w14:paraId="4576FA07">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（1.0分）</w:t>
            </w:r>
          </w:p>
        </w:tc>
        <w:tc>
          <w:tcPr>
            <w:tcW w:w="4810" w:type="dxa"/>
            <w:shd w:val="clear" w:color="auto" w:fill="auto"/>
            <w:vAlign w:val="center"/>
          </w:tcPr>
          <w:p w14:paraId="49B94348">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总人数</w:t>
            </w:r>
            <w:r>
              <w:rPr>
                <w:rFonts w:ascii="宋体" w:hAnsi="宋体" w:cs="宋体"/>
                <w:kern w:val="0"/>
                <w:sz w:val="18"/>
                <w:szCs w:val="18"/>
                <w:highlight w:val="none"/>
              </w:rPr>
              <w:t>*3</w:t>
            </w:r>
            <w:r>
              <w:rPr>
                <w:rFonts w:hint="eastAsia" w:ascii="宋体" w:hAnsi="宋体" w:cs="宋体"/>
                <w:kern w:val="0"/>
                <w:sz w:val="18"/>
                <w:szCs w:val="18"/>
                <w:highlight w:val="none"/>
              </w:rPr>
              <w:t>0%≤生产运行与技术管理人员数量配置&lt;总人数</w:t>
            </w:r>
            <w:r>
              <w:rPr>
                <w:rFonts w:ascii="宋体" w:hAnsi="宋体" w:cs="宋体"/>
                <w:kern w:val="0"/>
                <w:sz w:val="18"/>
                <w:szCs w:val="18"/>
                <w:highlight w:val="none"/>
              </w:rPr>
              <w:t>*</w:t>
            </w:r>
            <w:r>
              <w:rPr>
                <w:rFonts w:hint="eastAsia" w:ascii="宋体" w:hAnsi="宋体" w:cs="宋体"/>
                <w:kern w:val="0"/>
                <w:sz w:val="18"/>
                <w:szCs w:val="18"/>
                <w:highlight w:val="none"/>
              </w:rPr>
              <w:t>50%之间，扣0.5分；生产运行与技术管理人员数量配置&lt;总人数</w:t>
            </w:r>
            <w:r>
              <w:rPr>
                <w:rFonts w:ascii="宋体" w:hAnsi="宋体" w:cs="宋体"/>
                <w:kern w:val="0"/>
                <w:sz w:val="18"/>
                <w:szCs w:val="18"/>
                <w:highlight w:val="none"/>
              </w:rPr>
              <w:t>*3</w:t>
            </w:r>
            <w:r>
              <w:rPr>
                <w:rFonts w:hint="eastAsia" w:ascii="宋体" w:hAnsi="宋体" w:cs="宋体"/>
                <w:kern w:val="0"/>
                <w:sz w:val="18"/>
                <w:szCs w:val="18"/>
                <w:highlight w:val="none"/>
              </w:rPr>
              <w:t>0%，扣1.0分。</w:t>
            </w:r>
          </w:p>
          <w:p w14:paraId="53A5B96B">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生产运行与技术管理人员包含水处理操作工、设备运维工、水质监测员、化验室主管、工艺工程师、自动化工程师等。</w:t>
            </w:r>
          </w:p>
        </w:tc>
      </w:tr>
      <w:tr w14:paraId="4DE8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41" w:type="dxa"/>
            <w:vMerge w:val="continue"/>
            <w:vAlign w:val="center"/>
          </w:tcPr>
          <w:p w14:paraId="7A3A89BE">
            <w:pPr>
              <w:widowControl/>
              <w:spacing w:line="260" w:lineRule="exact"/>
              <w:jc w:val="center"/>
              <w:rPr>
                <w:rFonts w:ascii="宋体" w:hAnsi="宋体" w:cs="宋体"/>
                <w:kern w:val="0"/>
                <w:sz w:val="18"/>
                <w:szCs w:val="18"/>
                <w:highlight w:val="none"/>
              </w:rPr>
            </w:pPr>
          </w:p>
        </w:tc>
        <w:tc>
          <w:tcPr>
            <w:tcW w:w="983" w:type="dxa"/>
            <w:vMerge w:val="restart"/>
            <w:vAlign w:val="center"/>
          </w:tcPr>
          <w:p w14:paraId="6696B123">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6.2人员持证上岗</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w:t>
            </w:r>
            <w:r>
              <w:rPr>
                <w:rFonts w:hint="eastAsia" w:ascii="宋体" w:hAnsi="宋体" w:cs="宋体"/>
                <w:kern w:val="0"/>
                <w:sz w:val="18"/>
                <w:szCs w:val="18"/>
                <w:highlight w:val="none"/>
                <w:lang w:val="en-US" w:eastAsia="zh-CN"/>
              </w:rPr>
              <w:t>0</w:t>
            </w:r>
            <w:r>
              <w:rPr>
                <w:rFonts w:hint="eastAsia" w:ascii="宋体" w:hAnsi="宋体" w:cs="宋体"/>
                <w:kern w:val="0"/>
                <w:sz w:val="18"/>
                <w:szCs w:val="18"/>
                <w:highlight w:val="none"/>
              </w:rPr>
              <w:t>分）</w:t>
            </w:r>
          </w:p>
        </w:tc>
        <w:tc>
          <w:tcPr>
            <w:tcW w:w="1017" w:type="dxa"/>
            <w:vAlign w:val="center"/>
          </w:tcPr>
          <w:p w14:paraId="64D14233">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6.2.1特种设备作业人员操作证</w:t>
            </w:r>
          </w:p>
          <w:p w14:paraId="1E88385F">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（0.5分）</w:t>
            </w:r>
          </w:p>
        </w:tc>
        <w:tc>
          <w:tcPr>
            <w:tcW w:w="4810" w:type="dxa"/>
            <w:shd w:val="clear" w:color="auto" w:fill="auto"/>
            <w:vAlign w:val="center"/>
          </w:tcPr>
          <w:p w14:paraId="05524B99">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电工作业、动火作业、高处作业等特种作业人员和起重机（从事起重机械司索作业人员、起重机械地面操作人员和遥控操作人员、桅杆式起重机和机械式停车设备的司机不需要取得《特种设备作业人员证》。桥式起重机司机、门式起重机司机、塔式起重机司机、流动式起重机司机、门座式起重机司机、升降机司机、缆索式起重机司机及相应指挥人员需要取得《特种设备作业人员证》）、压力容器等特种设备作业人员有相应操作证，0.5分。每缺1个证扣0.1分，扣完为止。</w:t>
            </w:r>
          </w:p>
        </w:tc>
      </w:tr>
      <w:tr w14:paraId="05EC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41" w:type="dxa"/>
            <w:vMerge w:val="continue"/>
            <w:vAlign w:val="center"/>
          </w:tcPr>
          <w:p w14:paraId="46EC774C">
            <w:pPr>
              <w:widowControl/>
              <w:spacing w:line="260" w:lineRule="exact"/>
              <w:jc w:val="center"/>
              <w:rPr>
                <w:rFonts w:ascii="宋体" w:hAnsi="宋体" w:cs="宋体"/>
                <w:kern w:val="0"/>
                <w:sz w:val="18"/>
                <w:szCs w:val="18"/>
                <w:highlight w:val="none"/>
              </w:rPr>
            </w:pPr>
          </w:p>
        </w:tc>
        <w:tc>
          <w:tcPr>
            <w:tcW w:w="983" w:type="dxa"/>
            <w:vMerge w:val="continue"/>
            <w:vAlign w:val="center"/>
          </w:tcPr>
          <w:p w14:paraId="589D03AE">
            <w:pPr>
              <w:widowControl/>
              <w:spacing w:line="260" w:lineRule="exact"/>
              <w:jc w:val="center"/>
              <w:rPr>
                <w:rFonts w:ascii="宋体" w:hAnsi="宋体" w:cs="宋体"/>
                <w:kern w:val="0"/>
                <w:sz w:val="18"/>
                <w:szCs w:val="18"/>
                <w:highlight w:val="none"/>
              </w:rPr>
            </w:pPr>
          </w:p>
        </w:tc>
        <w:tc>
          <w:tcPr>
            <w:tcW w:w="1017" w:type="dxa"/>
            <w:vAlign w:val="center"/>
          </w:tcPr>
          <w:p w14:paraId="3428BA79">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6.2.2有限空间作业监护证</w:t>
            </w:r>
          </w:p>
          <w:p w14:paraId="72B69D69">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（0.5分）</w:t>
            </w:r>
          </w:p>
        </w:tc>
        <w:tc>
          <w:tcPr>
            <w:tcW w:w="4810" w:type="dxa"/>
            <w:shd w:val="clear" w:color="auto" w:fill="auto"/>
            <w:vAlign w:val="center"/>
          </w:tcPr>
          <w:p w14:paraId="0D19988C">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有限空间作业监护人员持证上岗，0.5分。每缺1个证扣0.1分，扣完为止。</w:t>
            </w:r>
          </w:p>
        </w:tc>
      </w:tr>
    </w:tbl>
    <w:p w14:paraId="24907CEC">
      <w:pPr>
        <w:jc w:val="both"/>
        <w:rPr>
          <w:rFonts w:hint="eastAsia" w:ascii="黑体" w:hAnsi="黑体" w:eastAsia="黑体" w:cs="黑体"/>
          <w:b w:val="0"/>
          <w:bCs w:val="0"/>
          <w:highlight w:val="none"/>
        </w:rPr>
      </w:pPr>
    </w:p>
    <w:p w14:paraId="79204B32">
      <w:pPr>
        <w:keepNext w:val="0"/>
        <w:keepLines w:val="0"/>
        <w:pageBreakBefore w:val="0"/>
        <w:widowControl w:val="0"/>
        <w:kinsoku/>
        <w:wordWrap/>
        <w:overflowPunct/>
        <w:topLinePunct w:val="0"/>
        <w:autoSpaceDE/>
        <w:autoSpaceDN/>
        <w:bidi w:val="0"/>
        <w:adjustRightInd w:val="0"/>
        <w:snapToGrid/>
        <w:spacing w:before="157" w:beforeLines="50" w:after="157" w:afterLines="50"/>
        <w:jc w:val="center"/>
        <w:textAlignment w:val="auto"/>
        <w:rPr>
          <w:rFonts w:hint="eastAsia" w:ascii="黑体" w:hAnsi="黑体" w:eastAsia="黑体" w:cs="黑体"/>
          <w:b w:val="0"/>
          <w:bCs w:val="0"/>
          <w:highlight w:val="none"/>
        </w:rPr>
      </w:pPr>
      <w:r>
        <w:rPr>
          <w:rFonts w:hint="eastAsia" w:ascii="黑体" w:hAnsi="黑体" w:eastAsia="黑体" w:cs="黑体"/>
          <w:b w:val="0"/>
          <w:bCs w:val="0"/>
          <w:highlight w:val="none"/>
        </w:rPr>
        <w:t>表</w:t>
      </w:r>
      <w:r>
        <w:rPr>
          <w:rFonts w:hint="eastAsia" w:ascii="黑体" w:hAnsi="黑体" w:eastAsia="黑体" w:cs="黑体"/>
          <w:b w:val="0"/>
          <w:bCs w:val="0"/>
          <w:highlight w:val="none"/>
          <w:lang w:val="en-US" w:eastAsia="zh-CN"/>
        </w:rPr>
        <w:t>B</w:t>
      </w:r>
      <w:r>
        <w:rPr>
          <w:rFonts w:hint="eastAsia" w:ascii="黑体" w:hAnsi="黑体" w:eastAsia="黑体" w:cs="黑体"/>
          <w:b w:val="0"/>
          <w:bCs w:val="0"/>
          <w:highlight w:val="none"/>
        </w:rPr>
        <w:t>.1 城镇公共供水厂运行管理评价计分细则</w:t>
      </w:r>
      <w:r>
        <w:rPr>
          <w:rFonts w:hint="eastAsia" w:ascii="宋体" w:hAnsi="宋体" w:eastAsia="宋体" w:cs="宋体"/>
          <w:kern w:val="21"/>
          <w:sz w:val="21"/>
          <w:szCs w:val="20"/>
          <w:highlight w:val="none"/>
          <w:lang w:val="en-US" w:eastAsia="zh-CN" w:bidi="ar-SA"/>
        </w:rPr>
        <w:t>（续）</w:t>
      </w:r>
    </w:p>
    <w:tbl>
      <w:tblPr>
        <w:tblStyle w:val="30"/>
        <w:tblW w:w="4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983"/>
        <w:gridCol w:w="1017"/>
        <w:gridCol w:w="4745"/>
      </w:tblGrid>
      <w:tr w14:paraId="3223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041" w:type="dxa"/>
            <w:gridSpan w:val="3"/>
            <w:shd w:val="clear" w:color="auto" w:fill="auto"/>
            <w:vAlign w:val="center"/>
          </w:tcPr>
          <w:p w14:paraId="3DCF0E0B">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b/>
                <w:bCs/>
                <w:kern w:val="0"/>
                <w:sz w:val="18"/>
                <w:szCs w:val="18"/>
                <w:highlight w:val="none"/>
              </w:rPr>
              <w:t>评价内容</w:t>
            </w:r>
          </w:p>
        </w:tc>
        <w:tc>
          <w:tcPr>
            <w:tcW w:w="4746" w:type="dxa"/>
            <w:vMerge w:val="restart"/>
            <w:shd w:val="clear" w:color="auto" w:fill="auto"/>
            <w:vAlign w:val="center"/>
          </w:tcPr>
          <w:p w14:paraId="45ABAF40">
            <w:pPr>
              <w:widowControl/>
              <w:spacing w:line="260" w:lineRule="exact"/>
              <w:jc w:val="center"/>
              <w:rPr>
                <w:rFonts w:hint="eastAsia" w:ascii="宋体" w:hAnsi="宋体" w:cs="宋体"/>
                <w:kern w:val="0"/>
                <w:sz w:val="18"/>
                <w:szCs w:val="18"/>
                <w:highlight w:val="none"/>
              </w:rPr>
            </w:pPr>
            <w:r>
              <w:rPr>
                <w:rFonts w:hint="eastAsia" w:ascii="宋体" w:hAnsi="宋体" w:cs="宋体"/>
                <w:b/>
                <w:bCs/>
                <w:kern w:val="0"/>
                <w:sz w:val="18"/>
                <w:szCs w:val="18"/>
                <w:highlight w:val="none"/>
              </w:rPr>
              <w:t>评价方法</w:t>
            </w:r>
          </w:p>
        </w:tc>
      </w:tr>
      <w:tr w14:paraId="4F75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41" w:type="dxa"/>
            <w:shd w:val="clear" w:color="auto" w:fill="auto"/>
            <w:vAlign w:val="center"/>
          </w:tcPr>
          <w:p w14:paraId="7B545FBA">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一级指标</w:t>
            </w:r>
          </w:p>
        </w:tc>
        <w:tc>
          <w:tcPr>
            <w:tcW w:w="983" w:type="dxa"/>
            <w:shd w:val="clear" w:color="auto" w:fill="auto"/>
            <w:vAlign w:val="center"/>
          </w:tcPr>
          <w:p w14:paraId="2843A391">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二级指标</w:t>
            </w:r>
          </w:p>
        </w:tc>
        <w:tc>
          <w:tcPr>
            <w:tcW w:w="1017" w:type="dxa"/>
            <w:shd w:val="clear" w:color="auto" w:fill="auto"/>
            <w:vAlign w:val="center"/>
          </w:tcPr>
          <w:p w14:paraId="54E9D10F">
            <w:pPr>
              <w:widowControl/>
              <w:spacing w:line="260" w:lineRule="exact"/>
              <w:jc w:val="center"/>
              <w:rPr>
                <w:rFonts w:hint="eastAsia"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三级指标</w:t>
            </w:r>
          </w:p>
        </w:tc>
        <w:tc>
          <w:tcPr>
            <w:tcW w:w="4746" w:type="dxa"/>
            <w:vMerge w:val="continue"/>
            <w:shd w:val="clear" w:color="auto" w:fill="auto"/>
            <w:vAlign w:val="center"/>
          </w:tcPr>
          <w:p w14:paraId="0267A00F">
            <w:pPr>
              <w:widowControl/>
              <w:spacing w:line="260" w:lineRule="exact"/>
              <w:jc w:val="left"/>
              <w:rPr>
                <w:rFonts w:hint="eastAsia" w:ascii="宋体" w:hAnsi="宋体" w:cs="宋体"/>
                <w:kern w:val="0"/>
                <w:sz w:val="18"/>
                <w:szCs w:val="18"/>
                <w:highlight w:val="none"/>
              </w:rPr>
            </w:pPr>
          </w:p>
        </w:tc>
      </w:tr>
      <w:tr w14:paraId="1418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41" w:type="dxa"/>
            <w:vMerge w:val="restart"/>
            <w:vAlign w:val="center"/>
          </w:tcPr>
          <w:p w14:paraId="50EF0E18">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6.人员管理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（7.0分）</w:t>
            </w:r>
          </w:p>
        </w:tc>
        <w:tc>
          <w:tcPr>
            <w:tcW w:w="983" w:type="dxa"/>
            <w:vAlign w:val="center"/>
          </w:tcPr>
          <w:p w14:paraId="7EA9AFD0">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6.2人员持证上岗</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w:t>
            </w:r>
            <w:r>
              <w:rPr>
                <w:rFonts w:hint="eastAsia" w:ascii="宋体" w:hAnsi="宋体" w:cs="宋体"/>
                <w:kern w:val="0"/>
                <w:sz w:val="18"/>
                <w:szCs w:val="18"/>
                <w:highlight w:val="none"/>
                <w:lang w:val="en-US" w:eastAsia="zh-CN"/>
              </w:rPr>
              <w:t>0</w:t>
            </w:r>
            <w:r>
              <w:rPr>
                <w:rFonts w:hint="eastAsia" w:ascii="宋体" w:hAnsi="宋体" w:cs="宋体"/>
                <w:kern w:val="0"/>
                <w:sz w:val="18"/>
                <w:szCs w:val="18"/>
                <w:highlight w:val="none"/>
              </w:rPr>
              <w:t>.5分）</w:t>
            </w:r>
          </w:p>
        </w:tc>
        <w:tc>
          <w:tcPr>
            <w:tcW w:w="1017" w:type="dxa"/>
            <w:vAlign w:val="center"/>
          </w:tcPr>
          <w:p w14:paraId="4F1ACB9B">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6.2.3配电室人员操作证</w:t>
            </w:r>
          </w:p>
          <w:p w14:paraId="6EBC6DE3">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（0.5分）</w:t>
            </w:r>
          </w:p>
        </w:tc>
        <w:tc>
          <w:tcPr>
            <w:tcW w:w="4746" w:type="dxa"/>
            <w:shd w:val="clear" w:color="auto" w:fill="auto"/>
            <w:vAlign w:val="center"/>
          </w:tcPr>
          <w:p w14:paraId="2525EF8B">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配电室值班人员持证上岗，且上岗时随身携带作业操作资格证书原件或由单位统一进行管理，0.5分。每缺1个证扣0.1分，扣完为止；上岗时未随身携带作业操作资格证书原件或未由单位统一进行管理，扣0.3分。</w:t>
            </w:r>
          </w:p>
        </w:tc>
      </w:tr>
      <w:tr w14:paraId="60B8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41" w:type="dxa"/>
            <w:vMerge w:val="continue"/>
            <w:vAlign w:val="center"/>
          </w:tcPr>
          <w:p w14:paraId="5CCC211C">
            <w:pPr>
              <w:widowControl/>
              <w:spacing w:line="260" w:lineRule="exact"/>
              <w:jc w:val="center"/>
              <w:rPr>
                <w:rFonts w:ascii="宋体" w:hAnsi="宋体" w:cs="宋体"/>
                <w:kern w:val="0"/>
                <w:sz w:val="18"/>
                <w:szCs w:val="18"/>
                <w:highlight w:val="none"/>
              </w:rPr>
            </w:pPr>
          </w:p>
        </w:tc>
        <w:tc>
          <w:tcPr>
            <w:tcW w:w="983" w:type="dxa"/>
            <w:vMerge w:val="restart"/>
            <w:vAlign w:val="center"/>
          </w:tcPr>
          <w:p w14:paraId="59268F73">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6.3人员教育培训</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（1.5分）</w:t>
            </w:r>
          </w:p>
        </w:tc>
        <w:tc>
          <w:tcPr>
            <w:tcW w:w="1017" w:type="dxa"/>
            <w:vAlign w:val="center"/>
          </w:tcPr>
          <w:p w14:paraId="5037759E">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6.3.1年度培训组织</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746" w:type="dxa"/>
            <w:shd w:val="clear" w:color="auto" w:fill="auto"/>
            <w:vAlign w:val="center"/>
          </w:tcPr>
          <w:p w14:paraId="55C6E9B6">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根据年度生产目标、安全管理要求等制定年度培训计划，并按照培训计划组织实施，1.0分。未制定培训计划，扣0.5分；未按照培训计划组织实施，扣0.5分。</w:t>
            </w:r>
          </w:p>
        </w:tc>
      </w:tr>
      <w:tr w14:paraId="4156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41" w:type="dxa"/>
            <w:vMerge w:val="continue"/>
            <w:vAlign w:val="center"/>
          </w:tcPr>
          <w:p w14:paraId="5538FE58">
            <w:pPr>
              <w:widowControl/>
              <w:spacing w:line="260" w:lineRule="exact"/>
              <w:jc w:val="center"/>
              <w:rPr>
                <w:rFonts w:ascii="宋体" w:hAnsi="宋体" w:cs="宋体"/>
                <w:kern w:val="0"/>
                <w:sz w:val="18"/>
                <w:szCs w:val="18"/>
                <w:highlight w:val="none"/>
              </w:rPr>
            </w:pPr>
          </w:p>
        </w:tc>
        <w:tc>
          <w:tcPr>
            <w:tcW w:w="983" w:type="dxa"/>
            <w:vMerge w:val="continue"/>
            <w:vAlign w:val="center"/>
          </w:tcPr>
          <w:p w14:paraId="16699D8D">
            <w:pPr>
              <w:widowControl/>
              <w:spacing w:line="260" w:lineRule="exact"/>
              <w:jc w:val="center"/>
              <w:rPr>
                <w:rFonts w:ascii="宋体" w:hAnsi="宋体" w:cs="宋体"/>
                <w:kern w:val="0"/>
                <w:sz w:val="18"/>
                <w:szCs w:val="18"/>
                <w:highlight w:val="none"/>
              </w:rPr>
            </w:pPr>
          </w:p>
        </w:tc>
        <w:tc>
          <w:tcPr>
            <w:tcW w:w="1017" w:type="dxa"/>
            <w:vAlign w:val="center"/>
          </w:tcPr>
          <w:p w14:paraId="064B7416">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6.3.2人员教育培训档案管理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（0.5分）</w:t>
            </w:r>
          </w:p>
        </w:tc>
        <w:tc>
          <w:tcPr>
            <w:tcW w:w="4746" w:type="dxa"/>
            <w:shd w:val="clear" w:color="auto" w:fill="auto"/>
            <w:vAlign w:val="center"/>
          </w:tcPr>
          <w:p w14:paraId="2CB46B28">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培训档案材料完整、规范（含培训内容、培训签到表、培训试卷、培训照片等），0.5分。每缺1项内容扣0.1分，扣完为止。</w:t>
            </w:r>
          </w:p>
        </w:tc>
      </w:tr>
      <w:tr w14:paraId="4229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41" w:type="dxa"/>
            <w:vMerge w:val="continue"/>
            <w:vAlign w:val="center"/>
          </w:tcPr>
          <w:p w14:paraId="13C7696F">
            <w:pPr>
              <w:widowControl/>
              <w:spacing w:line="260" w:lineRule="exact"/>
              <w:jc w:val="center"/>
              <w:rPr>
                <w:rFonts w:ascii="宋体" w:hAnsi="宋体" w:cs="宋体"/>
                <w:kern w:val="0"/>
                <w:sz w:val="18"/>
                <w:szCs w:val="18"/>
                <w:highlight w:val="none"/>
              </w:rPr>
            </w:pPr>
          </w:p>
        </w:tc>
        <w:tc>
          <w:tcPr>
            <w:tcW w:w="983" w:type="dxa"/>
            <w:vMerge w:val="restart"/>
            <w:vAlign w:val="center"/>
          </w:tcPr>
          <w:p w14:paraId="17980F06">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6.4绩效考核</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（1.5分）</w:t>
            </w:r>
          </w:p>
        </w:tc>
        <w:tc>
          <w:tcPr>
            <w:tcW w:w="1017" w:type="dxa"/>
            <w:vAlign w:val="center"/>
          </w:tcPr>
          <w:p w14:paraId="1D096157">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6.4.1开展年度绩效考核</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746" w:type="dxa"/>
            <w:shd w:val="clear" w:color="auto" w:fill="auto"/>
            <w:vAlign w:val="center"/>
          </w:tcPr>
          <w:p w14:paraId="2824BE01">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根据人员岗位、专业技术等开展人员年度绩效考核，1.0分。</w:t>
            </w:r>
          </w:p>
        </w:tc>
      </w:tr>
      <w:tr w14:paraId="0503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41" w:type="dxa"/>
            <w:vMerge w:val="continue"/>
            <w:vAlign w:val="center"/>
          </w:tcPr>
          <w:p w14:paraId="0570D756">
            <w:pPr>
              <w:widowControl/>
              <w:spacing w:line="260" w:lineRule="exact"/>
              <w:jc w:val="center"/>
              <w:rPr>
                <w:rFonts w:ascii="宋体" w:hAnsi="宋体" w:cs="宋体"/>
                <w:kern w:val="0"/>
                <w:sz w:val="18"/>
                <w:szCs w:val="18"/>
                <w:highlight w:val="none"/>
              </w:rPr>
            </w:pPr>
          </w:p>
        </w:tc>
        <w:tc>
          <w:tcPr>
            <w:tcW w:w="983" w:type="dxa"/>
            <w:vMerge w:val="continue"/>
            <w:vAlign w:val="center"/>
          </w:tcPr>
          <w:p w14:paraId="60A72B74">
            <w:pPr>
              <w:widowControl/>
              <w:spacing w:line="260" w:lineRule="exact"/>
              <w:jc w:val="center"/>
              <w:rPr>
                <w:rFonts w:ascii="宋体" w:hAnsi="宋体" w:cs="宋体"/>
                <w:kern w:val="0"/>
                <w:sz w:val="18"/>
                <w:szCs w:val="18"/>
                <w:highlight w:val="none"/>
              </w:rPr>
            </w:pPr>
          </w:p>
        </w:tc>
        <w:tc>
          <w:tcPr>
            <w:tcW w:w="1017" w:type="dxa"/>
            <w:vAlign w:val="center"/>
          </w:tcPr>
          <w:p w14:paraId="79DB133E">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6.4.2绩效考核记录</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（0.5分）</w:t>
            </w:r>
          </w:p>
        </w:tc>
        <w:tc>
          <w:tcPr>
            <w:tcW w:w="4746" w:type="dxa"/>
            <w:shd w:val="clear" w:color="auto" w:fill="auto"/>
            <w:vAlign w:val="center"/>
          </w:tcPr>
          <w:p w14:paraId="4726D51A">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有考核记录，0.5分。</w:t>
            </w:r>
          </w:p>
        </w:tc>
      </w:tr>
      <w:tr w14:paraId="51B5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041" w:type="dxa"/>
            <w:vMerge w:val="restart"/>
            <w:vAlign w:val="center"/>
          </w:tcPr>
          <w:p w14:paraId="4107E6FA">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7.节能减排</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（8.0分）</w:t>
            </w:r>
          </w:p>
        </w:tc>
        <w:tc>
          <w:tcPr>
            <w:tcW w:w="983" w:type="dxa"/>
            <w:vMerge w:val="restart"/>
            <w:vAlign w:val="center"/>
          </w:tcPr>
          <w:p w14:paraId="2C5DA057">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7.1自用水率</w:t>
            </w:r>
          </w:p>
          <w:p w14:paraId="1F701A88">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（2.0分）</w:t>
            </w:r>
          </w:p>
        </w:tc>
        <w:tc>
          <w:tcPr>
            <w:tcW w:w="1017" w:type="dxa"/>
            <w:vAlign w:val="center"/>
          </w:tcPr>
          <w:p w14:paraId="28A5EC7A">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7.1.1自用水率分析</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（0.8分）</w:t>
            </w:r>
          </w:p>
        </w:tc>
        <w:tc>
          <w:tcPr>
            <w:tcW w:w="4746" w:type="dxa"/>
            <w:shd w:val="clear" w:color="auto" w:fill="auto"/>
            <w:vAlign w:val="center"/>
          </w:tcPr>
          <w:p w14:paraId="20C34330">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对年度自用水率目标完成情况进行分析，有分析成果，0.8分。</w:t>
            </w:r>
          </w:p>
        </w:tc>
      </w:tr>
      <w:tr w14:paraId="544C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041" w:type="dxa"/>
            <w:vMerge w:val="continue"/>
            <w:vAlign w:val="center"/>
          </w:tcPr>
          <w:p w14:paraId="16F0A788">
            <w:pPr>
              <w:widowControl/>
              <w:spacing w:line="260" w:lineRule="exact"/>
              <w:jc w:val="center"/>
              <w:rPr>
                <w:rFonts w:ascii="宋体" w:hAnsi="宋体" w:cs="宋体"/>
                <w:kern w:val="0"/>
                <w:sz w:val="18"/>
                <w:szCs w:val="18"/>
                <w:highlight w:val="none"/>
              </w:rPr>
            </w:pPr>
          </w:p>
        </w:tc>
        <w:tc>
          <w:tcPr>
            <w:tcW w:w="983" w:type="dxa"/>
            <w:vMerge w:val="continue"/>
            <w:vAlign w:val="center"/>
          </w:tcPr>
          <w:p w14:paraId="73FEA9F9">
            <w:pPr>
              <w:widowControl/>
              <w:spacing w:line="260" w:lineRule="exact"/>
              <w:jc w:val="center"/>
              <w:rPr>
                <w:rFonts w:ascii="宋体" w:hAnsi="宋体" w:cs="宋体"/>
                <w:kern w:val="0"/>
                <w:sz w:val="18"/>
                <w:szCs w:val="18"/>
                <w:highlight w:val="none"/>
              </w:rPr>
            </w:pPr>
          </w:p>
        </w:tc>
        <w:tc>
          <w:tcPr>
            <w:tcW w:w="1017" w:type="dxa"/>
            <w:vAlign w:val="center"/>
          </w:tcPr>
          <w:p w14:paraId="4C926488">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7.1.2自用水率控制</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（1.2分）</w:t>
            </w:r>
          </w:p>
        </w:tc>
        <w:tc>
          <w:tcPr>
            <w:tcW w:w="4746" w:type="dxa"/>
            <w:shd w:val="clear" w:color="auto" w:fill="auto"/>
            <w:vAlign w:val="center"/>
          </w:tcPr>
          <w:p w14:paraId="3E7119B8">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地表水水源水厂：4%≤年度自用水率&lt;5%，扣0.4分；5%≤年度自用水率&lt;6%，扣0.8分；6%≤年度自用水率&lt;7%，扣1.2分；</w:t>
            </w:r>
          </w:p>
          <w:p w14:paraId="452FEC03">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地下水水源水厂：0.5%≤年度自用水率&lt;0.6%，扣0.4分；0.6%≤年度自用水率&lt;0.7%，扣0.8分；0.7%≤年度自用水率&lt;0.8%，扣1.2分。</w:t>
            </w:r>
          </w:p>
        </w:tc>
      </w:tr>
      <w:tr w14:paraId="07CC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41" w:type="dxa"/>
            <w:vMerge w:val="continue"/>
            <w:vAlign w:val="center"/>
          </w:tcPr>
          <w:p w14:paraId="10C40DBF">
            <w:pPr>
              <w:widowControl/>
              <w:spacing w:line="260" w:lineRule="exact"/>
              <w:jc w:val="center"/>
              <w:rPr>
                <w:rFonts w:ascii="宋体" w:hAnsi="宋体" w:cs="宋体"/>
                <w:kern w:val="0"/>
                <w:sz w:val="18"/>
                <w:szCs w:val="18"/>
                <w:highlight w:val="none"/>
              </w:rPr>
            </w:pPr>
          </w:p>
        </w:tc>
        <w:tc>
          <w:tcPr>
            <w:tcW w:w="983" w:type="dxa"/>
            <w:vMerge w:val="restart"/>
            <w:vAlign w:val="center"/>
          </w:tcPr>
          <w:p w14:paraId="1652B2E9">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7.2节能管理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（3.0分）</w:t>
            </w:r>
          </w:p>
        </w:tc>
        <w:tc>
          <w:tcPr>
            <w:tcW w:w="1017" w:type="dxa"/>
            <w:vAlign w:val="center"/>
          </w:tcPr>
          <w:p w14:paraId="15B55BB6">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7.2.1配水单位电耗分析评估</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746" w:type="dxa"/>
            <w:shd w:val="clear" w:color="auto" w:fill="auto"/>
            <w:vAlign w:val="center"/>
          </w:tcPr>
          <w:p w14:paraId="3653F331">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制定电耗、药耗年度目标计划，并对电耗、药耗年度节能情况进行分析评估，1.0分。未制定目标计划扣0.5分；未开展分析评估，扣0.5分。</w:t>
            </w:r>
          </w:p>
        </w:tc>
      </w:tr>
      <w:tr w14:paraId="2634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41" w:type="dxa"/>
            <w:vMerge w:val="continue"/>
            <w:vAlign w:val="center"/>
          </w:tcPr>
          <w:p w14:paraId="005248EC">
            <w:pPr>
              <w:widowControl/>
              <w:spacing w:line="260" w:lineRule="exact"/>
              <w:jc w:val="center"/>
              <w:rPr>
                <w:rFonts w:ascii="宋体" w:hAnsi="宋体" w:cs="宋体"/>
                <w:kern w:val="0"/>
                <w:sz w:val="18"/>
                <w:szCs w:val="18"/>
                <w:highlight w:val="none"/>
              </w:rPr>
            </w:pPr>
          </w:p>
        </w:tc>
        <w:tc>
          <w:tcPr>
            <w:tcW w:w="983" w:type="dxa"/>
            <w:vMerge w:val="continue"/>
            <w:vAlign w:val="center"/>
          </w:tcPr>
          <w:p w14:paraId="05E10DDD">
            <w:pPr>
              <w:widowControl/>
              <w:spacing w:line="260" w:lineRule="exact"/>
              <w:jc w:val="center"/>
              <w:rPr>
                <w:rFonts w:ascii="宋体" w:hAnsi="宋体" w:cs="宋体"/>
                <w:kern w:val="0"/>
                <w:sz w:val="18"/>
                <w:szCs w:val="18"/>
                <w:highlight w:val="none"/>
              </w:rPr>
            </w:pPr>
          </w:p>
        </w:tc>
        <w:tc>
          <w:tcPr>
            <w:tcW w:w="1017" w:type="dxa"/>
            <w:vAlign w:val="center"/>
          </w:tcPr>
          <w:p w14:paraId="29ADF872">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7.2.2配水单位电耗控制</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（2.0分）</w:t>
            </w:r>
          </w:p>
        </w:tc>
        <w:tc>
          <w:tcPr>
            <w:tcW w:w="4746" w:type="dxa"/>
            <w:shd w:val="clear" w:color="auto" w:fill="auto"/>
            <w:vAlign w:val="center"/>
          </w:tcPr>
          <w:p w14:paraId="5DE5D989">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设定配水单位电耗目标基准值350kW·h/（km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·MPa）。实际配水单位电耗低于350kW·h/（km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·MPa），2.0分；</w:t>
            </w:r>
          </w:p>
          <w:p w14:paraId="350CA953">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350kW·h/（km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·MPa）≤配水单位电耗平均值&lt;365kW·h/（km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·MPa），1.0分；365kW·h/（km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·MPa）≤配水单位电耗平均值&lt;413kW·h/（km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·MPa），0.5分；413kW·h/（km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·MPa）≤配水单位电耗平均值，不得分。</w:t>
            </w:r>
          </w:p>
        </w:tc>
      </w:tr>
    </w:tbl>
    <w:p w14:paraId="22E6B90F">
      <w:pPr>
        <w:jc w:val="center"/>
        <w:rPr>
          <w:rFonts w:hint="eastAsia" w:ascii="黑体" w:hAnsi="黑体" w:eastAsia="黑体" w:cs="黑体"/>
          <w:b w:val="0"/>
          <w:bCs w:val="0"/>
          <w:highlight w:val="none"/>
        </w:rPr>
      </w:pPr>
    </w:p>
    <w:p w14:paraId="36249E51">
      <w:pPr>
        <w:jc w:val="both"/>
        <w:rPr>
          <w:rFonts w:hint="eastAsia" w:ascii="黑体" w:hAnsi="黑体" w:eastAsia="黑体" w:cs="黑体"/>
          <w:b w:val="0"/>
          <w:bCs w:val="0"/>
          <w:highlight w:val="none"/>
        </w:rPr>
      </w:pPr>
    </w:p>
    <w:p w14:paraId="603EE5AF">
      <w:pPr>
        <w:keepNext w:val="0"/>
        <w:keepLines w:val="0"/>
        <w:pageBreakBefore w:val="0"/>
        <w:widowControl w:val="0"/>
        <w:kinsoku/>
        <w:wordWrap/>
        <w:overflowPunct/>
        <w:topLinePunct w:val="0"/>
        <w:autoSpaceDE/>
        <w:autoSpaceDN/>
        <w:bidi w:val="0"/>
        <w:adjustRightInd w:val="0"/>
        <w:snapToGrid/>
        <w:spacing w:before="157" w:beforeLines="50" w:after="157" w:afterLines="50"/>
        <w:jc w:val="center"/>
        <w:textAlignment w:val="auto"/>
        <w:rPr>
          <w:rFonts w:hint="eastAsia" w:ascii="黑体" w:hAnsi="黑体" w:eastAsia="黑体" w:cs="黑体"/>
          <w:b w:val="0"/>
          <w:bCs w:val="0"/>
          <w:highlight w:val="none"/>
        </w:rPr>
      </w:pPr>
      <w:r>
        <w:rPr>
          <w:rFonts w:hint="eastAsia" w:ascii="黑体" w:hAnsi="黑体" w:eastAsia="黑体" w:cs="黑体"/>
          <w:b w:val="0"/>
          <w:bCs w:val="0"/>
          <w:highlight w:val="none"/>
        </w:rPr>
        <w:t>表</w:t>
      </w:r>
      <w:r>
        <w:rPr>
          <w:rFonts w:hint="eastAsia" w:ascii="黑体" w:hAnsi="黑体" w:eastAsia="黑体" w:cs="黑体"/>
          <w:b w:val="0"/>
          <w:bCs w:val="0"/>
          <w:highlight w:val="none"/>
          <w:lang w:val="en-US" w:eastAsia="zh-CN"/>
        </w:rPr>
        <w:t>B</w:t>
      </w:r>
      <w:r>
        <w:rPr>
          <w:rFonts w:hint="eastAsia" w:ascii="黑体" w:hAnsi="黑体" w:eastAsia="黑体" w:cs="黑体"/>
          <w:b w:val="0"/>
          <w:bCs w:val="0"/>
          <w:highlight w:val="none"/>
        </w:rPr>
        <w:t>.1 城镇公共供水厂运行管理评价计分细则</w:t>
      </w:r>
      <w:r>
        <w:rPr>
          <w:rFonts w:hint="eastAsia" w:ascii="宋体" w:hAnsi="宋体" w:eastAsia="宋体" w:cs="宋体"/>
          <w:kern w:val="21"/>
          <w:sz w:val="21"/>
          <w:szCs w:val="20"/>
          <w:highlight w:val="none"/>
          <w:lang w:val="en-US" w:eastAsia="zh-CN" w:bidi="ar-SA"/>
        </w:rPr>
        <w:t>（续）</w:t>
      </w:r>
    </w:p>
    <w:tbl>
      <w:tblPr>
        <w:tblStyle w:val="30"/>
        <w:tblW w:w="40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983"/>
        <w:gridCol w:w="1017"/>
        <w:gridCol w:w="4722"/>
      </w:tblGrid>
      <w:tr w14:paraId="71B3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041" w:type="dxa"/>
            <w:gridSpan w:val="3"/>
            <w:shd w:val="clear" w:color="auto" w:fill="auto"/>
            <w:vAlign w:val="center"/>
          </w:tcPr>
          <w:p w14:paraId="27AD063E">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b/>
                <w:bCs/>
                <w:kern w:val="0"/>
                <w:sz w:val="18"/>
                <w:szCs w:val="18"/>
                <w:highlight w:val="none"/>
              </w:rPr>
              <w:t>评价内容</w:t>
            </w:r>
          </w:p>
        </w:tc>
        <w:tc>
          <w:tcPr>
            <w:tcW w:w="4724" w:type="dxa"/>
            <w:vMerge w:val="restart"/>
            <w:shd w:val="clear" w:color="auto" w:fill="auto"/>
            <w:vAlign w:val="center"/>
          </w:tcPr>
          <w:p w14:paraId="5B164961">
            <w:pPr>
              <w:widowControl/>
              <w:spacing w:line="260" w:lineRule="exact"/>
              <w:jc w:val="center"/>
              <w:rPr>
                <w:rFonts w:hint="eastAsia" w:ascii="宋体" w:hAnsi="宋体" w:cs="宋体"/>
                <w:kern w:val="0"/>
                <w:sz w:val="18"/>
                <w:szCs w:val="18"/>
                <w:highlight w:val="none"/>
              </w:rPr>
            </w:pPr>
            <w:r>
              <w:rPr>
                <w:rFonts w:hint="eastAsia" w:ascii="宋体" w:hAnsi="宋体" w:cs="宋体"/>
                <w:b/>
                <w:bCs/>
                <w:kern w:val="0"/>
                <w:sz w:val="18"/>
                <w:szCs w:val="18"/>
                <w:highlight w:val="none"/>
              </w:rPr>
              <w:t>评价方法</w:t>
            </w:r>
          </w:p>
        </w:tc>
      </w:tr>
      <w:tr w14:paraId="6CEC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41" w:type="dxa"/>
            <w:shd w:val="clear" w:color="auto" w:fill="auto"/>
            <w:vAlign w:val="center"/>
          </w:tcPr>
          <w:p w14:paraId="2EC5C854">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一级指标</w:t>
            </w:r>
          </w:p>
        </w:tc>
        <w:tc>
          <w:tcPr>
            <w:tcW w:w="983" w:type="dxa"/>
            <w:shd w:val="clear" w:color="auto" w:fill="auto"/>
            <w:vAlign w:val="center"/>
          </w:tcPr>
          <w:p w14:paraId="4350CA6C">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二级指标</w:t>
            </w:r>
          </w:p>
        </w:tc>
        <w:tc>
          <w:tcPr>
            <w:tcW w:w="1017" w:type="dxa"/>
            <w:shd w:val="clear" w:color="auto" w:fill="auto"/>
            <w:vAlign w:val="center"/>
          </w:tcPr>
          <w:p w14:paraId="213C1A8A">
            <w:pPr>
              <w:widowControl/>
              <w:spacing w:line="260" w:lineRule="exact"/>
              <w:jc w:val="center"/>
              <w:rPr>
                <w:rFonts w:hint="eastAsia"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三级指标</w:t>
            </w:r>
          </w:p>
        </w:tc>
        <w:tc>
          <w:tcPr>
            <w:tcW w:w="4724" w:type="dxa"/>
            <w:vMerge w:val="continue"/>
            <w:shd w:val="clear" w:color="auto" w:fill="auto"/>
            <w:vAlign w:val="center"/>
          </w:tcPr>
          <w:p w14:paraId="73022AA3">
            <w:pPr>
              <w:widowControl/>
              <w:spacing w:line="260" w:lineRule="exact"/>
              <w:jc w:val="left"/>
              <w:rPr>
                <w:rFonts w:hint="eastAsia" w:ascii="宋体" w:hAnsi="宋体" w:cs="宋体"/>
                <w:kern w:val="0"/>
                <w:sz w:val="18"/>
                <w:szCs w:val="18"/>
                <w:highlight w:val="none"/>
              </w:rPr>
            </w:pPr>
          </w:p>
        </w:tc>
      </w:tr>
      <w:tr w14:paraId="7F65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041" w:type="dxa"/>
            <w:vMerge w:val="restart"/>
            <w:vAlign w:val="center"/>
          </w:tcPr>
          <w:p w14:paraId="6C163F5F">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7.节能减排</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（8.0分）</w:t>
            </w:r>
          </w:p>
        </w:tc>
        <w:tc>
          <w:tcPr>
            <w:tcW w:w="983" w:type="dxa"/>
            <w:vMerge w:val="restart"/>
            <w:vAlign w:val="center"/>
          </w:tcPr>
          <w:p w14:paraId="7F9F3816">
            <w:pPr>
              <w:widowControl/>
              <w:spacing w:line="260" w:lineRule="exact"/>
              <w:jc w:val="center"/>
              <w:rPr>
                <w:rFonts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rPr>
              <w:t>7.3废弃物处置管理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1017" w:type="dxa"/>
            <w:vAlign w:val="center"/>
          </w:tcPr>
          <w:p w14:paraId="22967241">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7.3.1废弃物处置要求</w:t>
            </w:r>
          </w:p>
          <w:p w14:paraId="4EBAEA36">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rPr>
              <w:t>（0.6分）</w:t>
            </w:r>
          </w:p>
        </w:tc>
        <w:tc>
          <w:tcPr>
            <w:tcW w:w="4724" w:type="dxa"/>
            <w:shd w:val="clear" w:color="auto" w:fill="auto"/>
            <w:vAlign w:val="center"/>
          </w:tcPr>
          <w:p w14:paraId="4435F0B3">
            <w:pPr>
              <w:widowControl/>
              <w:spacing w:line="260" w:lineRule="exact"/>
              <w:jc w:val="left"/>
              <w:rPr>
                <w:rFonts w:hint="eastAsia"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rPr>
              <w:t>委托有资质单位对有毒有害废物（化验室废液、润滑油等）进行处置，0.6分；</w:t>
            </w:r>
          </w:p>
        </w:tc>
      </w:tr>
      <w:tr w14:paraId="6DD5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041" w:type="dxa"/>
            <w:vMerge w:val="continue"/>
            <w:vAlign w:val="center"/>
          </w:tcPr>
          <w:p w14:paraId="18448DC1">
            <w:pPr>
              <w:widowControl/>
              <w:spacing w:line="260" w:lineRule="exact"/>
              <w:jc w:val="center"/>
              <w:rPr>
                <w:rFonts w:ascii="宋体" w:hAnsi="宋体" w:cs="宋体"/>
                <w:kern w:val="0"/>
                <w:sz w:val="18"/>
                <w:szCs w:val="18"/>
                <w:highlight w:val="none"/>
              </w:rPr>
            </w:pPr>
          </w:p>
        </w:tc>
        <w:tc>
          <w:tcPr>
            <w:tcW w:w="983" w:type="dxa"/>
            <w:vMerge w:val="continue"/>
            <w:vAlign w:val="center"/>
          </w:tcPr>
          <w:p w14:paraId="7DD10589">
            <w:pPr>
              <w:widowControl/>
              <w:spacing w:line="260" w:lineRule="exact"/>
              <w:jc w:val="center"/>
              <w:rPr>
                <w:rFonts w:ascii="宋体" w:hAnsi="宋体" w:cs="宋体"/>
                <w:kern w:val="0"/>
                <w:sz w:val="18"/>
                <w:szCs w:val="18"/>
                <w:highlight w:val="none"/>
              </w:rPr>
            </w:pPr>
          </w:p>
        </w:tc>
        <w:tc>
          <w:tcPr>
            <w:tcW w:w="1017" w:type="dxa"/>
            <w:vAlign w:val="center"/>
          </w:tcPr>
          <w:p w14:paraId="634D10F0">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7.3.2废弃物处置记录</w:t>
            </w:r>
          </w:p>
          <w:p w14:paraId="673E9AD0">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（0.4分）</w:t>
            </w:r>
          </w:p>
        </w:tc>
        <w:tc>
          <w:tcPr>
            <w:tcW w:w="4724" w:type="dxa"/>
            <w:shd w:val="clear" w:color="auto" w:fill="auto"/>
            <w:vAlign w:val="center"/>
          </w:tcPr>
          <w:p w14:paraId="4BB523AF">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有废弃物收集、运输、储存及处理处置记录，0.4分。</w:t>
            </w:r>
          </w:p>
        </w:tc>
      </w:tr>
      <w:tr w14:paraId="28EB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41" w:type="dxa"/>
            <w:vMerge w:val="continue"/>
            <w:vAlign w:val="center"/>
          </w:tcPr>
          <w:p w14:paraId="645D8B8F">
            <w:pPr>
              <w:widowControl/>
              <w:spacing w:line="260" w:lineRule="exact"/>
              <w:jc w:val="center"/>
              <w:rPr>
                <w:rFonts w:ascii="宋体" w:hAnsi="宋体" w:cs="宋体"/>
                <w:kern w:val="0"/>
                <w:sz w:val="18"/>
                <w:szCs w:val="18"/>
                <w:highlight w:val="none"/>
              </w:rPr>
            </w:pPr>
          </w:p>
        </w:tc>
        <w:tc>
          <w:tcPr>
            <w:tcW w:w="983" w:type="dxa"/>
            <w:vMerge w:val="restart"/>
            <w:vAlign w:val="center"/>
          </w:tcPr>
          <w:p w14:paraId="4E7B2ADE">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7.4污泥处理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（2.0分）</w:t>
            </w:r>
          </w:p>
        </w:tc>
        <w:tc>
          <w:tcPr>
            <w:tcW w:w="1017" w:type="dxa"/>
            <w:vAlign w:val="center"/>
          </w:tcPr>
          <w:p w14:paraId="0414CAB5">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7.4.1处理工艺和处置措施</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724" w:type="dxa"/>
            <w:shd w:val="clear" w:color="auto" w:fill="auto"/>
            <w:vAlign w:val="center"/>
          </w:tcPr>
          <w:p w14:paraId="546D7A39">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完善的污泥脱水处理工艺和处置措施，1.0分。</w:t>
            </w:r>
          </w:p>
        </w:tc>
      </w:tr>
      <w:tr w14:paraId="2340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41" w:type="dxa"/>
            <w:vMerge w:val="continue"/>
            <w:vAlign w:val="center"/>
          </w:tcPr>
          <w:p w14:paraId="1A9FED28">
            <w:pPr>
              <w:widowControl/>
              <w:spacing w:line="260" w:lineRule="exact"/>
              <w:jc w:val="center"/>
              <w:rPr>
                <w:rFonts w:ascii="宋体" w:hAnsi="宋体" w:cs="宋体"/>
                <w:kern w:val="0"/>
                <w:sz w:val="18"/>
                <w:szCs w:val="18"/>
                <w:highlight w:val="none"/>
              </w:rPr>
            </w:pPr>
          </w:p>
        </w:tc>
        <w:tc>
          <w:tcPr>
            <w:tcW w:w="983" w:type="dxa"/>
            <w:vMerge w:val="continue"/>
            <w:vAlign w:val="center"/>
          </w:tcPr>
          <w:p w14:paraId="5A3DCE4D">
            <w:pPr>
              <w:widowControl/>
              <w:spacing w:line="260" w:lineRule="exact"/>
              <w:jc w:val="center"/>
              <w:rPr>
                <w:rFonts w:ascii="宋体" w:hAnsi="宋体" w:cs="宋体"/>
                <w:kern w:val="0"/>
                <w:sz w:val="18"/>
                <w:szCs w:val="18"/>
                <w:highlight w:val="none"/>
              </w:rPr>
            </w:pPr>
          </w:p>
        </w:tc>
        <w:tc>
          <w:tcPr>
            <w:tcW w:w="1017" w:type="dxa"/>
            <w:vAlign w:val="center"/>
          </w:tcPr>
          <w:p w14:paraId="77515857">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7.4.2污泥安全处置</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724" w:type="dxa"/>
            <w:shd w:val="clear" w:color="auto" w:fill="auto"/>
            <w:vAlign w:val="center"/>
          </w:tcPr>
          <w:p w14:paraId="4DEEE99F">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污泥实现减量化、资源化，安全处置率100%，1.0分。</w:t>
            </w:r>
          </w:p>
        </w:tc>
      </w:tr>
      <w:tr w14:paraId="6F93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41" w:type="dxa"/>
            <w:vMerge w:val="restart"/>
            <w:shd w:val="clear" w:color="auto" w:fill="auto"/>
            <w:vAlign w:val="center"/>
          </w:tcPr>
          <w:p w14:paraId="430C5226">
            <w:pPr>
              <w:widowControl/>
              <w:numPr>
                <w:ilvl w:val="0"/>
                <w:numId w:val="37"/>
              </w:numPr>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水厂智慧化</w:t>
            </w:r>
          </w:p>
          <w:p w14:paraId="0DBBE609">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（10.0分）</w:t>
            </w:r>
          </w:p>
        </w:tc>
        <w:tc>
          <w:tcPr>
            <w:tcW w:w="983" w:type="dxa"/>
            <w:vMerge w:val="restart"/>
            <w:shd w:val="clear" w:color="auto" w:fill="auto"/>
            <w:vAlign w:val="center"/>
          </w:tcPr>
          <w:p w14:paraId="1F2E8974">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8.1生产运营智慧化（8.0分）</w:t>
            </w:r>
          </w:p>
        </w:tc>
        <w:tc>
          <w:tcPr>
            <w:tcW w:w="1017" w:type="dxa"/>
            <w:shd w:val="clear" w:color="auto" w:fill="auto"/>
            <w:vAlign w:val="center"/>
          </w:tcPr>
          <w:p w14:paraId="53C3DBA7">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8.1.1智慧管控平台建设</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（2.0分）</w:t>
            </w:r>
          </w:p>
        </w:tc>
        <w:tc>
          <w:tcPr>
            <w:tcW w:w="4724" w:type="dxa"/>
            <w:shd w:val="clear" w:color="auto" w:fill="auto"/>
            <w:vAlign w:val="center"/>
          </w:tcPr>
          <w:p w14:paraId="0478CFE4">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运用物联网、大数据、人工智能、三维仿真技术等新技术，建立智慧管控平台，2.0分。</w:t>
            </w:r>
          </w:p>
        </w:tc>
      </w:tr>
      <w:tr w14:paraId="61B2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041" w:type="dxa"/>
            <w:vMerge w:val="continue"/>
            <w:vAlign w:val="center"/>
          </w:tcPr>
          <w:p w14:paraId="5BD8E30C">
            <w:pPr>
              <w:widowControl/>
              <w:spacing w:line="260" w:lineRule="exact"/>
              <w:jc w:val="center"/>
              <w:rPr>
                <w:rFonts w:ascii="宋体" w:hAnsi="宋体" w:cs="宋体"/>
                <w:kern w:val="0"/>
                <w:sz w:val="18"/>
                <w:szCs w:val="18"/>
                <w:highlight w:val="none"/>
              </w:rPr>
            </w:pPr>
          </w:p>
        </w:tc>
        <w:tc>
          <w:tcPr>
            <w:tcW w:w="983" w:type="dxa"/>
            <w:vMerge w:val="continue"/>
            <w:vAlign w:val="center"/>
          </w:tcPr>
          <w:p w14:paraId="6D81B9BE">
            <w:pPr>
              <w:widowControl/>
              <w:spacing w:line="260" w:lineRule="exact"/>
              <w:jc w:val="center"/>
              <w:rPr>
                <w:rFonts w:ascii="宋体" w:hAnsi="宋体" w:cs="宋体"/>
                <w:kern w:val="0"/>
                <w:sz w:val="18"/>
                <w:szCs w:val="18"/>
                <w:highlight w:val="none"/>
              </w:rPr>
            </w:pPr>
          </w:p>
        </w:tc>
        <w:tc>
          <w:tcPr>
            <w:tcW w:w="1017" w:type="dxa"/>
            <w:vAlign w:val="center"/>
          </w:tcPr>
          <w:p w14:paraId="642C5E01">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8.1.2智能化控制</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（2.0分）</w:t>
            </w:r>
          </w:p>
        </w:tc>
        <w:tc>
          <w:tcPr>
            <w:tcW w:w="4724" w:type="dxa"/>
            <w:shd w:val="clear" w:color="auto" w:fill="auto"/>
            <w:vAlign w:val="center"/>
          </w:tcPr>
          <w:p w14:paraId="37F2622E">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实现水处理工艺过程智能药剂投加、智能消毒、智能巡检、智能运维、智能调度等精准控制，2.0分。每缺1项功能扣0.4分，扣完为止。</w:t>
            </w:r>
          </w:p>
        </w:tc>
      </w:tr>
      <w:tr w14:paraId="0830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41" w:type="dxa"/>
            <w:vMerge w:val="continue"/>
            <w:vAlign w:val="center"/>
          </w:tcPr>
          <w:p w14:paraId="1E6F0119">
            <w:pPr>
              <w:widowControl/>
              <w:spacing w:line="260" w:lineRule="exact"/>
              <w:jc w:val="center"/>
              <w:rPr>
                <w:rFonts w:ascii="宋体" w:hAnsi="宋体" w:cs="宋体"/>
                <w:kern w:val="0"/>
                <w:sz w:val="18"/>
                <w:szCs w:val="18"/>
                <w:highlight w:val="none"/>
              </w:rPr>
            </w:pPr>
          </w:p>
        </w:tc>
        <w:tc>
          <w:tcPr>
            <w:tcW w:w="983" w:type="dxa"/>
            <w:vMerge w:val="continue"/>
            <w:vAlign w:val="center"/>
          </w:tcPr>
          <w:p w14:paraId="7171B0B2">
            <w:pPr>
              <w:widowControl/>
              <w:spacing w:line="260" w:lineRule="exact"/>
              <w:jc w:val="center"/>
              <w:rPr>
                <w:rFonts w:ascii="宋体" w:hAnsi="宋体" w:cs="宋体"/>
                <w:kern w:val="0"/>
                <w:sz w:val="18"/>
                <w:szCs w:val="18"/>
                <w:highlight w:val="none"/>
              </w:rPr>
            </w:pPr>
          </w:p>
        </w:tc>
        <w:tc>
          <w:tcPr>
            <w:tcW w:w="1017" w:type="dxa"/>
            <w:vAlign w:val="center"/>
          </w:tcPr>
          <w:p w14:paraId="63C15630">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8.1.3数字化管理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（2.0分）</w:t>
            </w:r>
          </w:p>
        </w:tc>
        <w:tc>
          <w:tcPr>
            <w:tcW w:w="4724" w:type="dxa"/>
            <w:shd w:val="clear" w:color="auto" w:fill="auto"/>
            <w:vAlign w:val="center"/>
          </w:tcPr>
          <w:p w14:paraId="4D7D212A">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实现水厂生产运行集中化监控、业务线上办理、工艺参数和运行工况等信息采集与可视化展现，2.0分。每缺1项功能扣0.5分，扣完为止。</w:t>
            </w:r>
          </w:p>
        </w:tc>
      </w:tr>
      <w:tr w14:paraId="6803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041" w:type="dxa"/>
            <w:vMerge w:val="continue"/>
            <w:vAlign w:val="center"/>
          </w:tcPr>
          <w:p w14:paraId="0287E2F7">
            <w:pPr>
              <w:widowControl/>
              <w:spacing w:line="260" w:lineRule="exact"/>
              <w:jc w:val="center"/>
              <w:rPr>
                <w:rFonts w:ascii="宋体" w:hAnsi="宋体" w:cs="宋体"/>
                <w:kern w:val="0"/>
                <w:sz w:val="18"/>
                <w:szCs w:val="18"/>
                <w:highlight w:val="none"/>
              </w:rPr>
            </w:pPr>
          </w:p>
        </w:tc>
        <w:tc>
          <w:tcPr>
            <w:tcW w:w="983" w:type="dxa"/>
            <w:vMerge w:val="continue"/>
            <w:vAlign w:val="center"/>
          </w:tcPr>
          <w:p w14:paraId="242FFBE0">
            <w:pPr>
              <w:widowControl/>
              <w:spacing w:line="260" w:lineRule="exact"/>
              <w:jc w:val="center"/>
              <w:rPr>
                <w:rFonts w:ascii="宋体" w:hAnsi="宋体" w:cs="宋体"/>
                <w:kern w:val="0"/>
                <w:sz w:val="18"/>
                <w:szCs w:val="18"/>
                <w:highlight w:val="none"/>
              </w:rPr>
            </w:pPr>
          </w:p>
        </w:tc>
        <w:tc>
          <w:tcPr>
            <w:tcW w:w="1017" w:type="dxa"/>
            <w:vAlign w:val="center"/>
          </w:tcPr>
          <w:p w14:paraId="5DCF6150">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8.1.4智慧化决策</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（2.0分）</w:t>
            </w:r>
          </w:p>
        </w:tc>
        <w:tc>
          <w:tcPr>
            <w:tcW w:w="4724" w:type="dxa"/>
            <w:shd w:val="clear" w:color="auto" w:fill="auto"/>
            <w:vAlign w:val="center"/>
          </w:tcPr>
          <w:p w14:paraId="10812F42">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建立计算机辅助决策支持系统，具备预警功能，配备应急预案库，提供应急处理决策支持，2.0分。每缺1项功能扣0.5分，扣完为止。</w:t>
            </w:r>
          </w:p>
        </w:tc>
      </w:tr>
      <w:tr w14:paraId="59D1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041" w:type="dxa"/>
            <w:vMerge w:val="continue"/>
            <w:vAlign w:val="center"/>
          </w:tcPr>
          <w:p w14:paraId="46C25F8F">
            <w:pPr>
              <w:widowControl/>
              <w:spacing w:line="260" w:lineRule="exact"/>
              <w:jc w:val="center"/>
              <w:rPr>
                <w:rFonts w:ascii="宋体" w:hAnsi="宋体" w:cs="宋体"/>
                <w:kern w:val="0"/>
                <w:sz w:val="18"/>
                <w:szCs w:val="18"/>
                <w:highlight w:val="none"/>
              </w:rPr>
            </w:pPr>
          </w:p>
        </w:tc>
        <w:tc>
          <w:tcPr>
            <w:tcW w:w="983" w:type="dxa"/>
            <w:vMerge w:val="restart"/>
            <w:shd w:val="clear" w:color="auto" w:fill="auto"/>
            <w:vAlign w:val="center"/>
          </w:tcPr>
          <w:p w14:paraId="54D60706">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8.2平台安全管理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（2.0分）</w:t>
            </w:r>
          </w:p>
        </w:tc>
        <w:tc>
          <w:tcPr>
            <w:tcW w:w="1017" w:type="dxa"/>
            <w:shd w:val="clear" w:color="auto" w:fill="auto"/>
            <w:vAlign w:val="center"/>
          </w:tcPr>
          <w:p w14:paraId="7B2C4B4C">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8.2.1安全等级</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724" w:type="dxa"/>
            <w:shd w:val="clear" w:color="auto" w:fill="auto"/>
            <w:vAlign w:val="center"/>
          </w:tcPr>
          <w:p w14:paraId="7A016A49">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智慧管控平台安全等级达到GB/T 22239相应等级要求，1.0分；</w:t>
            </w:r>
          </w:p>
          <w:p w14:paraId="6D543E08">
            <w:pPr>
              <w:widowControl/>
              <w:spacing w:line="260" w:lineRule="exact"/>
              <w:jc w:val="left"/>
              <w:rPr>
                <w:rFonts w:ascii="宋体" w:hAnsi="宋体" w:cs="宋体"/>
                <w:kern w:val="0"/>
                <w:sz w:val="18"/>
                <w:szCs w:val="18"/>
                <w:highlight w:val="none"/>
              </w:rPr>
            </w:pPr>
          </w:p>
        </w:tc>
      </w:tr>
      <w:tr w14:paraId="25FD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041" w:type="dxa"/>
            <w:vMerge w:val="continue"/>
            <w:vAlign w:val="center"/>
          </w:tcPr>
          <w:p w14:paraId="045A9186">
            <w:pPr>
              <w:widowControl/>
              <w:spacing w:line="260" w:lineRule="exact"/>
              <w:jc w:val="center"/>
              <w:rPr>
                <w:rFonts w:ascii="宋体" w:hAnsi="宋体" w:cs="宋体"/>
                <w:kern w:val="0"/>
                <w:sz w:val="18"/>
                <w:szCs w:val="18"/>
                <w:highlight w:val="none"/>
              </w:rPr>
            </w:pPr>
          </w:p>
        </w:tc>
        <w:tc>
          <w:tcPr>
            <w:tcW w:w="983" w:type="dxa"/>
            <w:vMerge w:val="continue"/>
            <w:shd w:val="clear" w:color="auto" w:fill="auto"/>
            <w:vAlign w:val="center"/>
          </w:tcPr>
          <w:p w14:paraId="08E74FF6">
            <w:pPr>
              <w:widowControl/>
              <w:spacing w:line="260" w:lineRule="exact"/>
              <w:jc w:val="center"/>
              <w:rPr>
                <w:rFonts w:ascii="宋体" w:hAnsi="宋体" w:cs="宋体"/>
                <w:kern w:val="0"/>
                <w:sz w:val="18"/>
                <w:szCs w:val="18"/>
                <w:highlight w:val="none"/>
              </w:rPr>
            </w:pPr>
          </w:p>
        </w:tc>
        <w:tc>
          <w:tcPr>
            <w:tcW w:w="1017" w:type="dxa"/>
            <w:shd w:val="clear" w:color="auto" w:fill="auto"/>
            <w:vAlign w:val="center"/>
          </w:tcPr>
          <w:p w14:paraId="78DD081C">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8.2.2平台维护管理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724" w:type="dxa"/>
            <w:shd w:val="clear" w:color="auto" w:fill="auto"/>
            <w:vAlign w:val="center"/>
          </w:tcPr>
          <w:p w14:paraId="14065230">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落实智慧管控平台运行维护资金，保障安全稳定运行，1.0分。</w:t>
            </w:r>
          </w:p>
        </w:tc>
      </w:tr>
      <w:tr w14:paraId="5A26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041" w:type="dxa"/>
            <w:vMerge w:val="restart"/>
            <w:shd w:val="clear" w:color="auto" w:fill="auto"/>
            <w:vAlign w:val="center"/>
          </w:tcPr>
          <w:p w14:paraId="6F9317A7">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9.水厂环境（2.0分）</w:t>
            </w:r>
          </w:p>
        </w:tc>
        <w:tc>
          <w:tcPr>
            <w:tcW w:w="983" w:type="dxa"/>
            <w:vMerge w:val="restart"/>
            <w:shd w:val="clear" w:color="auto" w:fill="auto"/>
            <w:vAlign w:val="center"/>
          </w:tcPr>
          <w:p w14:paraId="4ADFC202">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9.1环境绿化</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1017" w:type="dxa"/>
            <w:shd w:val="clear" w:color="auto" w:fill="auto"/>
            <w:vAlign w:val="center"/>
          </w:tcPr>
          <w:p w14:paraId="1F44ADB8">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9.1.1厂区环境</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（0.6分）</w:t>
            </w:r>
          </w:p>
        </w:tc>
        <w:tc>
          <w:tcPr>
            <w:tcW w:w="4724" w:type="dxa"/>
            <w:shd w:val="clear" w:color="auto" w:fill="auto"/>
            <w:vAlign w:val="center"/>
          </w:tcPr>
          <w:p w14:paraId="0027F24D">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厂区生态环境良好，0.6分。生产车间环境脏乱、物料等随意堆放，扣0.2分；生产车间有线路外露等安全隐患，扣0.2分；路面不平，有积油、积水、绊脚物，扣0.2分。</w:t>
            </w:r>
          </w:p>
        </w:tc>
      </w:tr>
      <w:tr w14:paraId="4C0A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041" w:type="dxa"/>
            <w:vMerge w:val="continue"/>
            <w:vAlign w:val="center"/>
          </w:tcPr>
          <w:p w14:paraId="6A3A9B7D">
            <w:pPr>
              <w:widowControl/>
              <w:spacing w:line="260" w:lineRule="exact"/>
              <w:jc w:val="center"/>
              <w:rPr>
                <w:rFonts w:ascii="宋体" w:hAnsi="宋体" w:cs="宋体"/>
                <w:kern w:val="0"/>
                <w:sz w:val="18"/>
                <w:szCs w:val="18"/>
                <w:highlight w:val="none"/>
              </w:rPr>
            </w:pPr>
          </w:p>
        </w:tc>
        <w:tc>
          <w:tcPr>
            <w:tcW w:w="983" w:type="dxa"/>
            <w:vMerge w:val="continue"/>
            <w:vAlign w:val="center"/>
          </w:tcPr>
          <w:p w14:paraId="20E89E31">
            <w:pPr>
              <w:widowControl/>
              <w:spacing w:line="260" w:lineRule="exact"/>
              <w:jc w:val="center"/>
              <w:rPr>
                <w:rFonts w:ascii="宋体" w:hAnsi="宋体" w:cs="宋体"/>
                <w:kern w:val="0"/>
                <w:sz w:val="18"/>
                <w:szCs w:val="18"/>
                <w:highlight w:val="none"/>
              </w:rPr>
            </w:pPr>
          </w:p>
        </w:tc>
        <w:tc>
          <w:tcPr>
            <w:tcW w:w="1017" w:type="dxa"/>
            <w:vAlign w:val="center"/>
          </w:tcPr>
          <w:p w14:paraId="00EC0C50">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9.1.2生态绿化</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（0.4分）</w:t>
            </w:r>
          </w:p>
        </w:tc>
        <w:tc>
          <w:tcPr>
            <w:tcW w:w="4724" w:type="dxa"/>
            <w:shd w:val="clear" w:color="auto" w:fill="auto"/>
            <w:vAlign w:val="center"/>
          </w:tcPr>
          <w:p w14:paraId="763DA899">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（1）专人负责厂区绿化养护，0.2分；</w:t>
            </w:r>
          </w:p>
          <w:p w14:paraId="262CB8A4">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（2）厂区内绿化率不低于设计值，0.2分。</w:t>
            </w:r>
          </w:p>
        </w:tc>
      </w:tr>
    </w:tbl>
    <w:p w14:paraId="07E4E3F5">
      <w:pPr>
        <w:keepNext w:val="0"/>
        <w:keepLines w:val="0"/>
        <w:pageBreakBefore w:val="0"/>
        <w:widowControl w:val="0"/>
        <w:kinsoku/>
        <w:wordWrap/>
        <w:overflowPunct/>
        <w:topLinePunct w:val="0"/>
        <w:autoSpaceDE/>
        <w:autoSpaceDN/>
        <w:bidi w:val="0"/>
        <w:adjustRightInd w:val="0"/>
        <w:snapToGrid/>
        <w:spacing w:before="157" w:beforeLines="50" w:after="157" w:afterLines="50"/>
        <w:jc w:val="center"/>
        <w:textAlignment w:val="auto"/>
        <w:rPr>
          <w:rFonts w:hint="eastAsia" w:ascii="黑体" w:hAnsi="黑体" w:eastAsia="黑体" w:cs="黑体"/>
          <w:b w:val="0"/>
          <w:bCs w:val="0"/>
          <w:highlight w:val="none"/>
        </w:rPr>
      </w:pPr>
      <w:r>
        <w:rPr>
          <w:rFonts w:hint="eastAsia" w:ascii="黑体" w:hAnsi="黑体" w:eastAsia="黑体" w:cs="黑体"/>
          <w:b w:val="0"/>
          <w:bCs w:val="0"/>
          <w:highlight w:val="none"/>
        </w:rPr>
        <w:t>表</w:t>
      </w:r>
      <w:r>
        <w:rPr>
          <w:rFonts w:hint="eastAsia" w:ascii="黑体" w:hAnsi="黑体" w:eastAsia="黑体" w:cs="黑体"/>
          <w:b w:val="0"/>
          <w:bCs w:val="0"/>
          <w:highlight w:val="none"/>
          <w:lang w:val="en-US" w:eastAsia="zh-CN"/>
        </w:rPr>
        <w:t>B</w:t>
      </w:r>
      <w:r>
        <w:rPr>
          <w:rFonts w:hint="eastAsia" w:ascii="黑体" w:hAnsi="黑体" w:eastAsia="黑体" w:cs="黑体"/>
          <w:b w:val="0"/>
          <w:bCs w:val="0"/>
          <w:highlight w:val="none"/>
        </w:rPr>
        <w:t>.1 城镇公共供水厂运行管理评价计分细则</w:t>
      </w:r>
      <w:r>
        <w:rPr>
          <w:rFonts w:hint="eastAsia" w:ascii="宋体" w:hAnsi="宋体" w:eastAsia="宋体" w:cs="宋体"/>
          <w:kern w:val="21"/>
          <w:sz w:val="21"/>
          <w:szCs w:val="20"/>
          <w:highlight w:val="none"/>
          <w:lang w:val="en-US" w:eastAsia="zh-CN" w:bidi="ar-SA"/>
        </w:rPr>
        <w:t>（续）</w:t>
      </w:r>
    </w:p>
    <w:tbl>
      <w:tblPr>
        <w:tblStyle w:val="30"/>
        <w:tblW w:w="40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983"/>
        <w:gridCol w:w="1017"/>
        <w:gridCol w:w="4663"/>
      </w:tblGrid>
      <w:tr w14:paraId="5EAD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041" w:type="dxa"/>
            <w:gridSpan w:val="3"/>
            <w:shd w:val="clear" w:color="auto" w:fill="auto"/>
            <w:vAlign w:val="center"/>
          </w:tcPr>
          <w:p w14:paraId="7AC1F158">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b/>
                <w:bCs/>
                <w:kern w:val="0"/>
                <w:sz w:val="18"/>
                <w:szCs w:val="18"/>
                <w:highlight w:val="none"/>
              </w:rPr>
              <w:t>评价内容</w:t>
            </w:r>
          </w:p>
        </w:tc>
        <w:tc>
          <w:tcPr>
            <w:tcW w:w="4663" w:type="dxa"/>
            <w:vMerge w:val="restart"/>
            <w:shd w:val="clear" w:color="auto" w:fill="auto"/>
            <w:vAlign w:val="center"/>
          </w:tcPr>
          <w:p w14:paraId="16F96304">
            <w:pPr>
              <w:widowControl/>
              <w:spacing w:line="260" w:lineRule="exact"/>
              <w:jc w:val="center"/>
              <w:rPr>
                <w:rFonts w:hint="eastAsia" w:ascii="宋体" w:hAnsi="宋体" w:cs="宋体"/>
                <w:kern w:val="0"/>
                <w:sz w:val="18"/>
                <w:szCs w:val="18"/>
                <w:highlight w:val="none"/>
              </w:rPr>
            </w:pPr>
            <w:r>
              <w:rPr>
                <w:rFonts w:hint="eastAsia" w:ascii="宋体" w:hAnsi="宋体" w:cs="宋体"/>
                <w:b/>
                <w:bCs/>
                <w:kern w:val="0"/>
                <w:sz w:val="18"/>
                <w:szCs w:val="18"/>
                <w:highlight w:val="none"/>
              </w:rPr>
              <w:t>评价方法</w:t>
            </w:r>
          </w:p>
        </w:tc>
      </w:tr>
      <w:tr w14:paraId="381F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41" w:type="dxa"/>
            <w:shd w:val="clear" w:color="auto" w:fill="auto"/>
            <w:vAlign w:val="center"/>
          </w:tcPr>
          <w:p w14:paraId="15EAD456">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一级指标</w:t>
            </w:r>
          </w:p>
        </w:tc>
        <w:tc>
          <w:tcPr>
            <w:tcW w:w="983" w:type="dxa"/>
            <w:shd w:val="clear" w:color="auto" w:fill="auto"/>
            <w:vAlign w:val="center"/>
          </w:tcPr>
          <w:p w14:paraId="45791C3D">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二级指标</w:t>
            </w:r>
          </w:p>
        </w:tc>
        <w:tc>
          <w:tcPr>
            <w:tcW w:w="1017" w:type="dxa"/>
            <w:shd w:val="clear" w:color="auto" w:fill="auto"/>
            <w:vAlign w:val="center"/>
          </w:tcPr>
          <w:p w14:paraId="4969CB03">
            <w:pPr>
              <w:widowControl/>
              <w:spacing w:line="260" w:lineRule="exact"/>
              <w:jc w:val="center"/>
              <w:rPr>
                <w:rFonts w:hint="eastAsia"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三级指标</w:t>
            </w:r>
          </w:p>
        </w:tc>
        <w:tc>
          <w:tcPr>
            <w:tcW w:w="4663" w:type="dxa"/>
            <w:vMerge w:val="continue"/>
            <w:shd w:val="clear" w:color="auto" w:fill="auto"/>
            <w:vAlign w:val="center"/>
          </w:tcPr>
          <w:p w14:paraId="2BAC8235">
            <w:pPr>
              <w:widowControl/>
              <w:spacing w:line="260" w:lineRule="exact"/>
              <w:jc w:val="left"/>
              <w:rPr>
                <w:rFonts w:hint="eastAsia" w:ascii="宋体" w:hAnsi="宋体" w:cs="宋体"/>
                <w:kern w:val="0"/>
                <w:sz w:val="18"/>
                <w:szCs w:val="18"/>
                <w:highlight w:val="none"/>
              </w:rPr>
            </w:pPr>
          </w:p>
        </w:tc>
      </w:tr>
      <w:tr w14:paraId="5406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041" w:type="dxa"/>
            <w:vMerge w:val="restart"/>
            <w:vAlign w:val="center"/>
          </w:tcPr>
          <w:p w14:paraId="1E6BF783">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9.水厂环境（2.0分）</w:t>
            </w:r>
          </w:p>
        </w:tc>
        <w:tc>
          <w:tcPr>
            <w:tcW w:w="983" w:type="dxa"/>
            <w:vMerge w:val="restart"/>
            <w:vAlign w:val="center"/>
          </w:tcPr>
          <w:p w14:paraId="4176E61C">
            <w:pPr>
              <w:widowControl/>
              <w:spacing w:line="260" w:lineRule="exact"/>
              <w:jc w:val="center"/>
              <w:rPr>
                <w:rFonts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rPr>
              <w:t>9.2标识标牌</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1017" w:type="dxa"/>
            <w:vAlign w:val="center"/>
          </w:tcPr>
          <w:p w14:paraId="70A53784">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rPr>
              <w:t>9.2.1标识标牌设置</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（0.5分）</w:t>
            </w:r>
          </w:p>
        </w:tc>
        <w:tc>
          <w:tcPr>
            <w:tcW w:w="4663" w:type="dxa"/>
            <w:shd w:val="clear" w:color="auto" w:fill="auto"/>
            <w:vAlign w:val="center"/>
          </w:tcPr>
          <w:p w14:paraId="4866D97D">
            <w:pPr>
              <w:widowControl/>
              <w:spacing w:line="260" w:lineRule="exact"/>
              <w:jc w:val="left"/>
              <w:rPr>
                <w:rFonts w:hint="eastAsia"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rPr>
              <w:t>设立警告类、禁止类、指令类、提示类等各类标识标牌，0.5分。每缺1类扣0.1分，扣完为止；</w:t>
            </w:r>
            <w:r>
              <w:rPr>
                <w:rFonts w:hint="eastAsia" w:ascii="宋体" w:hAnsi="宋体" w:cs="宋体"/>
                <w:kern w:val="0"/>
                <w:sz w:val="18"/>
                <w:szCs w:val="18"/>
                <w:highlight w:val="none"/>
              </w:rPr>
              <w:br w:type="textWrapping"/>
            </w:r>
          </w:p>
        </w:tc>
      </w:tr>
      <w:tr w14:paraId="75E2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041" w:type="dxa"/>
            <w:vMerge w:val="continue"/>
            <w:vAlign w:val="center"/>
          </w:tcPr>
          <w:p w14:paraId="200D822F">
            <w:pPr>
              <w:widowControl/>
              <w:spacing w:line="260" w:lineRule="exact"/>
              <w:jc w:val="center"/>
              <w:rPr>
                <w:rFonts w:ascii="宋体" w:hAnsi="宋体" w:cs="宋体"/>
                <w:kern w:val="0"/>
                <w:sz w:val="18"/>
                <w:szCs w:val="18"/>
                <w:highlight w:val="none"/>
              </w:rPr>
            </w:pPr>
          </w:p>
        </w:tc>
        <w:tc>
          <w:tcPr>
            <w:tcW w:w="983" w:type="dxa"/>
            <w:vMerge w:val="continue"/>
            <w:vAlign w:val="center"/>
          </w:tcPr>
          <w:p w14:paraId="1A1BBBB1">
            <w:pPr>
              <w:widowControl/>
              <w:spacing w:line="260" w:lineRule="exact"/>
              <w:jc w:val="center"/>
              <w:rPr>
                <w:rFonts w:ascii="宋体" w:hAnsi="宋体" w:cs="宋体"/>
                <w:kern w:val="0"/>
                <w:sz w:val="18"/>
                <w:szCs w:val="18"/>
                <w:highlight w:val="none"/>
              </w:rPr>
            </w:pPr>
          </w:p>
        </w:tc>
        <w:tc>
          <w:tcPr>
            <w:tcW w:w="1017" w:type="dxa"/>
            <w:vAlign w:val="center"/>
          </w:tcPr>
          <w:p w14:paraId="11DB91A9">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9.2.2标识标牌规范管理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（0.5分）</w:t>
            </w:r>
          </w:p>
        </w:tc>
        <w:tc>
          <w:tcPr>
            <w:tcW w:w="4663" w:type="dxa"/>
            <w:shd w:val="clear" w:color="auto" w:fill="auto"/>
            <w:vAlign w:val="center"/>
          </w:tcPr>
          <w:p w14:paraId="595FF2AD">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各类标识标牌规范统一，符合GB 2894要求，0.5分。有1个不符合要求，扣0.1分，扣完为止。</w:t>
            </w:r>
          </w:p>
        </w:tc>
      </w:tr>
    </w:tbl>
    <w:p w14:paraId="211FE940">
      <w:pPr>
        <w:pStyle w:val="61"/>
        <w:ind w:firstLine="0" w:firstLineChars="0"/>
        <w:rPr>
          <w:highlight w:val="none"/>
        </w:rPr>
        <w:sectPr>
          <w:pgSz w:w="11906" w:h="16838"/>
          <w:pgMar w:top="1928" w:right="1134" w:bottom="1134" w:left="1134" w:header="1418" w:footer="1134" w:gutter="284"/>
          <w:cols w:space="425" w:num="1"/>
          <w:formProt w:val="0"/>
          <w:docGrid w:type="lines" w:linePitch="312" w:charSpace="0"/>
        </w:sectPr>
      </w:pPr>
    </w:p>
    <w:p w14:paraId="30204041">
      <w:pPr>
        <w:pStyle w:val="61"/>
        <w:ind w:firstLine="0" w:firstLineChars="0"/>
        <w:rPr>
          <w:highlight w:val="none"/>
        </w:rPr>
      </w:pPr>
    </w:p>
    <w:p w14:paraId="3FBA0F4D">
      <w:pPr>
        <w:pStyle w:val="182"/>
        <w:spacing w:before="312" w:beforeLines="100" w:after="686" w:afterLines="220"/>
        <w:rPr>
          <w:highlight w:val="none"/>
        </w:rPr>
      </w:pPr>
      <w:r>
        <w:rPr>
          <w:rFonts w:hint="eastAsia"/>
          <w:highlight w:val="none"/>
        </w:rPr>
        <w:t xml:space="preserve">  参考文献</w:t>
      </w:r>
    </w:p>
    <w:p w14:paraId="03302209">
      <w:pPr>
        <w:pStyle w:val="235"/>
        <w:spacing w:line="279" w:lineRule="auto"/>
        <w:rPr>
          <w:highlight w:val="none"/>
        </w:rPr>
      </w:pPr>
      <w:r>
        <w:rPr>
          <w:rFonts w:hint="eastAsia"/>
          <w:highlight w:val="none"/>
        </w:rPr>
        <w:t>[</w:t>
      </w:r>
      <w:r>
        <w:rPr>
          <w:rFonts w:hint="eastAsia"/>
          <w:highlight w:val="none"/>
          <w:lang w:eastAsia="zh-CN"/>
        </w:rPr>
        <w:t>1</w:t>
      </w:r>
      <w:r>
        <w:rPr>
          <w:rFonts w:hint="eastAsia"/>
          <w:highlight w:val="none"/>
        </w:rPr>
        <w:t>] GB/T 22240-2020 信息安全技术 网络安全等级保护定级指南</w:t>
      </w:r>
    </w:p>
    <w:p w14:paraId="0257401F">
      <w:pPr>
        <w:pStyle w:val="235"/>
        <w:spacing w:line="279" w:lineRule="auto"/>
        <w:rPr>
          <w:highlight w:val="none"/>
        </w:rPr>
      </w:pPr>
      <w:r>
        <w:rPr>
          <w:rFonts w:hint="eastAsia"/>
          <w:highlight w:val="none"/>
        </w:rPr>
        <w:t>[</w:t>
      </w:r>
      <w:r>
        <w:rPr>
          <w:rFonts w:hint="eastAsia"/>
          <w:highlight w:val="none"/>
          <w:lang w:eastAsia="zh-CN"/>
        </w:rPr>
        <w:t>2</w:t>
      </w:r>
      <w:r>
        <w:rPr>
          <w:rFonts w:hint="eastAsia"/>
          <w:highlight w:val="none"/>
        </w:rPr>
        <w:t>] GB 50013-2018 室外给水设计标准</w:t>
      </w:r>
    </w:p>
    <w:p w14:paraId="488FDC80">
      <w:pPr>
        <w:pStyle w:val="235"/>
        <w:spacing w:line="279" w:lineRule="auto"/>
        <w:rPr>
          <w:highlight w:val="none"/>
        </w:rPr>
      </w:pPr>
      <w:r>
        <w:rPr>
          <w:rFonts w:hint="eastAsia"/>
          <w:highlight w:val="none"/>
        </w:rPr>
        <w:t>[</w:t>
      </w:r>
      <w:r>
        <w:rPr>
          <w:rFonts w:hint="eastAsia"/>
          <w:highlight w:val="none"/>
          <w:lang w:eastAsia="zh-CN"/>
        </w:rPr>
        <w:t>3</w:t>
      </w:r>
      <w:r>
        <w:rPr>
          <w:rFonts w:hint="eastAsia"/>
          <w:highlight w:val="none"/>
        </w:rPr>
        <w:t>] GB 50348-2018 安全防范工程技术标准</w:t>
      </w:r>
    </w:p>
    <w:p w14:paraId="4B37CB9E">
      <w:pPr>
        <w:pStyle w:val="235"/>
        <w:spacing w:line="279" w:lineRule="auto"/>
        <w:rPr>
          <w:highlight w:val="none"/>
        </w:rPr>
      </w:pPr>
      <w:r>
        <w:rPr>
          <w:rFonts w:hint="eastAsia"/>
          <w:highlight w:val="none"/>
        </w:rPr>
        <w:t>[</w:t>
      </w:r>
      <w:r>
        <w:rPr>
          <w:rFonts w:hint="eastAsia"/>
          <w:highlight w:val="none"/>
          <w:lang w:eastAsia="zh-CN"/>
        </w:rPr>
        <w:t>4</w:t>
      </w:r>
      <w:r>
        <w:rPr>
          <w:rFonts w:hint="eastAsia"/>
          <w:highlight w:val="none"/>
        </w:rPr>
        <w:t>] GB 55026-2022 城市给水工程项目规范</w:t>
      </w:r>
    </w:p>
    <w:p w14:paraId="7A138C1A">
      <w:pPr>
        <w:pStyle w:val="235"/>
        <w:spacing w:line="279" w:lineRule="auto"/>
        <w:rPr>
          <w:highlight w:val="none"/>
        </w:rPr>
      </w:pPr>
      <w:r>
        <w:rPr>
          <w:rFonts w:hint="eastAsia"/>
          <w:highlight w:val="none"/>
        </w:rPr>
        <w:t>[</w:t>
      </w:r>
      <w:r>
        <w:rPr>
          <w:rFonts w:hint="eastAsia"/>
          <w:highlight w:val="none"/>
          <w:lang w:eastAsia="zh-CN"/>
        </w:rPr>
        <w:t>5</w:t>
      </w:r>
      <w:r>
        <w:rPr>
          <w:rFonts w:hint="eastAsia"/>
          <w:highlight w:val="none"/>
        </w:rPr>
        <w:t>] DB11/T 1322.2-2017 安全生产等级评定技术规范 第2部分：安全生产通用要求</w:t>
      </w:r>
    </w:p>
    <w:p w14:paraId="19BBEB53">
      <w:pPr>
        <w:pStyle w:val="235"/>
        <w:spacing w:line="279" w:lineRule="auto"/>
        <w:rPr>
          <w:highlight w:val="none"/>
        </w:rPr>
      </w:pPr>
      <w:r>
        <w:rPr>
          <w:rFonts w:hint="eastAsia"/>
          <w:highlight w:val="none"/>
        </w:rPr>
        <w:t>[</w:t>
      </w:r>
      <w:r>
        <w:rPr>
          <w:rFonts w:hint="eastAsia"/>
          <w:highlight w:val="none"/>
          <w:lang w:eastAsia="zh-CN"/>
        </w:rPr>
        <w:t>6</w:t>
      </w:r>
      <w:r>
        <w:rPr>
          <w:rFonts w:hint="eastAsia"/>
          <w:highlight w:val="none"/>
        </w:rPr>
        <w:t>] DB11/T 1322.64-2019 安全生产等级评定技术规范 第64部分：城镇供水厂</w:t>
      </w:r>
    </w:p>
    <w:p w14:paraId="09BC170E">
      <w:pPr>
        <w:pStyle w:val="235"/>
        <w:spacing w:line="279" w:lineRule="auto"/>
        <w:rPr>
          <w:highlight w:val="none"/>
        </w:rPr>
      </w:pPr>
      <w:r>
        <w:rPr>
          <w:rFonts w:hint="eastAsia"/>
          <w:highlight w:val="none"/>
        </w:rPr>
        <w:t>[</w:t>
      </w:r>
      <w:r>
        <w:rPr>
          <w:rFonts w:hint="eastAsia"/>
          <w:highlight w:val="none"/>
          <w:lang w:eastAsia="zh-CN"/>
        </w:rPr>
        <w:t>7</w:t>
      </w:r>
      <w:r>
        <w:rPr>
          <w:rFonts w:hint="eastAsia"/>
          <w:highlight w:val="none"/>
        </w:rPr>
        <w:t>] DB32/T 3701-2019 江苏省城市自来水厂关键水质指标控制标准</w:t>
      </w:r>
    </w:p>
    <w:p w14:paraId="62CD6F3D">
      <w:pPr>
        <w:pStyle w:val="235"/>
        <w:spacing w:line="279" w:lineRule="auto"/>
        <w:rPr>
          <w:highlight w:val="none"/>
        </w:rPr>
      </w:pPr>
      <w:r>
        <w:rPr>
          <w:highlight w:val="none"/>
        </w:rPr>
        <w:t>[</w:t>
      </w:r>
      <w:r>
        <w:rPr>
          <w:rFonts w:hint="eastAsia"/>
          <w:highlight w:val="none"/>
          <w:lang w:val="en-US" w:eastAsia="zh-CN"/>
        </w:rPr>
        <w:t>8</w:t>
      </w:r>
      <w:r>
        <w:rPr>
          <w:highlight w:val="none"/>
        </w:rPr>
        <w:t>]</w:t>
      </w:r>
      <w:r>
        <w:rPr>
          <w:rFonts w:hint="eastAsia"/>
          <w:highlight w:val="none"/>
        </w:rPr>
        <w:t xml:space="preserve"> 北京市人民代表大会常务委员会.北京市生活饮用水卫生监督管理条例[Z].2016</w:t>
      </w:r>
    </w:p>
    <w:p w14:paraId="7B7839A9">
      <w:pPr>
        <w:pStyle w:val="235"/>
        <w:spacing w:line="279" w:lineRule="auto"/>
        <w:rPr>
          <w:highlight w:val="none"/>
        </w:rPr>
      </w:pPr>
      <w:r>
        <w:rPr>
          <w:highlight w:val="none"/>
        </w:rPr>
        <w:t>[</w:t>
      </w:r>
      <w:r>
        <w:rPr>
          <w:rFonts w:hint="eastAsia"/>
          <w:highlight w:val="none"/>
          <w:lang w:val="en-US" w:eastAsia="zh-CN"/>
        </w:rPr>
        <w:t>9</w:t>
      </w:r>
      <w:r>
        <w:rPr>
          <w:highlight w:val="none"/>
        </w:rPr>
        <w:t>]</w:t>
      </w:r>
      <w:r>
        <w:rPr>
          <w:rFonts w:hint="eastAsia"/>
          <w:highlight w:val="none"/>
        </w:rPr>
        <w:t xml:space="preserve"> 住房城乡建设部.国家卫生和计划生育委员会.生活饮用水卫生监督管理办法</w:t>
      </w:r>
      <w:r>
        <w:rPr>
          <w:highlight w:val="none"/>
        </w:rPr>
        <w:t>[Z].2016</w:t>
      </w:r>
    </w:p>
    <w:p w14:paraId="670102BB">
      <w:pPr>
        <w:pStyle w:val="235"/>
        <w:spacing w:line="279" w:lineRule="auto"/>
        <w:rPr>
          <w:highlight w:val="none"/>
        </w:rPr>
      </w:pPr>
      <w:r>
        <w:rPr>
          <w:rFonts w:hint="eastAsia"/>
          <w:highlight w:val="none"/>
        </w:rPr>
        <w:t>[</w:t>
      </w:r>
      <w:r>
        <w:rPr>
          <w:rFonts w:hint="eastAsia"/>
          <w:highlight w:val="none"/>
          <w:lang w:val="en-US" w:eastAsia="zh-CN"/>
        </w:rPr>
        <w:t>10</w:t>
      </w:r>
      <w:r>
        <w:rPr>
          <w:highlight w:val="none"/>
        </w:rPr>
        <w:t>]</w:t>
      </w:r>
      <w:r>
        <w:rPr>
          <w:rFonts w:hint="eastAsia"/>
          <w:highlight w:val="none"/>
        </w:rPr>
        <w:t xml:space="preserve"> 北京市人民代表大会常务委员会.北京市安全生产条例[Z].2022</w:t>
      </w:r>
    </w:p>
    <w:p w14:paraId="5D823FD4">
      <w:pPr>
        <w:pStyle w:val="235"/>
        <w:spacing w:line="279" w:lineRule="auto"/>
        <w:rPr>
          <w:highlight w:val="none"/>
        </w:rPr>
      </w:pPr>
      <w:r>
        <w:rPr>
          <w:highlight w:val="none"/>
        </w:rPr>
        <w:t>[</w:t>
      </w:r>
      <w:r>
        <w:rPr>
          <w:rFonts w:hint="eastAsia"/>
          <w:highlight w:val="none"/>
          <w:lang w:val="en-US" w:eastAsia="zh-CN"/>
        </w:rPr>
        <w:t>11</w:t>
      </w:r>
      <w:r>
        <w:rPr>
          <w:highlight w:val="none"/>
        </w:rPr>
        <w:t>]</w:t>
      </w:r>
      <w:r>
        <w:rPr>
          <w:rFonts w:hint="eastAsia"/>
          <w:highlight w:val="none"/>
        </w:rPr>
        <w:t xml:space="preserve"> 北京市人民代表大会常务委员会.</w:t>
      </w:r>
      <w:r>
        <w:rPr>
          <w:highlight w:val="none"/>
        </w:rPr>
        <w:t>北京市节水条例</w:t>
      </w:r>
      <w:r>
        <w:rPr>
          <w:rFonts w:hint="eastAsia"/>
          <w:highlight w:val="none"/>
        </w:rPr>
        <w:t>[Z].2023</w:t>
      </w:r>
    </w:p>
    <w:p w14:paraId="4AC1AB63">
      <w:pPr>
        <w:pStyle w:val="235"/>
        <w:spacing w:line="279" w:lineRule="auto"/>
        <w:rPr>
          <w:highlight w:val="none"/>
        </w:rPr>
      </w:pPr>
      <w:r>
        <w:rPr>
          <w:rFonts w:hint="eastAsia"/>
          <w:highlight w:val="none"/>
        </w:rPr>
        <w:t>[</w:t>
      </w:r>
      <w:r>
        <w:rPr>
          <w:rFonts w:hint="eastAsia"/>
          <w:highlight w:val="none"/>
          <w:lang w:val="en-US" w:eastAsia="zh-CN"/>
        </w:rPr>
        <w:t>12</w:t>
      </w:r>
      <w:r>
        <w:rPr>
          <w:highlight w:val="none"/>
        </w:rPr>
        <w:t>]</w:t>
      </w:r>
      <w:r>
        <w:rPr>
          <w:rFonts w:hint="eastAsia"/>
          <w:highlight w:val="none"/>
        </w:rPr>
        <w:t xml:space="preserve"> 北京市应急管理局.北京市生产经营单位安全生产主体责任规定—工作指南[A].2023</w:t>
      </w:r>
    </w:p>
    <w:p w14:paraId="2D6CB55A">
      <w:pPr>
        <w:pStyle w:val="61"/>
        <w:ind w:firstLine="0" w:firstLineChars="0"/>
        <w:rPr>
          <w:highlight w:val="none"/>
        </w:rPr>
      </w:pPr>
    </w:p>
    <w:p w14:paraId="10D1466D">
      <w:pPr>
        <w:pStyle w:val="61"/>
        <w:ind w:firstLine="0" w:firstLineChars="0"/>
        <w:rPr>
          <w:highlight w:val="none"/>
        </w:rPr>
      </w:pPr>
    </w:p>
    <w:p w14:paraId="3DD8B76D">
      <w:pPr>
        <w:pStyle w:val="61"/>
        <w:ind w:firstLine="0" w:firstLineChars="0"/>
        <w:rPr>
          <w:highlight w:val="none"/>
        </w:rPr>
      </w:pPr>
    </w:p>
    <w:p w14:paraId="503F04D6">
      <w:pPr>
        <w:pStyle w:val="61"/>
        <w:ind w:firstLine="0" w:firstLineChars="0"/>
        <w:jc w:val="center"/>
        <w:rPr>
          <w:highlight w:val="none"/>
        </w:rPr>
      </w:pPr>
      <w:r>
        <w:rPr>
          <w:rFonts w:ascii="Calibri" w:hAnsi="Calibri"/>
          <w:kern w:val="2"/>
          <w:szCs w:val="21"/>
          <w:highlight w:val="none"/>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4EAFF">
    <w:pPr>
      <w:pStyle w:val="19"/>
    </w:pPr>
    <w:r>
      <w:fldChar w:fldCharType="begin"/>
    </w:r>
    <w:r>
      <w:instrText xml:space="preserve">PAGE   \* MERGEFORMAT</w:instrText>
    </w:r>
    <w:r>
      <w:fldChar w:fldCharType="separate"/>
    </w:r>
    <w:r>
      <w:rPr>
        <w:lang w:val="zh-CN"/>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35A12">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7B67">
    <w:pPr>
      <w:pStyle w:val="57"/>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02912">
    <w:pPr>
      <w:pStyle w:val="57"/>
    </w:pPr>
    <w:r>
      <w:fldChar w:fldCharType="begin"/>
    </w:r>
    <w:r>
      <w:instrText xml:space="preserve">PAGE   \* MERGEFORMAT</w:instrText>
    </w:r>
    <w:r>
      <w:fldChar w:fldCharType="separate"/>
    </w:r>
    <w:r>
      <w:rPr>
        <w:lang w:val="zh-CN"/>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E438">
    <w:pPr>
      <w:pStyle w:val="57"/>
    </w:pPr>
    <w:r>
      <w:fldChar w:fldCharType="begin"/>
    </w:r>
    <w:r>
      <w:instrText xml:space="preserve">PAGE   \* MERGEFORMAT</w:instrText>
    </w:r>
    <w:r>
      <w:fldChar w:fldCharType="separate"/>
    </w:r>
    <w:r>
      <w:rPr>
        <w:lang w:val="zh-CN"/>
      </w:rPr>
      <w:t>22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B1298">
    <w:pPr>
      <w:pStyle w:val="19"/>
    </w:pPr>
    <w:r>
      <w:fldChar w:fldCharType="begin"/>
    </w:r>
    <w:r>
      <w:instrText xml:space="preserve">PAGE   \* MERGEFORMAT</w:instrText>
    </w:r>
    <w:r>
      <w:fldChar w:fldCharType="separate"/>
    </w:r>
    <w:r>
      <w:rPr>
        <w:lang w:val="zh-CN"/>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57BCC">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88883">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42BED">
    <w:pPr>
      <w:pStyle w:val="66"/>
    </w:pPr>
    <w:r>
      <w:fldChar w:fldCharType="begin"/>
    </w:r>
    <w:r>
      <w:instrText xml:space="preserve"> STYLEREF  标准文件_文件编号  \* MERGEFORMAT </w:instrText>
    </w:r>
    <w:r>
      <w:fldChar w:fldCharType="separate"/>
    </w:r>
    <w:r>
      <w:t>DB11/T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203C4">
    <w:pPr>
      <w:pStyle w:val="20"/>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DB11/T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8F48">
    <w:pPr>
      <w:pStyle w:val="66"/>
    </w:pPr>
    <w:r>
      <w:fldChar w:fldCharType="begin"/>
    </w:r>
    <w:r>
      <w:instrText xml:space="preserve"> STYLEREF  标准文件_文件编号  \* MERGEFORMAT </w:instrText>
    </w:r>
    <w:r>
      <w:fldChar w:fldCharType="separate"/>
    </w:r>
    <w:r>
      <w:t>DB11/T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42F2F">
    <w:pPr>
      <w:pStyle w:val="66"/>
    </w:pPr>
    <w:r>
      <w:fldChar w:fldCharType="begin"/>
    </w:r>
    <w:r>
      <w:instrText xml:space="preserve"> STYLEREF  标准文件_文件编号  \* MERGEFORMAT </w:instrText>
    </w:r>
    <w:r>
      <w:fldChar w:fldCharType="separate"/>
    </w:r>
    <w:r>
      <w:t>DB11/T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A703B">
    <w:pPr>
      <w:pStyle w:val="20"/>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DB11/T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A7074"/>
    <w:multiLevelType w:val="singleLevel"/>
    <w:tmpl w:val="B76A7074"/>
    <w:lvl w:ilvl="0" w:tentative="0">
      <w:start w:val="1"/>
      <w:numFmt w:val="decimal"/>
      <w:suff w:val="nothing"/>
      <w:lvlText w:val="（%1）"/>
      <w:lvlJc w:val="left"/>
    </w:lvl>
  </w:abstractNum>
  <w:abstractNum w:abstractNumId="1">
    <w:nsid w:val="B7BF2BED"/>
    <w:multiLevelType w:val="singleLevel"/>
    <w:tmpl w:val="B7BF2BED"/>
    <w:lvl w:ilvl="0" w:tentative="0">
      <w:start w:val="1"/>
      <w:numFmt w:val="decimal"/>
      <w:suff w:val="nothing"/>
      <w:lvlText w:val="（%1）"/>
      <w:lvlJc w:val="left"/>
    </w:lvl>
  </w:abstractNum>
  <w:abstractNum w:abstractNumId="2">
    <w:nsid w:val="D1DF59DF"/>
    <w:multiLevelType w:val="singleLevel"/>
    <w:tmpl w:val="D1DF59DF"/>
    <w:lvl w:ilvl="0" w:tentative="0">
      <w:start w:val="1"/>
      <w:numFmt w:val="decimal"/>
      <w:suff w:val="nothing"/>
      <w:lvlText w:val="（%1）"/>
      <w:lvlJc w:val="left"/>
    </w:lvl>
  </w:abstractNum>
  <w:abstractNum w:abstractNumId="3">
    <w:nsid w:val="DFFF4A05"/>
    <w:multiLevelType w:val="singleLevel"/>
    <w:tmpl w:val="DFFF4A05"/>
    <w:lvl w:ilvl="0" w:tentative="0">
      <w:start w:val="8"/>
      <w:numFmt w:val="decimal"/>
      <w:lvlText w:val="%1."/>
      <w:lvlJc w:val="left"/>
      <w:pPr>
        <w:tabs>
          <w:tab w:val="left" w:pos="312"/>
        </w:tabs>
      </w:pPr>
    </w:lvl>
  </w:abstractNum>
  <w:abstractNum w:abstractNumId="4">
    <w:nsid w:val="EBD7A493"/>
    <w:multiLevelType w:val="singleLevel"/>
    <w:tmpl w:val="EBD7A493"/>
    <w:lvl w:ilvl="0" w:tentative="0">
      <w:start w:val="1"/>
      <w:numFmt w:val="decimal"/>
      <w:suff w:val="nothing"/>
      <w:lvlText w:val="（%1）"/>
      <w:lvlJc w:val="left"/>
    </w:lvl>
  </w:abstractNum>
  <w:abstractNum w:abstractNumId="5">
    <w:nsid w:val="FACDAE84"/>
    <w:multiLevelType w:val="singleLevel"/>
    <w:tmpl w:val="FACDAE84"/>
    <w:lvl w:ilvl="0" w:tentative="0">
      <w:start w:val="1"/>
      <w:numFmt w:val="decimal"/>
      <w:suff w:val="nothing"/>
      <w:lvlText w:val="（%1）"/>
      <w:lvlJc w:val="left"/>
    </w:lvl>
  </w:abstractNum>
  <w:abstractNum w:abstractNumId="6">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7">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9">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1">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3">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6">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8">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0">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1">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3">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4">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44622F9"/>
    <w:multiLevelType w:val="multilevel"/>
    <w:tmpl w:val="644622F9"/>
    <w:lvl w:ilvl="0" w:tentative="0">
      <w:start w:val="1"/>
      <w:numFmt w:val="upperRoman"/>
      <w:pStyle w:val="237"/>
      <w:lvlText w:val="%1)"/>
      <w:lvlJc w:val="left"/>
      <w:pPr>
        <w:tabs>
          <w:tab w:val="left" w:pos="851"/>
        </w:tabs>
        <w:ind w:left="851" w:hanging="426"/>
      </w:pPr>
      <w:rPr>
        <w:rFonts w:hint="eastAsia" w:ascii="宋体" w:hAnsi="Times New Roman" w:eastAsia="宋体"/>
        <w:sz w:val="21"/>
      </w:rPr>
    </w:lvl>
    <w:lvl w:ilvl="1" w:tentative="0">
      <w:start w:val="1"/>
      <w:numFmt w:val="lowerLetter"/>
      <w:pStyle w:val="238"/>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7">
    <w:nsid w:val="646260FA"/>
    <w:multiLevelType w:val="multilevel"/>
    <w:tmpl w:val="646260FA"/>
    <w:lvl w:ilvl="0" w:tentative="0">
      <w:start w:val="1"/>
      <w:numFmt w:val="decimal"/>
      <w:pStyle w:val="24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8">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9">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1">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426"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6DBF04F4"/>
    <w:multiLevelType w:val="multilevel"/>
    <w:tmpl w:val="6DBF04F4"/>
    <w:lvl w:ilvl="0" w:tentative="0">
      <w:start w:val="1"/>
      <w:numFmt w:val="none"/>
      <w:pStyle w:val="184"/>
      <w:lvlText w:val="%1注："/>
      <w:lvlJc w:val="left"/>
      <w:pPr>
        <w:ind w:left="800"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5">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33"/>
  </w:num>
  <w:num w:numId="3">
    <w:abstractNumId w:val="11"/>
  </w:num>
  <w:num w:numId="4">
    <w:abstractNumId w:val="29"/>
  </w:num>
  <w:num w:numId="5">
    <w:abstractNumId w:val="24"/>
  </w:num>
  <w:num w:numId="6">
    <w:abstractNumId w:val="19"/>
  </w:num>
  <w:num w:numId="7">
    <w:abstractNumId w:val="14"/>
  </w:num>
  <w:num w:numId="8">
    <w:abstractNumId w:val="9"/>
  </w:num>
  <w:num w:numId="9">
    <w:abstractNumId w:val="15"/>
  </w:num>
  <w:num w:numId="10">
    <w:abstractNumId w:val="22"/>
  </w:num>
  <w:num w:numId="11">
    <w:abstractNumId w:val="31"/>
  </w:num>
  <w:num w:numId="12">
    <w:abstractNumId w:val="17"/>
  </w:num>
  <w:num w:numId="13">
    <w:abstractNumId w:val="18"/>
  </w:num>
  <w:num w:numId="14">
    <w:abstractNumId w:val="13"/>
  </w:num>
  <w:num w:numId="15">
    <w:abstractNumId w:val="25"/>
  </w:num>
  <w:num w:numId="16">
    <w:abstractNumId w:val="23"/>
  </w:num>
  <w:num w:numId="17">
    <w:abstractNumId w:val="35"/>
  </w:num>
  <w:num w:numId="18">
    <w:abstractNumId w:val="21"/>
  </w:num>
  <w:num w:numId="19">
    <w:abstractNumId w:val="7"/>
  </w:num>
  <w:num w:numId="20">
    <w:abstractNumId w:val="16"/>
  </w:num>
  <w:num w:numId="21">
    <w:abstractNumId w:val="36"/>
  </w:num>
  <w:num w:numId="22">
    <w:abstractNumId w:val="12"/>
  </w:num>
  <w:num w:numId="23">
    <w:abstractNumId w:val="32"/>
  </w:num>
  <w:num w:numId="24">
    <w:abstractNumId w:val="34"/>
  </w:num>
  <w:num w:numId="25">
    <w:abstractNumId w:val="8"/>
  </w:num>
  <w:num w:numId="26">
    <w:abstractNumId w:val="10"/>
  </w:num>
  <w:num w:numId="27">
    <w:abstractNumId w:val="20"/>
  </w:num>
  <w:num w:numId="28">
    <w:abstractNumId w:val="30"/>
  </w:num>
  <w:num w:numId="29">
    <w:abstractNumId w:val="28"/>
  </w:num>
  <w:num w:numId="30">
    <w:abstractNumId w:val="26"/>
  </w:num>
  <w:num w:numId="31">
    <w:abstractNumId w:val="27"/>
  </w:num>
  <w:num w:numId="32">
    <w:abstractNumId w:val="2"/>
  </w:num>
  <w:num w:numId="33">
    <w:abstractNumId w:val="1"/>
  </w:num>
  <w:num w:numId="34">
    <w:abstractNumId w:val="4"/>
  </w:num>
  <w:num w:numId="35">
    <w:abstractNumId w:val="5"/>
  </w:num>
  <w:num w:numId="36">
    <w:abstractNumId w:val="0"/>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4NjI5OTBmMDM1ODFlMDkzNDFlZTFiMWNhZWU5ZTMifQ=="/>
  </w:docVars>
  <w:rsids>
    <w:rsidRoot w:val="00EF595D"/>
    <w:rsid w:val="0000040A"/>
    <w:rsid w:val="000008F2"/>
    <w:rsid w:val="00000A94"/>
    <w:rsid w:val="00000E33"/>
    <w:rsid w:val="00001972"/>
    <w:rsid w:val="00001D9A"/>
    <w:rsid w:val="00007B3A"/>
    <w:rsid w:val="000107E0"/>
    <w:rsid w:val="00011FDE"/>
    <w:rsid w:val="00012FFD"/>
    <w:rsid w:val="000137F9"/>
    <w:rsid w:val="00014162"/>
    <w:rsid w:val="00014340"/>
    <w:rsid w:val="00016A9C"/>
    <w:rsid w:val="0001738D"/>
    <w:rsid w:val="000201C3"/>
    <w:rsid w:val="00022184"/>
    <w:rsid w:val="00022762"/>
    <w:rsid w:val="000238E0"/>
    <w:rsid w:val="000249DB"/>
    <w:rsid w:val="0002595E"/>
    <w:rsid w:val="000303C3"/>
    <w:rsid w:val="000331D3"/>
    <w:rsid w:val="000346A5"/>
    <w:rsid w:val="000359C3"/>
    <w:rsid w:val="00035A7D"/>
    <w:rsid w:val="000365ED"/>
    <w:rsid w:val="00040B58"/>
    <w:rsid w:val="0004249A"/>
    <w:rsid w:val="00043282"/>
    <w:rsid w:val="00043E88"/>
    <w:rsid w:val="00044286"/>
    <w:rsid w:val="00047F28"/>
    <w:rsid w:val="000503AA"/>
    <w:rsid w:val="000506A1"/>
    <w:rsid w:val="00051235"/>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4C55"/>
    <w:rsid w:val="00076871"/>
    <w:rsid w:val="00077B64"/>
    <w:rsid w:val="00080A1C"/>
    <w:rsid w:val="00082317"/>
    <w:rsid w:val="000827A0"/>
    <w:rsid w:val="0008345B"/>
    <w:rsid w:val="00083D2C"/>
    <w:rsid w:val="000846C2"/>
    <w:rsid w:val="00086AA1"/>
    <w:rsid w:val="00087A77"/>
    <w:rsid w:val="00090CA6"/>
    <w:rsid w:val="00092B8A"/>
    <w:rsid w:val="00092FB0"/>
    <w:rsid w:val="000934C5"/>
    <w:rsid w:val="00093D25"/>
    <w:rsid w:val="00093DAB"/>
    <w:rsid w:val="00094D73"/>
    <w:rsid w:val="00094E59"/>
    <w:rsid w:val="00096D63"/>
    <w:rsid w:val="000A0B60"/>
    <w:rsid w:val="000A0EB8"/>
    <w:rsid w:val="000A1225"/>
    <w:rsid w:val="000A19FC"/>
    <w:rsid w:val="000A296B"/>
    <w:rsid w:val="000A58C3"/>
    <w:rsid w:val="000A59A7"/>
    <w:rsid w:val="000A7273"/>
    <w:rsid w:val="000A7311"/>
    <w:rsid w:val="000B060F"/>
    <w:rsid w:val="000B1592"/>
    <w:rsid w:val="000B1FF2"/>
    <w:rsid w:val="000B3CDA"/>
    <w:rsid w:val="000B6A0B"/>
    <w:rsid w:val="000B7DFD"/>
    <w:rsid w:val="000C0F6C"/>
    <w:rsid w:val="000C11DB"/>
    <w:rsid w:val="000C1492"/>
    <w:rsid w:val="000C2FBD"/>
    <w:rsid w:val="000C4B41"/>
    <w:rsid w:val="000C57D6"/>
    <w:rsid w:val="000C6362"/>
    <w:rsid w:val="000C7666"/>
    <w:rsid w:val="000D0A9C"/>
    <w:rsid w:val="000D1795"/>
    <w:rsid w:val="000D2A32"/>
    <w:rsid w:val="000D329A"/>
    <w:rsid w:val="000D4B9C"/>
    <w:rsid w:val="000D4EB6"/>
    <w:rsid w:val="000D753B"/>
    <w:rsid w:val="000E4C9E"/>
    <w:rsid w:val="000E6FD7"/>
    <w:rsid w:val="000F06E1"/>
    <w:rsid w:val="000F0E3C"/>
    <w:rsid w:val="000F19D5"/>
    <w:rsid w:val="000F4AEA"/>
    <w:rsid w:val="000F633F"/>
    <w:rsid w:val="000F67E9"/>
    <w:rsid w:val="000F79F1"/>
    <w:rsid w:val="00104926"/>
    <w:rsid w:val="00105C27"/>
    <w:rsid w:val="00110BC2"/>
    <w:rsid w:val="001125E6"/>
    <w:rsid w:val="00113B1E"/>
    <w:rsid w:val="0011711C"/>
    <w:rsid w:val="0012059C"/>
    <w:rsid w:val="00124E4F"/>
    <w:rsid w:val="001260B7"/>
    <w:rsid w:val="001265CB"/>
    <w:rsid w:val="001321C6"/>
    <w:rsid w:val="001325C4"/>
    <w:rsid w:val="00133010"/>
    <w:rsid w:val="001338EE"/>
    <w:rsid w:val="00133AAE"/>
    <w:rsid w:val="00135323"/>
    <w:rsid w:val="001356C4"/>
    <w:rsid w:val="00137CEF"/>
    <w:rsid w:val="00140AA5"/>
    <w:rsid w:val="00141114"/>
    <w:rsid w:val="00142969"/>
    <w:rsid w:val="00142E17"/>
    <w:rsid w:val="001446C2"/>
    <w:rsid w:val="00145710"/>
    <w:rsid w:val="001457E7"/>
    <w:rsid w:val="00145D9D"/>
    <w:rsid w:val="00146388"/>
    <w:rsid w:val="001529E5"/>
    <w:rsid w:val="00153C7E"/>
    <w:rsid w:val="00155709"/>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DD8"/>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A7A02"/>
    <w:rsid w:val="001B06E8"/>
    <w:rsid w:val="001B5FA6"/>
    <w:rsid w:val="001B71D0"/>
    <w:rsid w:val="001B71EE"/>
    <w:rsid w:val="001C04A8"/>
    <w:rsid w:val="001C22B5"/>
    <w:rsid w:val="001C2C03"/>
    <w:rsid w:val="001C3800"/>
    <w:rsid w:val="001C42F7"/>
    <w:rsid w:val="001C4620"/>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4F38"/>
    <w:rsid w:val="001E5680"/>
    <w:rsid w:val="001E66BD"/>
    <w:rsid w:val="001E73AB"/>
    <w:rsid w:val="001F05A1"/>
    <w:rsid w:val="001F092D"/>
    <w:rsid w:val="001F143A"/>
    <w:rsid w:val="001F1605"/>
    <w:rsid w:val="001F2508"/>
    <w:rsid w:val="001F4816"/>
    <w:rsid w:val="001F4EE9"/>
    <w:rsid w:val="001F69B4"/>
    <w:rsid w:val="001F77C7"/>
    <w:rsid w:val="00200183"/>
    <w:rsid w:val="00200333"/>
    <w:rsid w:val="0020107D"/>
    <w:rsid w:val="0020279A"/>
    <w:rsid w:val="00202AA4"/>
    <w:rsid w:val="002031F7"/>
    <w:rsid w:val="002040E6"/>
    <w:rsid w:val="0020527B"/>
    <w:rsid w:val="00205F2C"/>
    <w:rsid w:val="002072B6"/>
    <w:rsid w:val="0021088A"/>
    <w:rsid w:val="00210B15"/>
    <w:rsid w:val="002142EA"/>
    <w:rsid w:val="002204BB"/>
    <w:rsid w:val="00221B79"/>
    <w:rsid w:val="00221C6B"/>
    <w:rsid w:val="002253A1"/>
    <w:rsid w:val="00225CF8"/>
    <w:rsid w:val="0022794E"/>
    <w:rsid w:val="00232C79"/>
    <w:rsid w:val="00233D64"/>
    <w:rsid w:val="0023482A"/>
    <w:rsid w:val="002359CB"/>
    <w:rsid w:val="00236F65"/>
    <w:rsid w:val="00243540"/>
    <w:rsid w:val="0024497B"/>
    <w:rsid w:val="0024515B"/>
    <w:rsid w:val="00246021"/>
    <w:rsid w:val="0024666E"/>
    <w:rsid w:val="00247F52"/>
    <w:rsid w:val="00250B25"/>
    <w:rsid w:val="00250BBE"/>
    <w:rsid w:val="002515C2"/>
    <w:rsid w:val="0025194F"/>
    <w:rsid w:val="00256028"/>
    <w:rsid w:val="0026148A"/>
    <w:rsid w:val="002615F9"/>
    <w:rsid w:val="00262696"/>
    <w:rsid w:val="00263D25"/>
    <w:rsid w:val="002643C3"/>
    <w:rsid w:val="00264A0C"/>
    <w:rsid w:val="00266EEB"/>
    <w:rsid w:val="00267EF4"/>
    <w:rsid w:val="00270CB8"/>
    <w:rsid w:val="00272B08"/>
    <w:rsid w:val="002750F7"/>
    <w:rsid w:val="002771AC"/>
    <w:rsid w:val="00281BB8"/>
    <w:rsid w:val="00281E9E"/>
    <w:rsid w:val="0028213E"/>
    <w:rsid w:val="00282405"/>
    <w:rsid w:val="00282811"/>
    <w:rsid w:val="00285170"/>
    <w:rsid w:val="00285361"/>
    <w:rsid w:val="002854B3"/>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F46"/>
    <w:rsid w:val="002A757F"/>
    <w:rsid w:val="002A7F44"/>
    <w:rsid w:val="002B0C40"/>
    <w:rsid w:val="002B1966"/>
    <w:rsid w:val="002B4508"/>
    <w:rsid w:val="002B5779"/>
    <w:rsid w:val="002B7332"/>
    <w:rsid w:val="002B7797"/>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1D64"/>
    <w:rsid w:val="002F30E0"/>
    <w:rsid w:val="002F35E4"/>
    <w:rsid w:val="002F3730"/>
    <w:rsid w:val="002F3835"/>
    <w:rsid w:val="002F38E1"/>
    <w:rsid w:val="002F7AF6"/>
    <w:rsid w:val="00300E63"/>
    <w:rsid w:val="00301C60"/>
    <w:rsid w:val="00302F5F"/>
    <w:rsid w:val="0030441D"/>
    <w:rsid w:val="00306063"/>
    <w:rsid w:val="00306759"/>
    <w:rsid w:val="003133FF"/>
    <w:rsid w:val="00313B85"/>
    <w:rsid w:val="00317988"/>
    <w:rsid w:val="003221B4"/>
    <w:rsid w:val="0032258D"/>
    <w:rsid w:val="00322E62"/>
    <w:rsid w:val="00324D13"/>
    <w:rsid w:val="00324D2A"/>
    <w:rsid w:val="00324EDD"/>
    <w:rsid w:val="0033316B"/>
    <w:rsid w:val="003331E4"/>
    <w:rsid w:val="00336C64"/>
    <w:rsid w:val="00337162"/>
    <w:rsid w:val="0034194F"/>
    <w:rsid w:val="003434E1"/>
    <w:rsid w:val="003441DA"/>
    <w:rsid w:val="00344605"/>
    <w:rsid w:val="003463DE"/>
    <w:rsid w:val="003474AA"/>
    <w:rsid w:val="00350D1D"/>
    <w:rsid w:val="00351569"/>
    <w:rsid w:val="00352C83"/>
    <w:rsid w:val="00353BBF"/>
    <w:rsid w:val="003615D2"/>
    <w:rsid w:val="0036429C"/>
    <w:rsid w:val="00364A53"/>
    <w:rsid w:val="003654CB"/>
    <w:rsid w:val="00365AA9"/>
    <w:rsid w:val="00365F86"/>
    <w:rsid w:val="00365F87"/>
    <w:rsid w:val="00366E89"/>
    <w:rsid w:val="00367B5B"/>
    <w:rsid w:val="003705F4"/>
    <w:rsid w:val="00370D58"/>
    <w:rsid w:val="00371316"/>
    <w:rsid w:val="003718A8"/>
    <w:rsid w:val="00376713"/>
    <w:rsid w:val="0037712E"/>
    <w:rsid w:val="003800C8"/>
    <w:rsid w:val="00381815"/>
    <w:rsid w:val="003819AF"/>
    <w:rsid w:val="003820E9"/>
    <w:rsid w:val="00382DE7"/>
    <w:rsid w:val="00384FFC"/>
    <w:rsid w:val="003867DB"/>
    <w:rsid w:val="003872FC"/>
    <w:rsid w:val="00387ADC"/>
    <w:rsid w:val="00390020"/>
    <w:rsid w:val="003903D6"/>
    <w:rsid w:val="00390EE6"/>
    <w:rsid w:val="0039118F"/>
    <w:rsid w:val="00392AD7"/>
    <w:rsid w:val="003938D9"/>
    <w:rsid w:val="00394376"/>
    <w:rsid w:val="003943FF"/>
    <w:rsid w:val="00395700"/>
    <w:rsid w:val="00395B29"/>
    <w:rsid w:val="003974EB"/>
    <w:rsid w:val="00397CC5"/>
    <w:rsid w:val="003A1582"/>
    <w:rsid w:val="003A4077"/>
    <w:rsid w:val="003A7E36"/>
    <w:rsid w:val="003B09AD"/>
    <w:rsid w:val="003B1F18"/>
    <w:rsid w:val="003B46C5"/>
    <w:rsid w:val="003B5BF0"/>
    <w:rsid w:val="003B60BF"/>
    <w:rsid w:val="003B6BE3"/>
    <w:rsid w:val="003C010C"/>
    <w:rsid w:val="003C0A6C"/>
    <w:rsid w:val="003C14F8"/>
    <w:rsid w:val="003C5A43"/>
    <w:rsid w:val="003D0519"/>
    <w:rsid w:val="003D0BF2"/>
    <w:rsid w:val="003D0FF6"/>
    <w:rsid w:val="003D262C"/>
    <w:rsid w:val="003D6B86"/>
    <w:rsid w:val="003D6D61"/>
    <w:rsid w:val="003D79C6"/>
    <w:rsid w:val="003E091D"/>
    <w:rsid w:val="003E1C53"/>
    <w:rsid w:val="003E2A69"/>
    <w:rsid w:val="003E2D49"/>
    <w:rsid w:val="003E2FD4"/>
    <w:rsid w:val="003E49F6"/>
    <w:rsid w:val="003E4ACF"/>
    <w:rsid w:val="003E660F"/>
    <w:rsid w:val="003E71A3"/>
    <w:rsid w:val="003F0841"/>
    <w:rsid w:val="003F23D3"/>
    <w:rsid w:val="003F3D63"/>
    <w:rsid w:val="003F3F08"/>
    <w:rsid w:val="003F49F1"/>
    <w:rsid w:val="003F6272"/>
    <w:rsid w:val="003F7883"/>
    <w:rsid w:val="00400E72"/>
    <w:rsid w:val="00401400"/>
    <w:rsid w:val="00404869"/>
    <w:rsid w:val="0040487C"/>
    <w:rsid w:val="00405884"/>
    <w:rsid w:val="004058AE"/>
    <w:rsid w:val="00407D39"/>
    <w:rsid w:val="00411881"/>
    <w:rsid w:val="00413263"/>
    <w:rsid w:val="0041477A"/>
    <w:rsid w:val="004167A3"/>
    <w:rsid w:val="0042292C"/>
    <w:rsid w:val="00423FEF"/>
    <w:rsid w:val="00431788"/>
    <w:rsid w:val="00432DAA"/>
    <w:rsid w:val="00434305"/>
    <w:rsid w:val="00435DF7"/>
    <w:rsid w:val="00437D3E"/>
    <w:rsid w:val="0044083F"/>
    <w:rsid w:val="00441AE7"/>
    <w:rsid w:val="00445574"/>
    <w:rsid w:val="004467FB"/>
    <w:rsid w:val="00452D6B"/>
    <w:rsid w:val="004537D5"/>
    <w:rsid w:val="00454484"/>
    <w:rsid w:val="0045517B"/>
    <w:rsid w:val="00463B77"/>
    <w:rsid w:val="00463C7B"/>
    <w:rsid w:val="004644A6"/>
    <w:rsid w:val="004659BD"/>
    <w:rsid w:val="00470775"/>
    <w:rsid w:val="00470C3A"/>
    <w:rsid w:val="00471268"/>
    <w:rsid w:val="004746B1"/>
    <w:rsid w:val="0047583F"/>
    <w:rsid w:val="00475DE8"/>
    <w:rsid w:val="00481C44"/>
    <w:rsid w:val="00484936"/>
    <w:rsid w:val="00485C89"/>
    <w:rsid w:val="00486BE3"/>
    <w:rsid w:val="004905E4"/>
    <w:rsid w:val="00490A89"/>
    <w:rsid w:val="00490AB4"/>
    <w:rsid w:val="0049191C"/>
    <w:rsid w:val="00492F02"/>
    <w:rsid w:val="004939AE"/>
    <w:rsid w:val="004A12DF"/>
    <w:rsid w:val="004A17E6"/>
    <w:rsid w:val="004A1BA8"/>
    <w:rsid w:val="004A4272"/>
    <w:rsid w:val="004A4B57"/>
    <w:rsid w:val="004A63FA"/>
    <w:rsid w:val="004B0272"/>
    <w:rsid w:val="004B18E3"/>
    <w:rsid w:val="004B2701"/>
    <w:rsid w:val="004B2E1B"/>
    <w:rsid w:val="004B3AA8"/>
    <w:rsid w:val="004B3E93"/>
    <w:rsid w:val="004B4120"/>
    <w:rsid w:val="004C1D53"/>
    <w:rsid w:val="004C1FBC"/>
    <w:rsid w:val="004C3F1D"/>
    <w:rsid w:val="004C458D"/>
    <w:rsid w:val="004C4DCB"/>
    <w:rsid w:val="004C5393"/>
    <w:rsid w:val="004C6E7C"/>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423"/>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4A8"/>
    <w:rsid w:val="00511A1F"/>
    <w:rsid w:val="00512F6E"/>
    <w:rsid w:val="00513038"/>
    <w:rsid w:val="00514174"/>
    <w:rsid w:val="00516088"/>
    <w:rsid w:val="00516B0B"/>
    <w:rsid w:val="005205A2"/>
    <w:rsid w:val="00520901"/>
    <w:rsid w:val="00521E86"/>
    <w:rsid w:val="005220EC"/>
    <w:rsid w:val="00523F95"/>
    <w:rsid w:val="00524D65"/>
    <w:rsid w:val="00525911"/>
    <w:rsid w:val="00525B16"/>
    <w:rsid w:val="00533D04"/>
    <w:rsid w:val="00534804"/>
    <w:rsid w:val="00534BDF"/>
    <w:rsid w:val="005354EA"/>
    <w:rsid w:val="0053585F"/>
    <w:rsid w:val="00535EC4"/>
    <w:rsid w:val="00535ED9"/>
    <w:rsid w:val="0053692B"/>
    <w:rsid w:val="00541853"/>
    <w:rsid w:val="00543BDA"/>
    <w:rsid w:val="005441CC"/>
    <w:rsid w:val="00544668"/>
    <w:rsid w:val="005479DA"/>
    <w:rsid w:val="00547BCC"/>
    <w:rsid w:val="0055013B"/>
    <w:rsid w:val="00551F6F"/>
    <w:rsid w:val="005523A3"/>
    <w:rsid w:val="0055490D"/>
    <w:rsid w:val="00555044"/>
    <w:rsid w:val="00561475"/>
    <w:rsid w:val="00563C0E"/>
    <w:rsid w:val="0056487B"/>
    <w:rsid w:val="00564FB9"/>
    <w:rsid w:val="0056531D"/>
    <w:rsid w:val="005736A8"/>
    <w:rsid w:val="00573D9E"/>
    <w:rsid w:val="00575ACD"/>
    <w:rsid w:val="00575ADE"/>
    <w:rsid w:val="005801E3"/>
    <w:rsid w:val="00581802"/>
    <w:rsid w:val="005836A8"/>
    <w:rsid w:val="0058409C"/>
    <w:rsid w:val="00584262"/>
    <w:rsid w:val="00586630"/>
    <w:rsid w:val="0058740C"/>
    <w:rsid w:val="00587ADD"/>
    <w:rsid w:val="00591E27"/>
    <w:rsid w:val="005924EA"/>
    <w:rsid w:val="0059562E"/>
    <w:rsid w:val="00596160"/>
    <w:rsid w:val="005966E2"/>
    <w:rsid w:val="00597007"/>
    <w:rsid w:val="005A0966"/>
    <w:rsid w:val="005A11B7"/>
    <w:rsid w:val="005A260B"/>
    <w:rsid w:val="005A4A1B"/>
    <w:rsid w:val="005A7830"/>
    <w:rsid w:val="005A7FCE"/>
    <w:rsid w:val="005B0F3F"/>
    <w:rsid w:val="005B3859"/>
    <w:rsid w:val="005B3CB1"/>
    <w:rsid w:val="005B4903"/>
    <w:rsid w:val="005B4DFB"/>
    <w:rsid w:val="005B51CE"/>
    <w:rsid w:val="005B5885"/>
    <w:rsid w:val="005B5CD7"/>
    <w:rsid w:val="005B6CF6"/>
    <w:rsid w:val="005B7422"/>
    <w:rsid w:val="005C1531"/>
    <w:rsid w:val="005C1E00"/>
    <w:rsid w:val="005C29B8"/>
    <w:rsid w:val="005C5BFD"/>
    <w:rsid w:val="005C5F21"/>
    <w:rsid w:val="005C7156"/>
    <w:rsid w:val="005C7E00"/>
    <w:rsid w:val="005D0C75"/>
    <w:rsid w:val="005D4171"/>
    <w:rsid w:val="005D6A95"/>
    <w:rsid w:val="005D6B2C"/>
    <w:rsid w:val="005D6D9C"/>
    <w:rsid w:val="005E2335"/>
    <w:rsid w:val="005E34CA"/>
    <w:rsid w:val="005E3C18"/>
    <w:rsid w:val="005E6812"/>
    <w:rsid w:val="005E7629"/>
    <w:rsid w:val="005E7881"/>
    <w:rsid w:val="005E78E0"/>
    <w:rsid w:val="005F0D9C"/>
    <w:rsid w:val="005F284E"/>
    <w:rsid w:val="005F33C7"/>
    <w:rsid w:val="005F4712"/>
    <w:rsid w:val="005F5AC7"/>
    <w:rsid w:val="006015CE"/>
    <w:rsid w:val="00604784"/>
    <w:rsid w:val="00606419"/>
    <w:rsid w:val="00607D29"/>
    <w:rsid w:val="00612952"/>
    <w:rsid w:val="00614CC1"/>
    <w:rsid w:val="00615A9D"/>
    <w:rsid w:val="00617387"/>
    <w:rsid w:val="006205D6"/>
    <w:rsid w:val="006252D8"/>
    <w:rsid w:val="006259BC"/>
    <w:rsid w:val="0062636B"/>
    <w:rsid w:val="006270AC"/>
    <w:rsid w:val="00632182"/>
    <w:rsid w:val="006323BE"/>
    <w:rsid w:val="00632AE0"/>
    <w:rsid w:val="00633C17"/>
    <w:rsid w:val="00634D9E"/>
    <w:rsid w:val="006350ED"/>
    <w:rsid w:val="00636E3E"/>
    <w:rsid w:val="006379F7"/>
    <w:rsid w:val="00637E4D"/>
    <w:rsid w:val="00640620"/>
    <w:rsid w:val="00641A1F"/>
    <w:rsid w:val="006422FA"/>
    <w:rsid w:val="00645904"/>
    <w:rsid w:val="00650019"/>
    <w:rsid w:val="00651ACB"/>
    <w:rsid w:val="00651C47"/>
    <w:rsid w:val="00652AB2"/>
    <w:rsid w:val="00653FED"/>
    <w:rsid w:val="00654EC0"/>
    <w:rsid w:val="0065525B"/>
    <w:rsid w:val="00655D4F"/>
    <w:rsid w:val="00656D29"/>
    <w:rsid w:val="00662DA9"/>
    <w:rsid w:val="006640E5"/>
    <w:rsid w:val="006646F1"/>
    <w:rsid w:val="00664929"/>
    <w:rsid w:val="00664F62"/>
    <w:rsid w:val="006655E1"/>
    <w:rsid w:val="006676DD"/>
    <w:rsid w:val="00672060"/>
    <w:rsid w:val="00672BFD"/>
    <w:rsid w:val="006770F4"/>
    <w:rsid w:val="00677A84"/>
    <w:rsid w:val="0068026D"/>
    <w:rsid w:val="0068073A"/>
    <w:rsid w:val="00680A27"/>
    <w:rsid w:val="006816A4"/>
    <w:rsid w:val="006819B8"/>
    <w:rsid w:val="00682E58"/>
    <w:rsid w:val="006840A6"/>
    <w:rsid w:val="006850CD"/>
    <w:rsid w:val="00685AAB"/>
    <w:rsid w:val="00686144"/>
    <w:rsid w:val="0068678C"/>
    <w:rsid w:val="00695D22"/>
    <w:rsid w:val="006A07AA"/>
    <w:rsid w:val="006A25E5"/>
    <w:rsid w:val="006A2B46"/>
    <w:rsid w:val="006A336D"/>
    <w:rsid w:val="006A37B9"/>
    <w:rsid w:val="006A54EF"/>
    <w:rsid w:val="006A61D9"/>
    <w:rsid w:val="006B2672"/>
    <w:rsid w:val="006B54BF"/>
    <w:rsid w:val="006B5F44"/>
    <w:rsid w:val="006B5F90"/>
    <w:rsid w:val="006B62E4"/>
    <w:rsid w:val="006B6FA3"/>
    <w:rsid w:val="006C1BBA"/>
    <w:rsid w:val="006C2079"/>
    <w:rsid w:val="006C5A62"/>
    <w:rsid w:val="006C5D68"/>
    <w:rsid w:val="006C6976"/>
    <w:rsid w:val="006C6DD0"/>
    <w:rsid w:val="006D04EA"/>
    <w:rsid w:val="006D0AB7"/>
    <w:rsid w:val="006D16C4"/>
    <w:rsid w:val="006D2234"/>
    <w:rsid w:val="006D3E96"/>
    <w:rsid w:val="006D4515"/>
    <w:rsid w:val="006D4BB1"/>
    <w:rsid w:val="006D6593"/>
    <w:rsid w:val="006E23EA"/>
    <w:rsid w:val="006F03A8"/>
    <w:rsid w:val="006F2ACA"/>
    <w:rsid w:val="006F2ADC"/>
    <w:rsid w:val="006F2BFE"/>
    <w:rsid w:val="006F31E9"/>
    <w:rsid w:val="006F6284"/>
    <w:rsid w:val="007002C5"/>
    <w:rsid w:val="0070280A"/>
    <w:rsid w:val="00704205"/>
    <w:rsid w:val="00704387"/>
    <w:rsid w:val="00707669"/>
    <w:rsid w:val="0071044E"/>
    <w:rsid w:val="00711CBA"/>
    <w:rsid w:val="00711FB5"/>
    <w:rsid w:val="00712A01"/>
    <w:rsid w:val="00714F58"/>
    <w:rsid w:val="00722FBF"/>
    <w:rsid w:val="00722FC2"/>
    <w:rsid w:val="00724879"/>
    <w:rsid w:val="00724E1B"/>
    <w:rsid w:val="00725949"/>
    <w:rsid w:val="0072633F"/>
    <w:rsid w:val="00727FA2"/>
    <w:rsid w:val="007322D9"/>
    <w:rsid w:val="00732BC0"/>
    <w:rsid w:val="00734A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C8E"/>
    <w:rsid w:val="00765EFB"/>
    <w:rsid w:val="007671CA"/>
    <w:rsid w:val="00767207"/>
    <w:rsid w:val="00767C61"/>
    <w:rsid w:val="0077008A"/>
    <w:rsid w:val="00772171"/>
    <w:rsid w:val="00773C1F"/>
    <w:rsid w:val="00774DA4"/>
    <w:rsid w:val="00776599"/>
    <w:rsid w:val="0078114B"/>
    <w:rsid w:val="00781939"/>
    <w:rsid w:val="00781DD2"/>
    <w:rsid w:val="00782730"/>
    <w:rsid w:val="00783ECF"/>
    <w:rsid w:val="0078413A"/>
    <w:rsid w:val="0079167E"/>
    <w:rsid w:val="007959E8"/>
    <w:rsid w:val="00795E9C"/>
    <w:rsid w:val="007A0521"/>
    <w:rsid w:val="007A2E12"/>
    <w:rsid w:val="007A3475"/>
    <w:rsid w:val="007A41C8"/>
    <w:rsid w:val="007A53CB"/>
    <w:rsid w:val="007A54CE"/>
    <w:rsid w:val="007A6FD9"/>
    <w:rsid w:val="007A7FFA"/>
    <w:rsid w:val="007B04EB"/>
    <w:rsid w:val="007B0D4F"/>
    <w:rsid w:val="007B15EA"/>
    <w:rsid w:val="007B5A3D"/>
    <w:rsid w:val="007B5B95"/>
    <w:rsid w:val="007B68EA"/>
    <w:rsid w:val="007B7453"/>
    <w:rsid w:val="007C1E8B"/>
    <w:rsid w:val="007C2D89"/>
    <w:rsid w:val="007C4593"/>
    <w:rsid w:val="007C5309"/>
    <w:rsid w:val="007C6069"/>
    <w:rsid w:val="007D06C4"/>
    <w:rsid w:val="007D1352"/>
    <w:rsid w:val="007D2508"/>
    <w:rsid w:val="007D346A"/>
    <w:rsid w:val="007D3EA2"/>
    <w:rsid w:val="007D6518"/>
    <w:rsid w:val="007D76BD"/>
    <w:rsid w:val="007E0BF1"/>
    <w:rsid w:val="007E4FDD"/>
    <w:rsid w:val="007F04B8"/>
    <w:rsid w:val="007F0ED8"/>
    <w:rsid w:val="007F0F63"/>
    <w:rsid w:val="007F75CE"/>
    <w:rsid w:val="008013A4"/>
    <w:rsid w:val="00802372"/>
    <w:rsid w:val="008027CE"/>
    <w:rsid w:val="00802F42"/>
    <w:rsid w:val="00803BD5"/>
    <w:rsid w:val="00804383"/>
    <w:rsid w:val="00804BB7"/>
    <w:rsid w:val="00804D41"/>
    <w:rsid w:val="00805202"/>
    <w:rsid w:val="008101FA"/>
    <w:rsid w:val="00810221"/>
    <w:rsid w:val="00810257"/>
    <w:rsid w:val="008104F5"/>
    <w:rsid w:val="00811072"/>
    <w:rsid w:val="00811369"/>
    <w:rsid w:val="00815419"/>
    <w:rsid w:val="00815E73"/>
    <w:rsid w:val="008163C8"/>
    <w:rsid w:val="008164A1"/>
    <w:rsid w:val="00817243"/>
    <w:rsid w:val="00817325"/>
    <w:rsid w:val="008200D5"/>
    <w:rsid w:val="008209E6"/>
    <w:rsid w:val="00823303"/>
    <w:rsid w:val="008233B2"/>
    <w:rsid w:val="00823A9F"/>
    <w:rsid w:val="00823C85"/>
    <w:rsid w:val="00823F6B"/>
    <w:rsid w:val="00824707"/>
    <w:rsid w:val="00825138"/>
    <w:rsid w:val="0082613C"/>
    <w:rsid w:val="008269DD"/>
    <w:rsid w:val="00830621"/>
    <w:rsid w:val="00830757"/>
    <w:rsid w:val="008325EE"/>
    <w:rsid w:val="0083348C"/>
    <w:rsid w:val="008373D3"/>
    <w:rsid w:val="00840617"/>
    <w:rsid w:val="00840F84"/>
    <w:rsid w:val="00842A47"/>
    <w:rsid w:val="00843C13"/>
    <w:rsid w:val="008454F8"/>
    <w:rsid w:val="00850757"/>
    <w:rsid w:val="0085173A"/>
    <w:rsid w:val="00855E36"/>
    <w:rsid w:val="00856316"/>
    <w:rsid w:val="008603CE"/>
    <w:rsid w:val="008620FC"/>
    <w:rsid w:val="008627A5"/>
    <w:rsid w:val="0086286B"/>
    <w:rsid w:val="00863E05"/>
    <w:rsid w:val="00865ACA"/>
    <w:rsid w:val="00865D28"/>
    <w:rsid w:val="00865F85"/>
    <w:rsid w:val="00867C10"/>
    <w:rsid w:val="00870439"/>
    <w:rsid w:val="00870DA1"/>
    <w:rsid w:val="00871B20"/>
    <w:rsid w:val="0087455E"/>
    <w:rsid w:val="00883F93"/>
    <w:rsid w:val="00884DB3"/>
    <w:rsid w:val="00885A9D"/>
    <w:rsid w:val="008864F6"/>
    <w:rsid w:val="00886E34"/>
    <w:rsid w:val="0089049D"/>
    <w:rsid w:val="008928C9"/>
    <w:rsid w:val="008930CB"/>
    <w:rsid w:val="008938DC"/>
    <w:rsid w:val="00893FD1"/>
    <w:rsid w:val="00894836"/>
    <w:rsid w:val="00895172"/>
    <w:rsid w:val="00895680"/>
    <w:rsid w:val="00896DFF"/>
    <w:rsid w:val="0089762C"/>
    <w:rsid w:val="008A1893"/>
    <w:rsid w:val="008A233E"/>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B0A"/>
    <w:rsid w:val="008D2D1D"/>
    <w:rsid w:val="008D453D"/>
    <w:rsid w:val="008D53AD"/>
    <w:rsid w:val="008D562B"/>
    <w:rsid w:val="008D5733"/>
    <w:rsid w:val="008D622B"/>
    <w:rsid w:val="008D666C"/>
    <w:rsid w:val="008D7B54"/>
    <w:rsid w:val="008E099E"/>
    <w:rsid w:val="008E0C9D"/>
    <w:rsid w:val="008E1345"/>
    <w:rsid w:val="008E1648"/>
    <w:rsid w:val="008E1B3E"/>
    <w:rsid w:val="008E2319"/>
    <w:rsid w:val="008E4BB6"/>
    <w:rsid w:val="008E5518"/>
    <w:rsid w:val="008E6A84"/>
    <w:rsid w:val="008F0CDC"/>
    <w:rsid w:val="008F17A3"/>
    <w:rsid w:val="008F1ED3"/>
    <w:rsid w:val="008F23A5"/>
    <w:rsid w:val="008F30CB"/>
    <w:rsid w:val="008F4C29"/>
    <w:rsid w:val="008F6397"/>
    <w:rsid w:val="008F70BD"/>
    <w:rsid w:val="008F788F"/>
    <w:rsid w:val="008F7EA2"/>
    <w:rsid w:val="00900A04"/>
    <w:rsid w:val="00902722"/>
    <w:rsid w:val="009027BC"/>
    <w:rsid w:val="009042AB"/>
    <w:rsid w:val="009045D3"/>
    <w:rsid w:val="009062E6"/>
    <w:rsid w:val="00911BE5"/>
    <w:rsid w:val="009134FF"/>
    <w:rsid w:val="00913CA9"/>
    <w:rsid w:val="009145AE"/>
    <w:rsid w:val="009146CE"/>
    <w:rsid w:val="00914CA7"/>
    <w:rsid w:val="00915C3E"/>
    <w:rsid w:val="009161A8"/>
    <w:rsid w:val="0091736A"/>
    <w:rsid w:val="009245F5"/>
    <w:rsid w:val="009249EC"/>
    <w:rsid w:val="0092717F"/>
    <w:rsid w:val="009273B3"/>
    <w:rsid w:val="009305B5"/>
    <w:rsid w:val="009429D5"/>
    <w:rsid w:val="00942ADB"/>
    <w:rsid w:val="00942BF1"/>
    <w:rsid w:val="00945180"/>
    <w:rsid w:val="00945428"/>
    <w:rsid w:val="0094607B"/>
    <w:rsid w:val="00951E36"/>
    <w:rsid w:val="00953604"/>
    <w:rsid w:val="0095496B"/>
    <w:rsid w:val="00955625"/>
    <w:rsid w:val="0095725D"/>
    <w:rsid w:val="009608B7"/>
    <w:rsid w:val="00961054"/>
    <w:rsid w:val="009610DC"/>
    <w:rsid w:val="00961490"/>
    <w:rsid w:val="0096381A"/>
    <w:rsid w:val="00965236"/>
    <w:rsid w:val="00965E04"/>
    <w:rsid w:val="009664E9"/>
    <w:rsid w:val="009674AD"/>
    <w:rsid w:val="00970CDC"/>
    <w:rsid w:val="00971E65"/>
    <w:rsid w:val="009750AB"/>
    <w:rsid w:val="00975E4F"/>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A7605"/>
    <w:rsid w:val="009B0739"/>
    <w:rsid w:val="009B09E0"/>
    <w:rsid w:val="009B0BC5"/>
    <w:rsid w:val="009B1247"/>
    <w:rsid w:val="009B372A"/>
    <w:rsid w:val="009B46F9"/>
    <w:rsid w:val="009B6029"/>
    <w:rsid w:val="009B6971"/>
    <w:rsid w:val="009C27F1"/>
    <w:rsid w:val="009C3152"/>
    <w:rsid w:val="009C47DD"/>
    <w:rsid w:val="009C4CFA"/>
    <w:rsid w:val="009C5070"/>
    <w:rsid w:val="009D112C"/>
    <w:rsid w:val="009D1C70"/>
    <w:rsid w:val="009D47FA"/>
    <w:rsid w:val="009D4C5B"/>
    <w:rsid w:val="009D50D2"/>
    <w:rsid w:val="009D6BCA"/>
    <w:rsid w:val="009E0F62"/>
    <w:rsid w:val="009E4A58"/>
    <w:rsid w:val="009E4CF1"/>
    <w:rsid w:val="009E5A2D"/>
    <w:rsid w:val="009E5AB2"/>
    <w:rsid w:val="009E6219"/>
    <w:rsid w:val="009E7BFC"/>
    <w:rsid w:val="009F03B3"/>
    <w:rsid w:val="009F5719"/>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51EA"/>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3332"/>
    <w:rsid w:val="00A53DF2"/>
    <w:rsid w:val="00A55BD6"/>
    <w:rsid w:val="00A55D50"/>
    <w:rsid w:val="00A55DCA"/>
    <w:rsid w:val="00A57142"/>
    <w:rsid w:val="00A571E4"/>
    <w:rsid w:val="00A60539"/>
    <w:rsid w:val="00A648CD"/>
    <w:rsid w:val="00A64B29"/>
    <w:rsid w:val="00A6537A"/>
    <w:rsid w:val="00A67866"/>
    <w:rsid w:val="00A70B07"/>
    <w:rsid w:val="00A723F8"/>
    <w:rsid w:val="00A73959"/>
    <w:rsid w:val="00A75B3A"/>
    <w:rsid w:val="00A77CCB"/>
    <w:rsid w:val="00A8162D"/>
    <w:rsid w:val="00A83D8D"/>
    <w:rsid w:val="00A8446B"/>
    <w:rsid w:val="00A8473F"/>
    <w:rsid w:val="00A862D6"/>
    <w:rsid w:val="00A86F86"/>
    <w:rsid w:val="00A8715E"/>
    <w:rsid w:val="00A91C36"/>
    <w:rsid w:val="00A9295B"/>
    <w:rsid w:val="00A93B09"/>
    <w:rsid w:val="00A94247"/>
    <w:rsid w:val="00A952D7"/>
    <w:rsid w:val="00A963F7"/>
    <w:rsid w:val="00A96725"/>
    <w:rsid w:val="00A96AD8"/>
    <w:rsid w:val="00AA052C"/>
    <w:rsid w:val="00AA1E45"/>
    <w:rsid w:val="00AA3540"/>
    <w:rsid w:val="00AA4286"/>
    <w:rsid w:val="00AA456B"/>
    <w:rsid w:val="00AA57F5"/>
    <w:rsid w:val="00AA672E"/>
    <w:rsid w:val="00AA6EC9"/>
    <w:rsid w:val="00AB262D"/>
    <w:rsid w:val="00AB41D5"/>
    <w:rsid w:val="00AB6309"/>
    <w:rsid w:val="00AB6C5F"/>
    <w:rsid w:val="00AB7129"/>
    <w:rsid w:val="00AC1A8A"/>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46B1"/>
    <w:rsid w:val="00AE5EB4"/>
    <w:rsid w:val="00AF0C18"/>
    <w:rsid w:val="00AF47C5"/>
    <w:rsid w:val="00AF5398"/>
    <w:rsid w:val="00B03194"/>
    <w:rsid w:val="00B043D7"/>
    <w:rsid w:val="00B049AF"/>
    <w:rsid w:val="00B07242"/>
    <w:rsid w:val="00B10502"/>
    <w:rsid w:val="00B10534"/>
    <w:rsid w:val="00B113DB"/>
    <w:rsid w:val="00B11D8A"/>
    <w:rsid w:val="00B12981"/>
    <w:rsid w:val="00B137DE"/>
    <w:rsid w:val="00B147DD"/>
    <w:rsid w:val="00B14BA9"/>
    <w:rsid w:val="00B156FD"/>
    <w:rsid w:val="00B21F61"/>
    <w:rsid w:val="00B261F1"/>
    <w:rsid w:val="00B265BC"/>
    <w:rsid w:val="00B31FB1"/>
    <w:rsid w:val="00B33952"/>
    <w:rsid w:val="00B33C5E"/>
    <w:rsid w:val="00B33E1C"/>
    <w:rsid w:val="00B342F4"/>
    <w:rsid w:val="00B34369"/>
    <w:rsid w:val="00B346C7"/>
    <w:rsid w:val="00B34DC2"/>
    <w:rsid w:val="00B367D5"/>
    <w:rsid w:val="00B378E5"/>
    <w:rsid w:val="00B42C39"/>
    <w:rsid w:val="00B4346D"/>
    <w:rsid w:val="00B440F4"/>
    <w:rsid w:val="00B447A5"/>
    <w:rsid w:val="00B453AE"/>
    <w:rsid w:val="00B4654C"/>
    <w:rsid w:val="00B46AF0"/>
    <w:rsid w:val="00B47293"/>
    <w:rsid w:val="00B50E50"/>
    <w:rsid w:val="00B52120"/>
    <w:rsid w:val="00B533BA"/>
    <w:rsid w:val="00B54ABC"/>
    <w:rsid w:val="00B54DDE"/>
    <w:rsid w:val="00B56FBE"/>
    <w:rsid w:val="00B5786E"/>
    <w:rsid w:val="00B60ACF"/>
    <w:rsid w:val="00B62B58"/>
    <w:rsid w:val="00B65149"/>
    <w:rsid w:val="00B66567"/>
    <w:rsid w:val="00B66F52"/>
    <w:rsid w:val="00B66FE5"/>
    <w:rsid w:val="00B7281E"/>
    <w:rsid w:val="00B72880"/>
    <w:rsid w:val="00B7504E"/>
    <w:rsid w:val="00B7572E"/>
    <w:rsid w:val="00B758BF"/>
    <w:rsid w:val="00B75DE8"/>
    <w:rsid w:val="00B763F2"/>
    <w:rsid w:val="00B77EC8"/>
    <w:rsid w:val="00B827A6"/>
    <w:rsid w:val="00B831CE"/>
    <w:rsid w:val="00B86677"/>
    <w:rsid w:val="00B87131"/>
    <w:rsid w:val="00B87A44"/>
    <w:rsid w:val="00B90B3A"/>
    <w:rsid w:val="00B939B1"/>
    <w:rsid w:val="00B96D40"/>
    <w:rsid w:val="00B97386"/>
    <w:rsid w:val="00BA263B"/>
    <w:rsid w:val="00BA42B2"/>
    <w:rsid w:val="00BA58D4"/>
    <w:rsid w:val="00BA5B9E"/>
    <w:rsid w:val="00BA68A6"/>
    <w:rsid w:val="00BA7C9A"/>
    <w:rsid w:val="00BB203B"/>
    <w:rsid w:val="00BB5F8F"/>
    <w:rsid w:val="00BB6491"/>
    <w:rsid w:val="00BB657A"/>
    <w:rsid w:val="00BC1A4E"/>
    <w:rsid w:val="00BC4790"/>
    <w:rsid w:val="00BC5DC7"/>
    <w:rsid w:val="00BC6B8B"/>
    <w:rsid w:val="00BC73D8"/>
    <w:rsid w:val="00BD1B0B"/>
    <w:rsid w:val="00BD52D7"/>
    <w:rsid w:val="00BD5AD2"/>
    <w:rsid w:val="00BD5CB1"/>
    <w:rsid w:val="00BD7062"/>
    <w:rsid w:val="00BE22F3"/>
    <w:rsid w:val="00BE414D"/>
    <w:rsid w:val="00BE5B52"/>
    <w:rsid w:val="00BE7B8D"/>
    <w:rsid w:val="00BF01D6"/>
    <w:rsid w:val="00BF0993"/>
    <w:rsid w:val="00BF10A9"/>
    <w:rsid w:val="00BF1703"/>
    <w:rsid w:val="00BF231C"/>
    <w:rsid w:val="00BF51E5"/>
    <w:rsid w:val="00BF74A6"/>
    <w:rsid w:val="00C0075F"/>
    <w:rsid w:val="00C013AD"/>
    <w:rsid w:val="00C03263"/>
    <w:rsid w:val="00C04904"/>
    <w:rsid w:val="00C05549"/>
    <w:rsid w:val="00C056B3"/>
    <w:rsid w:val="00C103E5"/>
    <w:rsid w:val="00C13319"/>
    <w:rsid w:val="00C13EE9"/>
    <w:rsid w:val="00C140A4"/>
    <w:rsid w:val="00C16D22"/>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2FB9"/>
    <w:rsid w:val="00C6329F"/>
    <w:rsid w:val="00C63340"/>
    <w:rsid w:val="00C643F9"/>
    <w:rsid w:val="00C64E95"/>
    <w:rsid w:val="00C66C51"/>
    <w:rsid w:val="00C71372"/>
    <w:rsid w:val="00C72410"/>
    <w:rsid w:val="00C72857"/>
    <w:rsid w:val="00C7287F"/>
    <w:rsid w:val="00C75645"/>
    <w:rsid w:val="00C80CB8"/>
    <w:rsid w:val="00C819F8"/>
    <w:rsid w:val="00C8248C"/>
    <w:rsid w:val="00C84E33"/>
    <w:rsid w:val="00C86D6F"/>
    <w:rsid w:val="00C87070"/>
    <w:rsid w:val="00C905FC"/>
    <w:rsid w:val="00C92D03"/>
    <w:rsid w:val="00C9319C"/>
    <w:rsid w:val="00C9435D"/>
    <w:rsid w:val="00C94DF2"/>
    <w:rsid w:val="00C96741"/>
    <w:rsid w:val="00C97797"/>
    <w:rsid w:val="00CA2D1B"/>
    <w:rsid w:val="00CA375D"/>
    <w:rsid w:val="00CA662A"/>
    <w:rsid w:val="00CA722A"/>
    <w:rsid w:val="00CA7AFD"/>
    <w:rsid w:val="00CA7C3C"/>
    <w:rsid w:val="00CB0189"/>
    <w:rsid w:val="00CB0BA2"/>
    <w:rsid w:val="00CB1A42"/>
    <w:rsid w:val="00CB1B0C"/>
    <w:rsid w:val="00CB2C0B"/>
    <w:rsid w:val="00CB517D"/>
    <w:rsid w:val="00CC038D"/>
    <w:rsid w:val="00CC08DB"/>
    <w:rsid w:val="00CC39FF"/>
    <w:rsid w:val="00CC3C2F"/>
    <w:rsid w:val="00CC4112"/>
    <w:rsid w:val="00CC4AC8"/>
    <w:rsid w:val="00CC5233"/>
    <w:rsid w:val="00CC5DE6"/>
    <w:rsid w:val="00CC6E4E"/>
    <w:rsid w:val="00CC6FE8"/>
    <w:rsid w:val="00CC7202"/>
    <w:rsid w:val="00CD2808"/>
    <w:rsid w:val="00CD28BF"/>
    <w:rsid w:val="00CD4092"/>
    <w:rsid w:val="00CD4725"/>
    <w:rsid w:val="00CD4A20"/>
    <w:rsid w:val="00CD50A1"/>
    <w:rsid w:val="00CD519E"/>
    <w:rsid w:val="00CD561D"/>
    <w:rsid w:val="00CE0C4F"/>
    <w:rsid w:val="00CE11B8"/>
    <w:rsid w:val="00CE29A0"/>
    <w:rsid w:val="00CE30EA"/>
    <w:rsid w:val="00CE69A4"/>
    <w:rsid w:val="00CF048A"/>
    <w:rsid w:val="00CF155A"/>
    <w:rsid w:val="00CF2947"/>
    <w:rsid w:val="00CF686F"/>
    <w:rsid w:val="00CF6E60"/>
    <w:rsid w:val="00CF7BCA"/>
    <w:rsid w:val="00CF7C84"/>
    <w:rsid w:val="00D008FD"/>
    <w:rsid w:val="00D011C1"/>
    <w:rsid w:val="00D0321C"/>
    <w:rsid w:val="00D035EC"/>
    <w:rsid w:val="00D06A4F"/>
    <w:rsid w:val="00D06AB1"/>
    <w:rsid w:val="00D072ED"/>
    <w:rsid w:val="00D07A16"/>
    <w:rsid w:val="00D1067E"/>
    <w:rsid w:val="00D10F50"/>
    <w:rsid w:val="00D11272"/>
    <w:rsid w:val="00D123FA"/>
    <w:rsid w:val="00D126F5"/>
    <w:rsid w:val="00D1489E"/>
    <w:rsid w:val="00D160B2"/>
    <w:rsid w:val="00D20737"/>
    <w:rsid w:val="00D210EE"/>
    <w:rsid w:val="00D21E81"/>
    <w:rsid w:val="00D223DE"/>
    <w:rsid w:val="00D25E37"/>
    <w:rsid w:val="00D2661A"/>
    <w:rsid w:val="00D27582"/>
    <w:rsid w:val="00D27EC4"/>
    <w:rsid w:val="00D30DBB"/>
    <w:rsid w:val="00D32719"/>
    <w:rsid w:val="00D33333"/>
    <w:rsid w:val="00D33457"/>
    <w:rsid w:val="00D352A2"/>
    <w:rsid w:val="00D37A78"/>
    <w:rsid w:val="00D4162B"/>
    <w:rsid w:val="00D4514F"/>
    <w:rsid w:val="00D451E2"/>
    <w:rsid w:val="00D45E89"/>
    <w:rsid w:val="00D45E8D"/>
    <w:rsid w:val="00D466AE"/>
    <w:rsid w:val="00D4734F"/>
    <w:rsid w:val="00D51BF3"/>
    <w:rsid w:val="00D57093"/>
    <w:rsid w:val="00D64ACE"/>
    <w:rsid w:val="00D66846"/>
    <w:rsid w:val="00D66A00"/>
    <w:rsid w:val="00D675FB"/>
    <w:rsid w:val="00D71F25"/>
    <w:rsid w:val="00D72A9C"/>
    <w:rsid w:val="00D74531"/>
    <w:rsid w:val="00D7453A"/>
    <w:rsid w:val="00D77031"/>
    <w:rsid w:val="00D84941"/>
    <w:rsid w:val="00D84FA1"/>
    <w:rsid w:val="00D851F0"/>
    <w:rsid w:val="00D86DB7"/>
    <w:rsid w:val="00D90DAA"/>
    <w:rsid w:val="00D91A44"/>
    <w:rsid w:val="00D926D0"/>
    <w:rsid w:val="00D93030"/>
    <w:rsid w:val="00D950E1"/>
    <w:rsid w:val="00D952A6"/>
    <w:rsid w:val="00D97C31"/>
    <w:rsid w:val="00D97F99"/>
    <w:rsid w:val="00DA03BE"/>
    <w:rsid w:val="00DA1E08"/>
    <w:rsid w:val="00DA24F8"/>
    <w:rsid w:val="00DA28E8"/>
    <w:rsid w:val="00DA38D3"/>
    <w:rsid w:val="00DA3932"/>
    <w:rsid w:val="00DA3AFC"/>
    <w:rsid w:val="00DA5191"/>
    <w:rsid w:val="00DA64F8"/>
    <w:rsid w:val="00DA6C15"/>
    <w:rsid w:val="00DB0258"/>
    <w:rsid w:val="00DB38EE"/>
    <w:rsid w:val="00DB3DD6"/>
    <w:rsid w:val="00DB498B"/>
    <w:rsid w:val="00DB66CA"/>
    <w:rsid w:val="00DB6BCA"/>
    <w:rsid w:val="00DB73F7"/>
    <w:rsid w:val="00DC0321"/>
    <w:rsid w:val="00DC3067"/>
    <w:rsid w:val="00DC370B"/>
    <w:rsid w:val="00DC48AB"/>
    <w:rsid w:val="00DC5B90"/>
    <w:rsid w:val="00DC5C84"/>
    <w:rsid w:val="00DD00FF"/>
    <w:rsid w:val="00DD0551"/>
    <w:rsid w:val="00DD0619"/>
    <w:rsid w:val="00DD07FB"/>
    <w:rsid w:val="00DD25C6"/>
    <w:rsid w:val="00DD4FE5"/>
    <w:rsid w:val="00DD54B0"/>
    <w:rsid w:val="00DD57EE"/>
    <w:rsid w:val="00DD6BCC"/>
    <w:rsid w:val="00DE0A4B"/>
    <w:rsid w:val="00DE2410"/>
    <w:rsid w:val="00DE2939"/>
    <w:rsid w:val="00DE6E81"/>
    <w:rsid w:val="00DE703F"/>
    <w:rsid w:val="00DE7595"/>
    <w:rsid w:val="00DF0A4D"/>
    <w:rsid w:val="00DF0C0E"/>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1723"/>
    <w:rsid w:val="00E23D99"/>
    <w:rsid w:val="00E24647"/>
    <w:rsid w:val="00E247DB"/>
    <w:rsid w:val="00E2552F"/>
    <w:rsid w:val="00E31046"/>
    <w:rsid w:val="00E3137A"/>
    <w:rsid w:val="00E32A74"/>
    <w:rsid w:val="00E32CCF"/>
    <w:rsid w:val="00E33704"/>
    <w:rsid w:val="00E34A98"/>
    <w:rsid w:val="00E352EF"/>
    <w:rsid w:val="00E35D1E"/>
    <w:rsid w:val="00E364F9"/>
    <w:rsid w:val="00E365FA"/>
    <w:rsid w:val="00E36789"/>
    <w:rsid w:val="00E37E1C"/>
    <w:rsid w:val="00E42300"/>
    <w:rsid w:val="00E44A83"/>
    <w:rsid w:val="00E502C1"/>
    <w:rsid w:val="00E502DD"/>
    <w:rsid w:val="00E50D3A"/>
    <w:rsid w:val="00E51387"/>
    <w:rsid w:val="00E51AD5"/>
    <w:rsid w:val="00E51E68"/>
    <w:rsid w:val="00E52EFD"/>
    <w:rsid w:val="00E5408A"/>
    <w:rsid w:val="00E541F7"/>
    <w:rsid w:val="00E56800"/>
    <w:rsid w:val="00E60C63"/>
    <w:rsid w:val="00E62FF9"/>
    <w:rsid w:val="00E635D6"/>
    <w:rsid w:val="00E639BC"/>
    <w:rsid w:val="00E664CC"/>
    <w:rsid w:val="00E66B56"/>
    <w:rsid w:val="00E67A6F"/>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A21"/>
    <w:rsid w:val="00EA58D1"/>
    <w:rsid w:val="00EA61BC"/>
    <w:rsid w:val="00EA681A"/>
    <w:rsid w:val="00EA735B"/>
    <w:rsid w:val="00EA74AC"/>
    <w:rsid w:val="00EA750A"/>
    <w:rsid w:val="00EB17DE"/>
    <w:rsid w:val="00EB1E69"/>
    <w:rsid w:val="00EB2086"/>
    <w:rsid w:val="00EB5EDF"/>
    <w:rsid w:val="00EB60FE"/>
    <w:rsid w:val="00EB74DB"/>
    <w:rsid w:val="00EC5359"/>
    <w:rsid w:val="00EC562A"/>
    <w:rsid w:val="00EC7DBB"/>
    <w:rsid w:val="00ED067A"/>
    <w:rsid w:val="00ED2B50"/>
    <w:rsid w:val="00EE0350"/>
    <w:rsid w:val="00EE0719"/>
    <w:rsid w:val="00EE0E80"/>
    <w:rsid w:val="00EE54A6"/>
    <w:rsid w:val="00EE613F"/>
    <w:rsid w:val="00EE7295"/>
    <w:rsid w:val="00EE7869"/>
    <w:rsid w:val="00EF054A"/>
    <w:rsid w:val="00EF0620"/>
    <w:rsid w:val="00EF3235"/>
    <w:rsid w:val="00EF595D"/>
    <w:rsid w:val="00EF5D57"/>
    <w:rsid w:val="00EF7E72"/>
    <w:rsid w:val="00F06106"/>
    <w:rsid w:val="00F06D37"/>
    <w:rsid w:val="00F074F2"/>
    <w:rsid w:val="00F07B9D"/>
    <w:rsid w:val="00F11586"/>
    <w:rsid w:val="00F1183B"/>
    <w:rsid w:val="00F11C9F"/>
    <w:rsid w:val="00F12263"/>
    <w:rsid w:val="00F1409D"/>
    <w:rsid w:val="00F14214"/>
    <w:rsid w:val="00F157A9"/>
    <w:rsid w:val="00F2521C"/>
    <w:rsid w:val="00F25BB6"/>
    <w:rsid w:val="00F26B7E"/>
    <w:rsid w:val="00F27633"/>
    <w:rsid w:val="00F27A3B"/>
    <w:rsid w:val="00F27EB8"/>
    <w:rsid w:val="00F3150C"/>
    <w:rsid w:val="00F32FF0"/>
    <w:rsid w:val="00F33817"/>
    <w:rsid w:val="00F346A2"/>
    <w:rsid w:val="00F420D5"/>
    <w:rsid w:val="00F451EA"/>
    <w:rsid w:val="00F45447"/>
    <w:rsid w:val="00F456C6"/>
    <w:rsid w:val="00F4577B"/>
    <w:rsid w:val="00F46496"/>
    <w:rsid w:val="00F474D0"/>
    <w:rsid w:val="00F50179"/>
    <w:rsid w:val="00F515EE"/>
    <w:rsid w:val="00F534EE"/>
    <w:rsid w:val="00F56511"/>
    <w:rsid w:val="00F601A7"/>
    <w:rsid w:val="00F6194E"/>
    <w:rsid w:val="00F623AC"/>
    <w:rsid w:val="00F6412A"/>
    <w:rsid w:val="00F65893"/>
    <w:rsid w:val="00F66A4A"/>
    <w:rsid w:val="00F67DC4"/>
    <w:rsid w:val="00F71E22"/>
    <w:rsid w:val="00F72142"/>
    <w:rsid w:val="00F72AE7"/>
    <w:rsid w:val="00F767E2"/>
    <w:rsid w:val="00F81141"/>
    <w:rsid w:val="00F82AF6"/>
    <w:rsid w:val="00F833BA"/>
    <w:rsid w:val="00F84FD0"/>
    <w:rsid w:val="00F859A8"/>
    <w:rsid w:val="00F86D87"/>
    <w:rsid w:val="00F9108B"/>
    <w:rsid w:val="00F91349"/>
    <w:rsid w:val="00F93A8A"/>
    <w:rsid w:val="00F95248"/>
    <w:rsid w:val="00F956A9"/>
    <w:rsid w:val="00F96230"/>
    <w:rsid w:val="00F963ED"/>
    <w:rsid w:val="00F966CF"/>
    <w:rsid w:val="00F96CAE"/>
    <w:rsid w:val="00F97C99"/>
    <w:rsid w:val="00FA4DAC"/>
    <w:rsid w:val="00FA662D"/>
    <w:rsid w:val="00FA73B1"/>
    <w:rsid w:val="00FB0CB9"/>
    <w:rsid w:val="00FB231D"/>
    <w:rsid w:val="00FB3B37"/>
    <w:rsid w:val="00FB45F1"/>
    <w:rsid w:val="00FB4A72"/>
    <w:rsid w:val="00FB54E8"/>
    <w:rsid w:val="00FB697A"/>
    <w:rsid w:val="00FB7054"/>
    <w:rsid w:val="00FC17B7"/>
    <w:rsid w:val="00FC2CB7"/>
    <w:rsid w:val="00FC4090"/>
    <w:rsid w:val="00FC55B4"/>
    <w:rsid w:val="00FD00E6"/>
    <w:rsid w:val="00FD09A1"/>
    <w:rsid w:val="00FD2A7C"/>
    <w:rsid w:val="00FD4D39"/>
    <w:rsid w:val="00FD59EB"/>
    <w:rsid w:val="00FD7299"/>
    <w:rsid w:val="00FE1FBE"/>
    <w:rsid w:val="00FE3901"/>
    <w:rsid w:val="00FE39D3"/>
    <w:rsid w:val="00FE4BCE"/>
    <w:rsid w:val="00FE54AE"/>
    <w:rsid w:val="00FE576A"/>
    <w:rsid w:val="00FE6187"/>
    <w:rsid w:val="00FE7E79"/>
    <w:rsid w:val="00FF040B"/>
    <w:rsid w:val="00FF115D"/>
    <w:rsid w:val="00FF3E7D"/>
    <w:rsid w:val="00FF5B99"/>
    <w:rsid w:val="00FF730C"/>
    <w:rsid w:val="00FF73F4"/>
    <w:rsid w:val="00FF7CE4"/>
    <w:rsid w:val="00FF7E39"/>
    <w:rsid w:val="01CE000C"/>
    <w:rsid w:val="04FF56CC"/>
    <w:rsid w:val="075C73C2"/>
    <w:rsid w:val="07F38F61"/>
    <w:rsid w:val="0B552AA6"/>
    <w:rsid w:val="0B7D0D94"/>
    <w:rsid w:val="0D3EBA3F"/>
    <w:rsid w:val="0D7D1AF9"/>
    <w:rsid w:val="0DFF66DB"/>
    <w:rsid w:val="0F7F5E58"/>
    <w:rsid w:val="0FE85A7F"/>
    <w:rsid w:val="0FFEBC85"/>
    <w:rsid w:val="0FFF7FA2"/>
    <w:rsid w:val="13EF9006"/>
    <w:rsid w:val="157D0918"/>
    <w:rsid w:val="15E622DA"/>
    <w:rsid w:val="17303EA1"/>
    <w:rsid w:val="17B32F59"/>
    <w:rsid w:val="1B761CBB"/>
    <w:rsid w:val="1B7BC23E"/>
    <w:rsid w:val="1BCDE436"/>
    <w:rsid w:val="1BD62EB8"/>
    <w:rsid w:val="1BEB5107"/>
    <w:rsid w:val="1BF63C7F"/>
    <w:rsid w:val="1D8BB90F"/>
    <w:rsid w:val="1DA82F09"/>
    <w:rsid w:val="1DCFC914"/>
    <w:rsid w:val="1E2C58E8"/>
    <w:rsid w:val="1E2F901D"/>
    <w:rsid w:val="1E7B571D"/>
    <w:rsid w:val="1F64BD15"/>
    <w:rsid w:val="1F7C6510"/>
    <w:rsid w:val="1F9D3FA9"/>
    <w:rsid w:val="1FCB9ADE"/>
    <w:rsid w:val="1FE79A35"/>
    <w:rsid w:val="1FFD61DA"/>
    <w:rsid w:val="26F30591"/>
    <w:rsid w:val="279F592A"/>
    <w:rsid w:val="27B9C6ED"/>
    <w:rsid w:val="2A5A28D5"/>
    <w:rsid w:val="2A9E8DCF"/>
    <w:rsid w:val="2AF4D878"/>
    <w:rsid w:val="2B7E0390"/>
    <w:rsid w:val="2BFB87F5"/>
    <w:rsid w:val="2CFF407A"/>
    <w:rsid w:val="2DF72C75"/>
    <w:rsid w:val="2DFF6DF2"/>
    <w:rsid w:val="2E5B9D67"/>
    <w:rsid w:val="2E9F821A"/>
    <w:rsid w:val="2EDD5DD3"/>
    <w:rsid w:val="2EFDBD9E"/>
    <w:rsid w:val="2F5132EC"/>
    <w:rsid w:val="2F76BDD8"/>
    <w:rsid w:val="2F77BE05"/>
    <w:rsid w:val="2F77E843"/>
    <w:rsid w:val="2FCD580E"/>
    <w:rsid w:val="2FE20370"/>
    <w:rsid w:val="2FE66C8C"/>
    <w:rsid w:val="2FF3857B"/>
    <w:rsid w:val="2FFDE435"/>
    <w:rsid w:val="339FC0CD"/>
    <w:rsid w:val="33DA1E85"/>
    <w:rsid w:val="33DB7DB1"/>
    <w:rsid w:val="33FF66CE"/>
    <w:rsid w:val="34AD64D1"/>
    <w:rsid w:val="34FBCDF0"/>
    <w:rsid w:val="35562B08"/>
    <w:rsid w:val="359F4862"/>
    <w:rsid w:val="35ED7ECA"/>
    <w:rsid w:val="35EF4A39"/>
    <w:rsid w:val="35F70030"/>
    <w:rsid w:val="35F7CEBE"/>
    <w:rsid w:val="3697B2F5"/>
    <w:rsid w:val="373FD33E"/>
    <w:rsid w:val="377716A7"/>
    <w:rsid w:val="37F3C29A"/>
    <w:rsid w:val="37FBDB57"/>
    <w:rsid w:val="393ECA8B"/>
    <w:rsid w:val="39BFCCA6"/>
    <w:rsid w:val="39FFBC5D"/>
    <w:rsid w:val="3BBFDF5F"/>
    <w:rsid w:val="3BCF1B6E"/>
    <w:rsid w:val="3BDE71DD"/>
    <w:rsid w:val="3BDF7EBE"/>
    <w:rsid w:val="3BDFECE4"/>
    <w:rsid w:val="3BF38D83"/>
    <w:rsid w:val="3CF61143"/>
    <w:rsid w:val="3D1E207E"/>
    <w:rsid w:val="3D6FB42C"/>
    <w:rsid w:val="3D7764A1"/>
    <w:rsid w:val="3D987FF5"/>
    <w:rsid w:val="3DAE5AF6"/>
    <w:rsid w:val="3DD5E7F6"/>
    <w:rsid w:val="3DEF8179"/>
    <w:rsid w:val="3DEFA4A5"/>
    <w:rsid w:val="3DFACA8F"/>
    <w:rsid w:val="3E6FE50B"/>
    <w:rsid w:val="3EAD1971"/>
    <w:rsid w:val="3EBB0FBB"/>
    <w:rsid w:val="3EBFD0C5"/>
    <w:rsid w:val="3ED3F3DB"/>
    <w:rsid w:val="3EDA4D7D"/>
    <w:rsid w:val="3EF9F658"/>
    <w:rsid w:val="3F0F9656"/>
    <w:rsid w:val="3F5F0980"/>
    <w:rsid w:val="3F5F39EE"/>
    <w:rsid w:val="3F6F5477"/>
    <w:rsid w:val="3F765F2B"/>
    <w:rsid w:val="3F99B4E2"/>
    <w:rsid w:val="3FA6178A"/>
    <w:rsid w:val="3FC10BD2"/>
    <w:rsid w:val="3FC9FB65"/>
    <w:rsid w:val="3FDBF934"/>
    <w:rsid w:val="3FDE55AC"/>
    <w:rsid w:val="3FE53B97"/>
    <w:rsid w:val="3FEF0655"/>
    <w:rsid w:val="3FEFA0FA"/>
    <w:rsid w:val="3FEFAAB3"/>
    <w:rsid w:val="3FF72713"/>
    <w:rsid w:val="3FF73850"/>
    <w:rsid w:val="3FF74E47"/>
    <w:rsid w:val="3FF7E138"/>
    <w:rsid w:val="3FFA0BC3"/>
    <w:rsid w:val="3FFA16FF"/>
    <w:rsid w:val="3FFB721A"/>
    <w:rsid w:val="3FFB7519"/>
    <w:rsid w:val="3FFBFC67"/>
    <w:rsid w:val="3FFD87EF"/>
    <w:rsid w:val="3FFDE49F"/>
    <w:rsid w:val="3FFEE5D6"/>
    <w:rsid w:val="3FFF149C"/>
    <w:rsid w:val="3FFF661C"/>
    <w:rsid w:val="3FFF93A6"/>
    <w:rsid w:val="3FFFAD13"/>
    <w:rsid w:val="40A25FF2"/>
    <w:rsid w:val="41FDBDCC"/>
    <w:rsid w:val="43FA3058"/>
    <w:rsid w:val="463F6497"/>
    <w:rsid w:val="46DD1D6D"/>
    <w:rsid w:val="476DF38C"/>
    <w:rsid w:val="4A7DF6EB"/>
    <w:rsid w:val="4B033781"/>
    <w:rsid w:val="4BCD7426"/>
    <w:rsid w:val="4BFB8108"/>
    <w:rsid w:val="4BFD49A3"/>
    <w:rsid w:val="4C6E4E44"/>
    <w:rsid w:val="4CDF398C"/>
    <w:rsid w:val="4DA918AF"/>
    <w:rsid w:val="4DBFA0F9"/>
    <w:rsid w:val="4DEB154D"/>
    <w:rsid w:val="4E4DB15D"/>
    <w:rsid w:val="4E5D6AA7"/>
    <w:rsid w:val="4E6D7873"/>
    <w:rsid w:val="4E7A0C5B"/>
    <w:rsid w:val="4EDBD7EB"/>
    <w:rsid w:val="4EE322A4"/>
    <w:rsid w:val="4EFF2394"/>
    <w:rsid w:val="4F1EEC93"/>
    <w:rsid w:val="4F9E13B7"/>
    <w:rsid w:val="4FD78A37"/>
    <w:rsid w:val="4FF54AE8"/>
    <w:rsid w:val="4FF69BC6"/>
    <w:rsid w:val="4FF8E161"/>
    <w:rsid w:val="4FFDA76D"/>
    <w:rsid w:val="557F4A6A"/>
    <w:rsid w:val="55DE50F0"/>
    <w:rsid w:val="56CFCA29"/>
    <w:rsid w:val="56EF4CCF"/>
    <w:rsid w:val="56FD0C51"/>
    <w:rsid w:val="56FDF8CC"/>
    <w:rsid w:val="56FF2276"/>
    <w:rsid w:val="56FF2DB7"/>
    <w:rsid w:val="56FFCE89"/>
    <w:rsid w:val="572EE8A9"/>
    <w:rsid w:val="577EE8AA"/>
    <w:rsid w:val="57DF4D37"/>
    <w:rsid w:val="57E7A2ED"/>
    <w:rsid w:val="57EE4792"/>
    <w:rsid w:val="57F91EDE"/>
    <w:rsid w:val="57FD9AD8"/>
    <w:rsid w:val="57FE7483"/>
    <w:rsid w:val="57FF72C4"/>
    <w:rsid w:val="58A9A1A3"/>
    <w:rsid w:val="59ED9357"/>
    <w:rsid w:val="59FF557F"/>
    <w:rsid w:val="5A89ACE7"/>
    <w:rsid w:val="5A9E97A0"/>
    <w:rsid w:val="5AFB8FDF"/>
    <w:rsid w:val="5B075047"/>
    <w:rsid w:val="5B857E0A"/>
    <w:rsid w:val="5BF06B87"/>
    <w:rsid w:val="5BF66587"/>
    <w:rsid w:val="5BFBD29E"/>
    <w:rsid w:val="5BFD3A0E"/>
    <w:rsid w:val="5BFF2DF5"/>
    <w:rsid w:val="5C73EF19"/>
    <w:rsid w:val="5CF7CF29"/>
    <w:rsid w:val="5D1F0C5A"/>
    <w:rsid w:val="5D7FD2CF"/>
    <w:rsid w:val="5DB83534"/>
    <w:rsid w:val="5DF5FCA7"/>
    <w:rsid w:val="5DFDC8D5"/>
    <w:rsid w:val="5E5FA163"/>
    <w:rsid w:val="5EA3AD01"/>
    <w:rsid w:val="5EB71A50"/>
    <w:rsid w:val="5EBE7BA1"/>
    <w:rsid w:val="5ECB0AFF"/>
    <w:rsid w:val="5EEDC176"/>
    <w:rsid w:val="5EF503A3"/>
    <w:rsid w:val="5EFC2FC0"/>
    <w:rsid w:val="5EFED62A"/>
    <w:rsid w:val="5F19787B"/>
    <w:rsid w:val="5F3BF457"/>
    <w:rsid w:val="5F76CE7F"/>
    <w:rsid w:val="5F7C8A3F"/>
    <w:rsid w:val="5F7D1531"/>
    <w:rsid w:val="5F86B21B"/>
    <w:rsid w:val="5F87803F"/>
    <w:rsid w:val="5F9D77A3"/>
    <w:rsid w:val="5F9E3B95"/>
    <w:rsid w:val="5FB6DDB1"/>
    <w:rsid w:val="5FB71C38"/>
    <w:rsid w:val="5FBD02D0"/>
    <w:rsid w:val="5FBD59B9"/>
    <w:rsid w:val="5FBE93E6"/>
    <w:rsid w:val="5FDE34E7"/>
    <w:rsid w:val="5FE61D93"/>
    <w:rsid w:val="5FE79AA9"/>
    <w:rsid w:val="5FEB8C60"/>
    <w:rsid w:val="5FEFD6C3"/>
    <w:rsid w:val="5FF779CB"/>
    <w:rsid w:val="5FF7E130"/>
    <w:rsid w:val="5FFBF249"/>
    <w:rsid w:val="5FFE8DAE"/>
    <w:rsid w:val="5FFF3EC3"/>
    <w:rsid w:val="5FFF7FED"/>
    <w:rsid w:val="5FFF8632"/>
    <w:rsid w:val="5FFFA45A"/>
    <w:rsid w:val="5FFFC08E"/>
    <w:rsid w:val="639ADAF3"/>
    <w:rsid w:val="647D5CC2"/>
    <w:rsid w:val="64D145DE"/>
    <w:rsid w:val="653F1444"/>
    <w:rsid w:val="65732613"/>
    <w:rsid w:val="65E76E66"/>
    <w:rsid w:val="65F77389"/>
    <w:rsid w:val="66CB4083"/>
    <w:rsid w:val="66EBD428"/>
    <w:rsid w:val="66EF548D"/>
    <w:rsid w:val="66EFD5E2"/>
    <w:rsid w:val="66FFEFC0"/>
    <w:rsid w:val="67F162CF"/>
    <w:rsid w:val="67F91566"/>
    <w:rsid w:val="67FE919D"/>
    <w:rsid w:val="6A77DB5D"/>
    <w:rsid w:val="6AEF5177"/>
    <w:rsid w:val="6AFE181A"/>
    <w:rsid w:val="6BA1D7FE"/>
    <w:rsid w:val="6BB61E53"/>
    <w:rsid w:val="6BDFF49D"/>
    <w:rsid w:val="6BF521C1"/>
    <w:rsid w:val="6BFBFDD1"/>
    <w:rsid w:val="6BFF59BF"/>
    <w:rsid w:val="6C1DB22F"/>
    <w:rsid w:val="6D6B29C6"/>
    <w:rsid w:val="6D7E160B"/>
    <w:rsid w:val="6DB74B09"/>
    <w:rsid w:val="6DE74189"/>
    <w:rsid w:val="6DEFCD24"/>
    <w:rsid w:val="6DF35556"/>
    <w:rsid w:val="6DF6F6A0"/>
    <w:rsid w:val="6DFEF61D"/>
    <w:rsid w:val="6DFF6955"/>
    <w:rsid w:val="6EB9AC2F"/>
    <w:rsid w:val="6EBD54AC"/>
    <w:rsid w:val="6EEBCFC5"/>
    <w:rsid w:val="6EFBD441"/>
    <w:rsid w:val="6F6C12A3"/>
    <w:rsid w:val="6F6F443C"/>
    <w:rsid w:val="6F73023F"/>
    <w:rsid w:val="6F7B2283"/>
    <w:rsid w:val="6F7E24D5"/>
    <w:rsid w:val="6F8F7728"/>
    <w:rsid w:val="6F97EF3A"/>
    <w:rsid w:val="6FBB4876"/>
    <w:rsid w:val="6FD5FA53"/>
    <w:rsid w:val="6FD92566"/>
    <w:rsid w:val="6FD96B25"/>
    <w:rsid w:val="6FDED81F"/>
    <w:rsid w:val="6FEF40B8"/>
    <w:rsid w:val="6FEF7F8E"/>
    <w:rsid w:val="6FF4590D"/>
    <w:rsid w:val="6FF73CDD"/>
    <w:rsid w:val="6FF7D399"/>
    <w:rsid w:val="6FFE7211"/>
    <w:rsid w:val="6FFF61B8"/>
    <w:rsid w:val="6FFF8832"/>
    <w:rsid w:val="6FFFF124"/>
    <w:rsid w:val="701D68BA"/>
    <w:rsid w:val="70F2F1E2"/>
    <w:rsid w:val="71DF293B"/>
    <w:rsid w:val="72851BFC"/>
    <w:rsid w:val="72E84AE2"/>
    <w:rsid w:val="739128CA"/>
    <w:rsid w:val="73C53850"/>
    <w:rsid w:val="73EBA667"/>
    <w:rsid w:val="73FE91EE"/>
    <w:rsid w:val="73FF8F34"/>
    <w:rsid w:val="73FFD35D"/>
    <w:rsid w:val="747F2118"/>
    <w:rsid w:val="74FD1E93"/>
    <w:rsid w:val="75320FEF"/>
    <w:rsid w:val="756C0A2A"/>
    <w:rsid w:val="75DFF2B6"/>
    <w:rsid w:val="763FD95B"/>
    <w:rsid w:val="768F6201"/>
    <w:rsid w:val="76BD8943"/>
    <w:rsid w:val="76CFB965"/>
    <w:rsid w:val="76EBA15E"/>
    <w:rsid w:val="76FB0C5A"/>
    <w:rsid w:val="76FDAC7D"/>
    <w:rsid w:val="76FE5E37"/>
    <w:rsid w:val="76FE98C8"/>
    <w:rsid w:val="76FFCA66"/>
    <w:rsid w:val="772F7F42"/>
    <w:rsid w:val="775997DD"/>
    <w:rsid w:val="777EDD44"/>
    <w:rsid w:val="77B3C660"/>
    <w:rsid w:val="77B604A1"/>
    <w:rsid w:val="77BF1FBC"/>
    <w:rsid w:val="77CF6240"/>
    <w:rsid w:val="77E7E510"/>
    <w:rsid w:val="77ECC9B6"/>
    <w:rsid w:val="77EFD681"/>
    <w:rsid w:val="77F3F76E"/>
    <w:rsid w:val="77FE7636"/>
    <w:rsid w:val="77FF5426"/>
    <w:rsid w:val="77FFF99A"/>
    <w:rsid w:val="78EF290F"/>
    <w:rsid w:val="798C63B0"/>
    <w:rsid w:val="79BB2EF8"/>
    <w:rsid w:val="79D71E57"/>
    <w:rsid w:val="79F10F36"/>
    <w:rsid w:val="79F55491"/>
    <w:rsid w:val="79FB94A6"/>
    <w:rsid w:val="79FFDA0A"/>
    <w:rsid w:val="79FFF544"/>
    <w:rsid w:val="7A69B86C"/>
    <w:rsid w:val="7A733EC8"/>
    <w:rsid w:val="7A7E889C"/>
    <w:rsid w:val="7A9667F5"/>
    <w:rsid w:val="7A976268"/>
    <w:rsid w:val="7AA702ED"/>
    <w:rsid w:val="7ABBEDD8"/>
    <w:rsid w:val="7AD37DFF"/>
    <w:rsid w:val="7AD53EE7"/>
    <w:rsid w:val="7AF7C2F0"/>
    <w:rsid w:val="7AFDD68F"/>
    <w:rsid w:val="7B4909FD"/>
    <w:rsid w:val="7B5922C1"/>
    <w:rsid w:val="7B9CD172"/>
    <w:rsid w:val="7B9E56D1"/>
    <w:rsid w:val="7BAE9A4B"/>
    <w:rsid w:val="7BBF7F1D"/>
    <w:rsid w:val="7BBFD62B"/>
    <w:rsid w:val="7BC7666F"/>
    <w:rsid w:val="7BDF43BF"/>
    <w:rsid w:val="7BDF46B9"/>
    <w:rsid w:val="7BE91730"/>
    <w:rsid w:val="7BEDD14F"/>
    <w:rsid w:val="7BEEBD75"/>
    <w:rsid w:val="7BEF1ED9"/>
    <w:rsid w:val="7BEF2FE9"/>
    <w:rsid w:val="7BF65CB9"/>
    <w:rsid w:val="7BF927B7"/>
    <w:rsid w:val="7BFB3384"/>
    <w:rsid w:val="7BFCED3F"/>
    <w:rsid w:val="7BFCF3DD"/>
    <w:rsid w:val="7BFD7772"/>
    <w:rsid w:val="7BFDDCCA"/>
    <w:rsid w:val="7BFEADCA"/>
    <w:rsid w:val="7BFF2AB1"/>
    <w:rsid w:val="7BFF4943"/>
    <w:rsid w:val="7BFF68AB"/>
    <w:rsid w:val="7BFF6EFD"/>
    <w:rsid w:val="7CCE71F9"/>
    <w:rsid w:val="7CEBFE33"/>
    <w:rsid w:val="7CED7696"/>
    <w:rsid w:val="7CEF5C0F"/>
    <w:rsid w:val="7CF5AE9E"/>
    <w:rsid w:val="7CFBE457"/>
    <w:rsid w:val="7D8EA402"/>
    <w:rsid w:val="7DB34D03"/>
    <w:rsid w:val="7DBEDF1A"/>
    <w:rsid w:val="7DCF6537"/>
    <w:rsid w:val="7DDF4F10"/>
    <w:rsid w:val="7DF11046"/>
    <w:rsid w:val="7DF253F8"/>
    <w:rsid w:val="7DF72A87"/>
    <w:rsid w:val="7DFA46C7"/>
    <w:rsid w:val="7DFBC01E"/>
    <w:rsid w:val="7DFBD32E"/>
    <w:rsid w:val="7DFF2F71"/>
    <w:rsid w:val="7E379AF4"/>
    <w:rsid w:val="7E7BEFAB"/>
    <w:rsid w:val="7E7F3D78"/>
    <w:rsid w:val="7E7F5A65"/>
    <w:rsid w:val="7E7FE5DD"/>
    <w:rsid w:val="7E7FF6F4"/>
    <w:rsid w:val="7E938655"/>
    <w:rsid w:val="7EB010B4"/>
    <w:rsid w:val="7EBABFF0"/>
    <w:rsid w:val="7EBFFAA5"/>
    <w:rsid w:val="7ECFE3E0"/>
    <w:rsid w:val="7EEE1E6E"/>
    <w:rsid w:val="7EF528FB"/>
    <w:rsid w:val="7EF669CB"/>
    <w:rsid w:val="7EF74422"/>
    <w:rsid w:val="7EF7D34C"/>
    <w:rsid w:val="7EF90DC9"/>
    <w:rsid w:val="7EFB98A1"/>
    <w:rsid w:val="7EFBC2B9"/>
    <w:rsid w:val="7EFF36B8"/>
    <w:rsid w:val="7EFFB848"/>
    <w:rsid w:val="7EFFDC99"/>
    <w:rsid w:val="7F170AC0"/>
    <w:rsid w:val="7F1B2AF3"/>
    <w:rsid w:val="7F1B7DD8"/>
    <w:rsid w:val="7F21E473"/>
    <w:rsid w:val="7F329CAA"/>
    <w:rsid w:val="7F36298A"/>
    <w:rsid w:val="7F3D216D"/>
    <w:rsid w:val="7F3E45DB"/>
    <w:rsid w:val="7F3FB534"/>
    <w:rsid w:val="7F54171E"/>
    <w:rsid w:val="7F5E3842"/>
    <w:rsid w:val="7F5F0EE9"/>
    <w:rsid w:val="7F687A31"/>
    <w:rsid w:val="7F6EADC0"/>
    <w:rsid w:val="7F769207"/>
    <w:rsid w:val="7F7C9107"/>
    <w:rsid w:val="7F7D0CC7"/>
    <w:rsid w:val="7F7E2B85"/>
    <w:rsid w:val="7F7F1100"/>
    <w:rsid w:val="7F9BFC09"/>
    <w:rsid w:val="7F9D0005"/>
    <w:rsid w:val="7F9D7956"/>
    <w:rsid w:val="7F9FD18C"/>
    <w:rsid w:val="7FAB1B2D"/>
    <w:rsid w:val="7FAB87B6"/>
    <w:rsid w:val="7FB35F60"/>
    <w:rsid w:val="7FB66027"/>
    <w:rsid w:val="7FB785AA"/>
    <w:rsid w:val="7FB79AB3"/>
    <w:rsid w:val="7FB7D812"/>
    <w:rsid w:val="7FBA2FAA"/>
    <w:rsid w:val="7FBE233C"/>
    <w:rsid w:val="7FBE2543"/>
    <w:rsid w:val="7FBF5725"/>
    <w:rsid w:val="7FBFA662"/>
    <w:rsid w:val="7FBFBC03"/>
    <w:rsid w:val="7FBFFFC7"/>
    <w:rsid w:val="7FCF5F2E"/>
    <w:rsid w:val="7FD3B4C3"/>
    <w:rsid w:val="7FD7BFDD"/>
    <w:rsid w:val="7FDCA9FD"/>
    <w:rsid w:val="7FDFBD6F"/>
    <w:rsid w:val="7FDFF372"/>
    <w:rsid w:val="7FE7375A"/>
    <w:rsid w:val="7FEE0350"/>
    <w:rsid w:val="7FEEE07B"/>
    <w:rsid w:val="7FEF4EAA"/>
    <w:rsid w:val="7FEFBAEF"/>
    <w:rsid w:val="7FF30BE2"/>
    <w:rsid w:val="7FF31014"/>
    <w:rsid w:val="7FF5E19E"/>
    <w:rsid w:val="7FF6992A"/>
    <w:rsid w:val="7FF6B65C"/>
    <w:rsid w:val="7FF7A654"/>
    <w:rsid w:val="7FF7CB0C"/>
    <w:rsid w:val="7FF9D61B"/>
    <w:rsid w:val="7FFB3844"/>
    <w:rsid w:val="7FFB5919"/>
    <w:rsid w:val="7FFB9693"/>
    <w:rsid w:val="7FFBD176"/>
    <w:rsid w:val="7FFCEA3A"/>
    <w:rsid w:val="7FFCFFD4"/>
    <w:rsid w:val="7FFDC964"/>
    <w:rsid w:val="7FFE0D58"/>
    <w:rsid w:val="7FFE6675"/>
    <w:rsid w:val="7FFF1380"/>
    <w:rsid w:val="7FFF185E"/>
    <w:rsid w:val="7FFF1ECD"/>
    <w:rsid w:val="7FFF1F07"/>
    <w:rsid w:val="7FFF553A"/>
    <w:rsid w:val="7FFF8372"/>
    <w:rsid w:val="7FFFA9A9"/>
    <w:rsid w:val="7FFFAD55"/>
    <w:rsid w:val="7FFFD528"/>
    <w:rsid w:val="7FFFDE11"/>
    <w:rsid w:val="877FBA26"/>
    <w:rsid w:val="89FF840C"/>
    <w:rsid w:val="8BF6ADD8"/>
    <w:rsid w:val="8DDE23A1"/>
    <w:rsid w:val="8F1E921C"/>
    <w:rsid w:val="8F3F8CB4"/>
    <w:rsid w:val="8FBB234B"/>
    <w:rsid w:val="8FBFE90D"/>
    <w:rsid w:val="96DFDAB6"/>
    <w:rsid w:val="97D4D1AD"/>
    <w:rsid w:val="97FED9A1"/>
    <w:rsid w:val="987B5471"/>
    <w:rsid w:val="99FFC9D4"/>
    <w:rsid w:val="9AE50785"/>
    <w:rsid w:val="9B376B95"/>
    <w:rsid w:val="9D01ADFD"/>
    <w:rsid w:val="9DFE0147"/>
    <w:rsid w:val="9EF799EE"/>
    <w:rsid w:val="9F691D71"/>
    <w:rsid w:val="9FC76946"/>
    <w:rsid w:val="9FDDF224"/>
    <w:rsid w:val="9FDF26A4"/>
    <w:rsid w:val="9FEDD706"/>
    <w:rsid w:val="9FF7F62B"/>
    <w:rsid w:val="9FFC8444"/>
    <w:rsid w:val="9FFD25F0"/>
    <w:rsid w:val="9FFD4F6E"/>
    <w:rsid w:val="9FFF13CC"/>
    <w:rsid w:val="A397BA88"/>
    <w:rsid w:val="A5EC8808"/>
    <w:rsid w:val="A77CE476"/>
    <w:rsid w:val="A7BF8C57"/>
    <w:rsid w:val="AA6F28F2"/>
    <w:rsid w:val="AA9FDF1C"/>
    <w:rsid w:val="AB7FDD34"/>
    <w:rsid w:val="ABF8B2D4"/>
    <w:rsid w:val="AD9AEDA7"/>
    <w:rsid w:val="ADB753B8"/>
    <w:rsid w:val="ADD563AA"/>
    <w:rsid w:val="ADE947FE"/>
    <w:rsid w:val="ADFF802F"/>
    <w:rsid w:val="AE924DA2"/>
    <w:rsid w:val="AEBC10C4"/>
    <w:rsid w:val="AEEE0554"/>
    <w:rsid w:val="AEEF6039"/>
    <w:rsid w:val="AEFF8B0C"/>
    <w:rsid w:val="AF3B4B78"/>
    <w:rsid w:val="AF5E4E4F"/>
    <w:rsid w:val="AF77948B"/>
    <w:rsid w:val="AFB2B496"/>
    <w:rsid w:val="AFB73BA3"/>
    <w:rsid w:val="AFBDB995"/>
    <w:rsid w:val="AFCF72E0"/>
    <w:rsid w:val="AFD799BD"/>
    <w:rsid w:val="AFDD08F4"/>
    <w:rsid w:val="AFDE4472"/>
    <w:rsid w:val="AFDF009D"/>
    <w:rsid w:val="AFE59AEA"/>
    <w:rsid w:val="AFEDB605"/>
    <w:rsid w:val="AFF64486"/>
    <w:rsid w:val="AFFCE44C"/>
    <w:rsid w:val="AFFF04C2"/>
    <w:rsid w:val="AFFFFF77"/>
    <w:rsid w:val="B1FBBB21"/>
    <w:rsid w:val="B2B1A37B"/>
    <w:rsid w:val="B3F73C41"/>
    <w:rsid w:val="B3FB0024"/>
    <w:rsid w:val="B3FE0A62"/>
    <w:rsid w:val="B3FF84DE"/>
    <w:rsid w:val="B56DA9CD"/>
    <w:rsid w:val="B57E4D49"/>
    <w:rsid w:val="B5DA482E"/>
    <w:rsid w:val="B65F4224"/>
    <w:rsid w:val="B6FDC328"/>
    <w:rsid w:val="B73FC3BC"/>
    <w:rsid w:val="B775871F"/>
    <w:rsid w:val="B7784A68"/>
    <w:rsid w:val="B77FBEF8"/>
    <w:rsid w:val="B7AF5293"/>
    <w:rsid w:val="B7FA95F4"/>
    <w:rsid w:val="B7FF307A"/>
    <w:rsid w:val="B7FF758C"/>
    <w:rsid w:val="B8BFA282"/>
    <w:rsid w:val="B9BFD117"/>
    <w:rsid w:val="B9DFFC69"/>
    <w:rsid w:val="B9FF5476"/>
    <w:rsid w:val="BAFC495E"/>
    <w:rsid w:val="BAFEDFAA"/>
    <w:rsid w:val="BBBF6433"/>
    <w:rsid w:val="BBD38C12"/>
    <w:rsid w:val="BBFE8A17"/>
    <w:rsid w:val="BBFF0EF7"/>
    <w:rsid w:val="BD2395F3"/>
    <w:rsid w:val="BD2DB9A3"/>
    <w:rsid w:val="BDAB4307"/>
    <w:rsid w:val="BDBFFCE7"/>
    <w:rsid w:val="BDD8B88D"/>
    <w:rsid w:val="BDDB16F3"/>
    <w:rsid w:val="BDDEBB28"/>
    <w:rsid w:val="BDDEECEA"/>
    <w:rsid w:val="BDF664EE"/>
    <w:rsid w:val="BDFECDCC"/>
    <w:rsid w:val="BDFF52B4"/>
    <w:rsid w:val="BE4F21CE"/>
    <w:rsid w:val="BE5F0F8D"/>
    <w:rsid w:val="BE5F5039"/>
    <w:rsid w:val="BE5FE4A7"/>
    <w:rsid w:val="BE7E3896"/>
    <w:rsid w:val="BEBEB97B"/>
    <w:rsid w:val="BEDF7465"/>
    <w:rsid w:val="BEDFE53F"/>
    <w:rsid w:val="BEFF9CF7"/>
    <w:rsid w:val="BF1F3E88"/>
    <w:rsid w:val="BF2F78F5"/>
    <w:rsid w:val="BF4FDA2B"/>
    <w:rsid w:val="BF6F3B52"/>
    <w:rsid w:val="BF7FAB7C"/>
    <w:rsid w:val="BF97FD36"/>
    <w:rsid w:val="BFA6CC79"/>
    <w:rsid w:val="BFA7CFE1"/>
    <w:rsid w:val="BFCF7129"/>
    <w:rsid w:val="BFD1F6CF"/>
    <w:rsid w:val="BFDFA6E6"/>
    <w:rsid w:val="BFEE3851"/>
    <w:rsid w:val="BFEFF494"/>
    <w:rsid w:val="BFF5F72C"/>
    <w:rsid w:val="BFF76563"/>
    <w:rsid w:val="BFF78BA1"/>
    <w:rsid w:val="BFFD3DDA"/>
    <w:rsid w:val="BFFDE990"/>
    <w:rsid w:val="BFFED4A6"/>
    <w:rsid w:val="BFFF2B67"/>
    <w:rsid w:val="BFFF352B"/>
    <w:rsid w:val="BFFF8619"/>
    <w:rsid w:val="C2ADF274"/>
    <w:rsid w:val="C3F70CE5"/>
    <w:rsid w:val="C5716961"/>
    <w:rsid w:val="C5FFADF3"/>
    <w:rsid w:val="C7698C3E"/>
    <w:rsid w:val="C77B37EC"/>
    <w:rsid w:val="C7E70D8C"/>
    <w:rsid w:val="CBB78732"/>
    <w:rsid w:val="CBDA6947"/>
    <w:rsid w:val="CBFF86E9"/>
    <w:rsid w:val="CC665B9F"/>
    <w:rsid w:val="CD67F0FE"/>
    <w:rsid w:val="CD6FFCEF"/>
    <w:rsid w:val="CDFB7EB0"/>
    <w:rsid w:val="CEDD0826"/>
    <w:rsid w:val="CEDF28CF"/>
    <w:rsid w:val="CF776293"/>
    <w:rsid w:val="CF79A929"/>
    <w:rsid w:val="CF9D6453"/>
    <w:rsid w:val="CFBFE5F1"/>
    <w:rsid w:val="CFCD8759"/>
    <w:rsid w:val="CFEBB348"/>
    <w:rsid w:val="CFEDD4CE"/>
    <w:rsid w:val="CFEFFC5C"/>
    <w:rsid w:val="CFF59E33"/>
    <w:rsid w:val="CFFE8405"/>
    <w:rsid w:val="CFFFA03D"/>
    <w:rsid w:val="CFFFC5D9"/>
    <w:rsid w:val="CFFFECC9"/>
    <w:rsid w:val="D1FA918A"/>
    <w:rsid w:val="D2A78D35"/>
    <w:rsid w:val="D3BE7747"/>
    <w:rsid w:val="D3F792C0"/>
    <w:rsid w:val="D3FAC0A6"/>
    <w:rsid w:val="D5F3CFB1"/>
    <w:rsid w:val="D5FB4727"/>
    <w:rsid w:val="D6FDDCC6"/>
    <w:rsid w:val="D71F9FCC"/>
    <w:rsid w:val="D76B464D"/>
    <w:rsid w:val="D7BF23F8"/>
    <w:rsid w:val="D7ED372B"/>
    <w:rsid w:val="D7F1FE30"/>
    <w:rsid w:val="D7F935FA"/>
    <w:rsid w:val="D7FBA8B8"/>
    <w:rsid w:val="D7FD0C14"/>
    <w:rsid w:val="D93BEA2A"/>
    <w:rsid w:val="D9FB5883"/>
    <w:rsid w:val="DAB8F9F3"/>
    <w:rsid w:val="DABCD441"/>
    <w:rsid w:val="DAF3361A"/>
    <w:rsid w:val="DAF7B5B5"/>
    <w:rsid w:val="DB0F99C1"/>
    <w:rsid w:val="DB6F35C6"/>
    <w:rsid w:val="DBB66540"/>
    <w:rsid w:val="DBBD225B"/>
    <w:rsid w:val="DCBE1C3C"/>
    <w:rsid w:val="DD7F5449"/>
    <w:rsid w:val="DDBD4986"/>
    <w:rsid w:val="DDBFA700"/>
    <w:rsid w:val="DDDB1873"/>
    <w:rsid w:val="DE1E2E99"/>
    <w:rsid w:val="DEAF5D86"/>
    <w:rsid w:val="DEBFAC51"/>
    <w:rsid w:val="DEC7E192"/>
    <w:rsid w:val="DEDD4B64"/>
    <w:rsid w:val="DEF31980"/>
    <w:rsid w:val="DEFD7988"/>
    <w:rsid w:val="DF0F965E"/>
    <w:rsid w:val="DF558036"/>
    <w:rsid w:val="DF61642C"/>
    <w:rsid w:val="DF74F67A"/>
    <w:rsid w:val="DF7F6B65"/>
    <w:rsid w:val="DF9EC547"/>
    <w:rsid w:val="DF9F6274"/>
    <w:rsid w:val="DF9FA4B5"/>
    <w:rsid w:val="DFA7D166"/>
    <w:rsid w:val="DFAFFC84"/>
    <w:rsid w:val="DFBAE87B"/>
    <w:rsid w:val="DFBFE2CB"/>
    <w:rsid w:val="DFEC7C63"/>
    <w:rsid w:val="DFF67CC8"/>
    <w:rsid w:val="DFFB9539"/>
    <w:rsid w:val="DFFD9642"/>
    <w:rsid w:val="DFFDBC5F"/>
    <w:rsid w:val="DFFF344C"/>
    <w:rsid w:val="DFFF6119"/>
    <w:rsid w:val="DFFF655F"/>
    <w:rsid w:val="DFFF6C07"/>
    <w:rsid w:val="DFFF6F84"/>
    <w:rsid w:val="E0CDF625"/>
    <w:rsid w:val="E2D3921B"/>
    <w:rsid w:val="E3BB3FD1"/>
    <w:rsid w:val="E3BBBDAF"/>
    <w:rsid w:val="E3DF1505"/>
    <w:rsid w:val="E4F8A5C5"/>
    <w:rsid w:val="E4FF8F12"/>
    <w:rsid w:val="E57798A3"/>
    <w:rsid w:val="E6DFF180"/>
    <w:rsid w:val="E6FE745A"/>
    <w:rsid w:val="E6FF4BC3"/>
    <w:rsid w:val="E6FFE13E"/>
    <w:rsid w:val="E77ACE03"/>
    <w:rsid w:val="E77E28F9"/>
    <w:rsid w:val="E77FC793"/>
    <w:rsid w:val="E7BD9A7C"/>
    <w:rsid w:val="E7DFBDA3"/>
    <w:rsid w:val="E7FD9190"/>
    <w:rsid w:val="E7FE939F"/>
    <w:rsid w:val="E8520451"/>
    <w:rsid w:val="E9B7347E"/>
    <w:rsid w:val="E9BF51DC"/>
    <w:rsid w:val="E9C74EF6"/>
    <w:rsid w:val="EABF202B"/>
    <w:rsid w:val="EAEF7243"/>
    <w:rsid w:val="EAF3A24B"/>
    <w:rsid w:val="EB3D2395"/>
    <w:rsid w:val="EB5E318E"/>
    <w:rsid w:val="EB6F1302"/>
    <w:rsid w:val="EB7F645E"/>
    <w:rsid w:val="EBED2C44"/>
    <w:rsid w:val="EBFB5627"/>
    <w:rsid w:val="EBFF6748"/>
    <w:rsid w:val="EBFF81F9"/>
    <w:rsid w:val="ECFB903B"/>
    <w:rsid w:val="ED2E06F9"/>
    <w:rsid w:val="ED6F9373"/>
    <w:rsid w:val="EDE93FEA"/>
    <w:rsid w:val="EDFF0950"/>
    <w:rsid w:val="EE82211F"/>
    <w:rsid w:val="EEB496EB"/>
    <w:rsid w:val="EEC19D42"/>
    <w:rsid w:val="EEE76809"/>
    <w:rsid w:val="EEF72B0A"/>
    <w:rsid w:val="EEF734D6"/>
    <w:rsid w:val="EEF751F0"/>
    <w:rsid w:val="EEF7F6FA"/>
    <w:rsid w:val="EEF90A18"/>
    <w:rsid w:val="EF65BD91"/>
    <w:rsid w:val="EF775CF6"/>
    <w:rsid w:val="EF77CB11"/>
    <w:rsid w:val="EF7D9CCB"/>
    <w:rsid w:val="EF7DDEF2"/>
    <w:rsid w:val="EF7F75F7"/>
    <w:rsid w:val="EF7FD531"/>
    <w:rsid w:val="EF935FD5"/>
    <w:rsid w:val="EF966C19"/>
    <w:rsid w:val="EF9E64C5"/>
    <w:rsid w:val="EFE5CEFE"/>
    <w:rsid w:val="EFE6658E"/>
    <w:rsid w:val="EFECC103"/>
    <w:rsid w:val="EFF2FFF6"/>
    <w:rsid w:val="EFF68EE9"/>
    <w:rsid w:val="EFF6DC40"/>
    <w:rsid w:val="EFF779D3"/>
    <w:rsid w:val="EFFE18C6"/>
    <w:rsid w:val="EFFF291B"/>
    <w:rsid w:val="F1F72554"/>
    <w:rsid w:val="F273143B"/>
    <w:rsid w:val="F37E50A6"/>
    <w:rsid w:val="F3A3FADE"/>
    <w:rsid w:val="F3BFCC4F"/>
    <w:rsid w:val="F3CF0234"/>
    <w:rsid w:val="F3FE4131"/>
    <w:rsid w:val="F3FF5386"/>
    <w:rsid w:val="F559EF1F"/>
    <w:rsid w:val="F57D717A"/>
    <w:rsid w:val="F5978EA3"/>
    <w:rsid w:val="F5B65755"/>
    <w:rsid w:val="F5BF305D"/>
    <w:rsid w:val="F5DB38C3"/>
    <w:rsid w:val="F5E791AE"/>
    <w:rsid w:val="F6D76BB7"/>
    <w:rsid w:val="F6DFB831"/>
    <w:rsid w:val="F6EFC9C2"/>
    <w:rsid w:val="F6FE22A2"/>
    <w:rsid w:val="F75EE279"/>
    <w:rsid w:val="F7672259"/>
    <w:rsid w:val="F77CA9C4"/>
    <w:rsid w:val="F77EB98B"/>
    <w:rsid w:val="F79F1D35"/>
    <w:rsid w:val="F7CEA592"/>
    <w:rsid w:val="F7D7E7B9"/>
    <w:rsid w:val="F7E842E8"/>
    <w:rsid w:val="F7EB8865"/>
    <w:rsid w:val="F7EC1B28"/>
    <w:rsid w:val="F7F70A07"/>
    <w:rsid w:val="F7F8BDCD"/>
    <w:rsid w:val="F7FB8FFA"/>
    <w:rsid w:val="F7FD72F7"/>
    <w:rsid w:val="F7FF04F3"/>
    <w:rsid w:val="F8773B28"/>
    <w:rsid w:val="F8F5E0C9"/>
    <w:rsid w:val="F8F9315A"/>
    <w:rsid w:val="F94FCF82"/>
    <w:rsid w:val="F9530DB3"/>
    <w:rsid w:val="F9DF4060"/>
    <w:rsid w:val="F9DFB385"/>
    <w:rsid w:val="F9FD2229"/>
    <w:rsid w:val="FABA5EB1"/>
    <w:rsid w:val="FABB2581"/>
    <w:rsid w:val="FAC739AB"/>
    <w:rsid w:val="FAEFBDBE"/>
    <w:rsid w:val="FAFDD469"/>
    <w:rsid w:val="FB2D74C1"/>
    <w:rsid w:val="FB4F87C1"/>
    <w:rsid w:val="FB5F30C7"/>
    <w:rsid w:val="FB6D5253"/>
    <w:rsid w:val="FB79AE51"/>
    <w:rsid w:val="FB7A6483"/>
    <w:rsid w:val="FB7AF415"/>
    <w:rsid w:val="FB7B910D"/>
    <w:rsid w:val="FB7B9898"/>
    <w:rsid w:val="FB9F7D03"/>
    <w:rsid w:val="FBAFD8A9"/>
    <w:rsid w:val="FBB52268"/>
    <w:rsid w:val="FBBE5CF6"/>
    <w:rsid w:val="FBBF614B"/>
    <w:rsid w:val="FBBFB115"/>
    <w:rsid w:val="FBBFC0E4"/>
    <w:rsid w:val="FBCB436A"/>
    <w:rsid w:val="FBDD85A2"/>
    <w:rsid w:val="FBDEC530"/>
    <w:rsid w:val="FBE9B2CC"/>
    <w:rsid w:val="FBF66098"/>
    <w:rsid w:val="FBF79C7E"/>
    <w:rsid w:val="FBF7A6EA"/>
    <w:rsid w:val="FBF9DBBB"/>
    <w:rsid w:val="FBFD843D"/>
    <w:rsid w:val="FBFD9DDD"/>
    <w:rsid w:val="FBFDCC04"/>
    <w:rsid w:val="FBFE87E9"/>
    <w:rsid w:val="FBFEC519"/>
    <w:rsid w:val="FBFEE2B8"/>
    <w:rsid w:val="FBFF9397"/>
    <w:rsid w:val="FC6B3821"/>
    <w:rsid w:val="FC6F8C02"/>
    <w:rsid w:val="FC7BF04D"/>
    <w:rsid w:val="FCA399A4"/>
    <w:rsid w:val="FCBDF3F6"/>
    <w:rsid w:val="FCFBA593"/>
    <w:rsid w:val="FCFFE123"/>
    <w:rsid w:val="FD37906D"/>
    <w:rsid w:val="FD5FD477"/>
    <w:rsid w:val="FD6FC42D"/>
    <w:rsid w:val="FD6FCA6A"/>
    <w:rsid w:val="FD97F112"/>
    <w:rsid w:val="FDAF26D1"/>
    <w:rsid w:val="FDAF6B81"/>
    <w:rsid w:val="FDBF4894"/>
    <w:rsid w:val="FDBFE6B0"/>
    <w:rsid w:val="FDD35279"/>
    <w:rsid w:val="FDDA8B27"/>
    <w:rsid w:val="FDE7021B"/>
    <w:rsid w:val="FDE94762"/>
    <w:rsid w:val="FDF19FD4"/>
    <w:rsid w:val="FDF9180A"/>
    <w:rsid w:val="FDFAEA59"/>
    <w:rsid w:val="FDFBD149"/>
    <w:rsid w:val="FDFF7714"/>
    <w:rsid w:val="FDFF7DC4"/>
    <w:rsid w:val="FE3FA692"/>
    <w:rsid w:val="FE3FD5B2"/>
    <w:rsid w:val="FE4D1750"/>
    <w:rsid w:val="FE6F1097"/>
    <w:rsid w:val="FE7B9003"/>
    <w:rsid w:val="FE7FD3BE"/>
    <w:rsid w:val="FE9508DA"/>
    <w:rsid w:val="FEB39428"/>
    <w:rsid w:val="FEBDA08C"/>
    <w:rsid w:val="FEBF63B3"/>
    <w:rsid w:val="FEE5CF7F"/>
    <w:rsid w:val="FEEF2A34"/>
    <w:rsid w:val="FEF33F16"/>
    <w:rsid w:val="FEF639D9"/>
    <w:rsid w:val="FEF78CA6"/>
    <w:rsid w:val="FEF7C419"/>
    <w:rsid w:val="FEFB419C"/>
    <w:rsid w:val="FEFB6FE2"/>
    <w:rsid w:val="FEFDCC78"/>
    <w:rsid w:val="FEFF2431"/>
    <w:rsid w:val="FEFF3608"/>
    <w:rsid w:val="FEFFD9B8"/>
    <w:rsid w:val="FF1F0BB7"/>
    <w:rsid w:val="FF355A76"/>
    <w:rsid w:val="FF531125"/>
    <w:rsid w:val="FF578B4E"/>
    <w:rsid w:val="FF581CDF"/>
    <w:rsid w:val="FF597122"/>
    <w:rsid w:val="FF5B17C1"/>
    <w:rsid w:val="FF5F9651"/>
    <w:rsid w:val="FF64F610"/>
    <w:rsid w:val="FF6E9BBC"/>
    <w:rsid w:val="FF76E3CF"/>
    <w:rsid w:val="FF7A64DD"/>
    <w:rsid w:val="FF7B002A"/>
    <w:rsid w:val="FF7B9C02"/>
    <w:rsid w:val="FF7D6675"/>
    <w:rsid w:val="FF7EC65F"/>
    <w:rsid w:val="FF7F1D4C"/>
    <w:rsid w:val="FF93E08B"/>
    <w:rsid w:val="FF9BDE0D"/>
    <w:rsid w:val="FF9CADAA"/>
    <w:rsid w:val="FF9D8069"/>
    <w:rsid w:val="FF9FC041"/>
    <w:rsid w:val="FFA91885"/>
    <w:rsid w:val="FFB22AF1"/>
    <w:rsid w:val="FFB3E923"/>
    <w:rsid w:val="FFB6DA14"/>
    <w:rsid w:val="FFB74046"/>
    <w:rsid w:val="FFB7955C"/>
    <w:rsid w:val="FFBD6A45"/>
    <w:rsid w:val="FFBF23AF"/>
    <w:rsid w:val="FFBFE379"/>
    <w:rsid w:val="FFC7FFBB"/>
    <w:rsid w:val="FFCFA8DE"/>
    <w:rsid w:val="FFDD93EB"/>
    <w:rsid w:val="FFDE5AC5"/>
    <w:rsid w:val="FFDF041E"/>
    <w:rsid w:val="FFEB94BB"/>
    <w:rsid w:val="FFEBA813"/>
    <w:rsid w:val="FFEBE4A8"/>
    <w:rsid w:val="FFED55AF"/>
    <w:rsid w:val="FFEFD589"/>
    <w:rsid w:val="FFEFED40"/>
    <w:rsid w:val="FFF36177"/>
    <w:rsid w:val="FFF4C067"/>
    <w:rsid w:val="FFF52BB2"/>
    <w:rsid w:val="FFF52FF3"/>
    <w:rsid w:val="FFF6A252"/>
    <w:rsid w:val="FFF6CE03"/>
    <w:rsid w:val="FFF717D8"/>
    <w:rsid w:val="FFF78890"/>
    <w:rsid w:val="FFF9FD50"/>
    <w:rsid w:val="FFFA9104"/>
    <w:rsid w:val="FFFB0378"/>
    <w:rsid w:val="FFFD8EAA"/>
    <w:rsid w:val="FFFE2B3E"/>
    <w:rsid w:val="FFFE3164"/>
    <w:rsid w:val="FFFE8C32"/>
    <w:rsid w:val="FFFEA8DB"/>
    <w:rsid w:val="FFFEE272"/>
    <w:rsid w:val="FFFF104C"/>
    <w:rsid w:val="FFFF12B3"/>
    <w:rsid w:val="FFFF3D0C"/>
    <w:rsid w:val="FFFF6D65"/>
    <w:rsid w:val="FFFFE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4"/>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5"/>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6"/>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7"/>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caption"/>
    <w:basedOn w:val="1"/>
    <w:next w:val="1"/>
    <w:unhideWhenUsed/>
    <w:qFormat/>
    <w:uiPriority w:val="35"/>
    <w:rPr>
      <w:rFonts w:eastAsia="黑体" w:asciiTheme="majorHAnsi" w:hAnsiTheme="majorHAnsi" w:cstheme="majorBidi"/>
      <w:sz w:val="20"/>
      <w:szCs w:val="20"/>
    </w:rPr>
  </w:style>
  <w:style w:type="paragraph" w:styleId="14">
    <w:name w:val="annotation text"/>
    <w:basedOn w:val="1"/>
    <w:link w:val="239"/>
    <w:semiHidden/>
    <w:unhideWhenUsed/>
    <w:qFormat/>
    <w:uiPriority w:val="99"/>
    <w:pPr>
      <w:jc w:val="left"/>
    </w:pPr>
  </w:style>
  <w:style w:type="paragraph" w:styleId="15">
    <w:name w:val="Body Text"/>
    <w:basedOn w:val="1"/>
    <w:link w:val="91"/>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50"/>
    <w:semiHidden/>
    <w:unhideWhenUsed/>
    <w:qFormat/>
    <w:uiPriority w:val="99"/>
    <w:rPr>
      <w:sz w:val="18"/>
      <w:szCs w:val="18"/>
    </w:rPr>
  </w:style>
  <w:style w:type="paragraph" w:styleId="19">
    <w:name w:val="footer"/>
    <w:basedOn w:val="1"/>
    <w:link w:val="49"/>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8"/>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pPr>
      <w:tabs>
        <w:tab w:val="right" w:leader="dot" w:pos="9354"/>
      </w:tabs>
    </w:pPr>
    <w:rPr>
      <w:rFonts w:ascii="宋体" w:hAns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4"/>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index 7"/>
    <w:basedOn w:val="1"/>
    <w:next w:val="1"/>
    <w:qFormat/>
    <w:uiPriority w:val="0"/>
    <w:pPr>
      <w:adjustRightInd/>
      <w:spacing w:line="240" w:lineRule="auto"/>
      <w:ind w:left="1470" w:hanging="210"/>
      <w:jc w:val="left"/>
    </w:pPr>
    <w:rPr>
      <w:sz w:val="20"/>
      <w:szCs w:val="20"/>
    </w:rPr>
  </w:style>
  <w:style w:type="paragraph" w:styleId="26">
    <w:name w:val="table of figures"/>
    <w:basedOn w:val="1"/>
    <w:next w:val="1"/>
    <w:semiHidden/>
    <w:qFormat/>
    <w:uiPriority w:val="0"/>
    <w:pPr>
      <w:adjustRightInd/>
      <w:spacing w:line="240" w:lineRule="auto"/>
      <w:jc w:val="left"/>
    </w:pPr>
    <w:rPr>
      <w:szCs w:val="24"/>
    </w:rPr>
  </w:style>
  <w:style w:type="paragraph" w:styleId="27">
    <w:name w:val="toc 2"/>
    <w:basedOn w:val="1"/>
    <w:next w:val="1"/>
    <w:unhideWhenUsed/>
    <w:qFormat/>
    <w:uiPriority w:val="39"/>
    <w:pPr>
      <w:tabs>
        <w:tab w:val="right" w:leader="dot" w:pos="9344"/>
      </w:tabs>
      <w:spacing w:line="300" w:lineRule="exact"/>
      <w:ind w:left="210"/>
    </w:pPr>
    <w:rPr>
      <w:rFonts w:ascii="宋体"/>
    </w:rPr>
  </w:style>
  <w:style w:type="paragraph" w:styleId="28">
    <w:name w:val="Title"/>
    <w:basedOn w:val="1"/>
    <w:link w:val="53"/>
    <w:qFormat/>
    <w:uiPriority w:val="0"/>
    <w:pPr>
      <w:spacing w:before="240" w:after="60"/>
      <w:jc w:val="center"/>
      <w:outlineLvl w:val="0"/>
    </w:pPr>
    <w:rPr>
      <w:rFonts w:ascii="Arial" w:hAnsi="Arial" w:cs="Arial"/>
      <w:b/>
      <w:bCs/>
      <w:sz w:val="32"/>
      <w:szCs w:val="32"/>
    </w:rPr>
  </w:style>
  <w:style w:type="paragraph" w:styleId="29">
    <w:name w:val="annotation subject"/>
    <w:basedOn w:val="14"/>
    <w:next w:val="14"/>
    <w:link w:val="240"/>
    <w:semiHidden/>
    <w:unhideWhenUsed/>
    <w:qFormat/>
    <w:uiPriority w:val="99"/>
    <w:rPr>
      <w:b/>
      <w:bCs/>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rPr>
      <w:rFonts w:ascii="宋体" w:hAnsi="Times New Roman" w:eastAsia="宋体"/>
      <w:sz w:val="18"/>
    </w:rPr>
  </w:style>
  <w:style w:type="character" w:styleId="35">
    <w:name w:val="Emphasis"/>
    <w:qFormat/>
    <w:uiPriority w:val="20"/>
    <w:rPr>
      <w:i/>
      <w:iCs/>
    </w:rPr>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annotation reference"/>
    <w:basedOn w:val="32"/>
    <w:semiHidden/>
    <w:unhideWhenUsed/>
    <w:qFormat/>
    <w:uiPriority w:val="99"/>
    <w:rPr>
      <w:sz w:val="21"/>
      <w:szCs w:val="21"/>
    </w:rPr>
  </w:style>
  <w:style w:type="character" w:styleId="38">
    <w:name w:val="footnote reference"/>
    <w:semiHidden/>
    <w:qFormat/>
    <w:uiPriority w:val="0"/>
    <w:rPr>
      <w:rFonts w:ascii="宋体" w:hAnsi="宋体" w:eastAsia="宋体" w:cs="Times New Roman"/>
      <w:spacing w:val="0"/>
      <w:sz w:val="18"/>
      <w:vertAlign w:val="superscript"/>
    </w:rPr>
  </w:style>
  <w:style w:type="character" w:customStyle="1" w:styleId="39">
    <w:name w:val="标题 1 字符"/>
    <w:link w:val="2"/>
    <w:qFormat/>
    <w:uiPriority w:val="0"/>
    <w:rPr>
      <w:b/>
      <w:bCs/>
      <w:kern w:val="44"/>
      <w:sz w:val="44"/>
      <w:szCs w:val="44"/>
    </w:rPr>
  </w:style>
  <w:style w:type="character" w:customStyle="1" w:styleId="40">
    <w:name w:val="标题 2 字符"/>
    <w:link w:val="3"/>
    <w:qFormat/>
    <w:uiPriority w:val="0"/>
    <w:rPr>
      <w:rFonts w:ascii="Arial" w:hAnsi="Arial" w:eastAsia="黑体"/>
      <w:b/>
      <w:bCs/>
      <w:kern w:val="2"/>
      <w:sz w:val="32"/>
      <w:szCs w:val="32"/>
    </w:rPr>
  </w:style>
  <w:style w:type="character" w:customStyle="1" w:styleId="41">
    <w:name w:val="标题 3 字符"/>
    <w:link w:val="4"/>
    <w:qFormat/>
    <w:uiPriority w:val="0"/>
    <w:rPr>
      <w:b/>
      <w:bCs/>
      <w:kern w:val="2"/>
      <w:sz w:val="32"/>
      <w:szCs w:val="32"/>
    </w:rPr>
  </w:style>
  <w:style w:type="character" w:customStyle="1" w:styleId="42">
    <w:name w:val="标题 4 字符"/>
    <w:link w:val="5"/>
    <w:qFormat/>
    <w:uiPriority w:val="0"/>
    <w:rPr>
      <w:rFonts w:ascii="Arial" w:hAnsi="Arial" w:eastAsia="黑体"/>
      <w:b/>
      <w:bCs/>
      <w:kern w:val="2"/>
      <w:sz w:val="28"/>
      <w:szCs w:val="28"/>
    </w:rPr>
  </w:style>
  <w:style w:type="character" w:customStyle="1" w:styleId="43">
    <w:name w:val="标题 5 字符"/>
    <w:link w:val="6"/>
    <w:qFormat/>
    <w:uiPriority w:val="0"/>
    <w:rPr>
      <w:b/>
      <w:bCs/>
      <w:kern w:val="2"/>
      <w:sz w:val="28"/>
      <w:szCs w:val="28"/>
    </w:rPr>
  </w:style>
  <w:style w:type="character" w:customStyle="1" w:styleId="44">
    <w:name w:val="标题 6 字符"/>
    <w:link w:val="7"/>
    <w:qFormat/>
    <w:uiPriority w:val="0"/>
    <w:rPr>
      <w:rFonts w:ascii="Arial" w:hAnsi="Arial" w:eastAsia="黑体"/>
      <w:b/>
      <w:bCs/>
      <w:kern w:val="2"/>
      <w:sz w:val="24"/>
      <w:szCs w:val="24"/>
    </w:rPr>
  </w:style>
  <w:style w:type="character" w:customStyle="1" w:styleId="45">
    <w:name w:val="标题 7 字符"/>
    <w:link w:val="8"/>
    <w:qFormat/>
    <w:uiPriority w:val="0"/>
    <w:rPr>
      <w:b/>
      <w:bCs/>
      <w:kern w:val="2"/>
      <w:sz w:val="24"/>
      <w:szCs w:val="24"/>
    </w:rPr>
  </w:style>
  <w:style w:type="character" w:customStyle="1" w:styleId="46">
    <w:name w:val="标题 8 字符"/>
    <w:link w:val="9"/>
    <w:qFormat/>
    <w:uiPriority w:val="0"/>
    <w:rPr>
      <w:rFonts w:ascii="Arial" w:hAnsi="Arial" w:eastAsia="黑体"/>
      <w:kern w:val="2"/>
      <w:sz w:val="24"/>
      <w:szCs w:val="24"/>
    </w:rPr>
  </w:style>
  <w:style w:type="character" w:customStyle="1" w:styleId="47">
    <w:name w:val="标题 9 字符"/>
    <w:link w:val="10"/>
    <w:qFormat/>
    <w:uiPriority w:val="0"/>
    <w:rPr>
      <w:rFonts w:ascii="Arial" w:hAnsi="Arial" w:eastAsia="黑体"/>
      <w:kern w:val="2"/>
      <w:sz w:val="21"/>
      <w:szCs w:val="21"/>
    </w:rPr>
  </w:style>
  <w:style w:type="character" w:customStyle="1" w:styleId="48">
    <w:name w:val="页眉 字符"/>
    <w:link w:val="20"/>
    <w:qFormat/>
    <w:uiPriority w:val="99"/>
    <w:rPr>
      <w:kern w:val="2"/>
      <w:sz w:val="18"/>
      <w:szCs w:val="18"/>
    </w:rPr>
  </w:style>
  <w:style w:type="character" w:customStyle="1" w:styleId="49">
    <w:name w:val="页脚 字符"/>
    <w:link w:val="19"/>
    <w:qFormat/>
    <w:uiPriority w:val="99"/>
    <w:rPr>
      <w:rFonts w:ascii="宋体"/>
      <w:kern w:val="2"/>
      <w:sz w:val="18"/>
      <w:szCs w:val="18"/>
    </w:rPr>
  </w:style>
  <w:style w:type="character" w:customStyle="1" w:styleId="50">
    <w:name w:val="批注框文本 字符"/>
    <w:link w:val="18"/>
    <w:semiHidden/>
    <w:qFormat/>
    <w:uiPriority w:val="99"/>
    <w:rPr>
      <w:kern w:val="2"/>
      <w:sz w:val="18"/>
      <w:szCs w:val="18"/>
    </w:rPr>
  </w:style>
  <w:style w:type="paragraph" w:styleId="51">
    <w:name w:val="Quote"/>
    <w:basedOn w:val="1"/>
    <w:next w:val="1"/>
    <w:link w:val="52"/>
    <w:qFormat/>
    <w:uiPriority w:val="29"/>
    <w:rPr>
      <w:i/>
      <w:iCs/>
      <w:color w:val="000000"/>
    </w:rPr>
  </w:style>
  <w:style w:type="character" w:customStyle="1" w:styleId="52">
    <w:name w:val="引用 字符"/>
    <w:link w:val="51"/>
    <w:qFormat/>
    <w:uiPriority w:val="29"/>
    <w:rPr>
      <w:i/>
      <w:iCs/>
      <w:color w:val="000000"/>
      <w:kern w:val="2"/>
      <w:sz w:val="21"/>
      <w:szCs w:val="21"/>
    </w:rPr>
  </w:style>
  <w:style w:type="character" w:customStyle="1" w:styleId="53">
    <w:name w:val="标题 字符"/>
    <w:link w:val="28"/>
    <w:qFormat/>
    <w:uiPriority w:val="0"/>
    <w:rPr>
      <w:rFonts w:ascii="Arial" w:hAnsi="Arial" w:cs="Arial"/>
      <w:b/>
      <w:bCs/>
      <w:kern w:val="2"/>
      <w:sz w:val="32"/>
      <w:szCs w:val="32"/>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qFormat/>
    <w:uiPriority w:val="0"/>
    <w:pPr>
      <w:snapToGrid w:val="0"/>
      <w:ind w:firstLine="200" w:firstLineChars="200"/>
    </w:pPr>
    <w:rPr>
      <w:kern w:val="0"/>
    </w:rPr>
  </w:style>
  <w:style w:type="paragraph" w:customStyle="1" w:styleId="61">
    <w:name w:val="标准文件_段"/>
    <w:link w:val="18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qFormat/>
    <w:uiPriority w:val="0"/>
    <w:pPr>
      <w:adjustRightInd/>
      <w:snapToGrid/>
      <w:ind w:firstLine="0" w:firstLineChars="0"/>
    </w:pPr>
    <w:rPr>
      <w:rFonts w:ascii="宋体" w:hAnsi="宋体"/>
      <w:kern w:val="2"/>
    </w:rPr>
  </w:style>
  <w:style w:type="paragraph" w:customStyle="1" w:styleId="63">
    <w:name w:val="标准文件_标准部门"/>
    <w:basedOn w:val="1"/>
    <w:qFormat/>
    <w:uiPriority w:val="0"/>
    <w:pPr>
      <w:jc w:val="center"/>
    </w:pPr>
    <w:rPr>
      <w:rFonts w:ascii="黑体" w:eastAsia="黑体"/>
      <w:kern w:val="0"/>
      <w:sz w:val="44"/>
    </w:rPr>
  </w:style>
  <w:style w:type="paragraph" w:customStyle="1" w:styleId="64">
    <w:name w:val="标准文件_标准代替"/>
    <w:basedOn w:val="1"/>
    <w:next w:val="1"/>
    <w:qFormat/>
    <w:uiPriority w:val="0"/>
    <w:pPr>
      <w:spacing w:line="310" w:lineRule="exact"/>
      <w:jc w:val="right"/>
    </w:pPr>
    <w:rPr>
      <w:rFonts w:ascii="宋体" w:hAnsi="宋体"/>
      <w:kern w:val="0"/>
    </w:rPr>
  </w:style>
  <w:style w:type="paragraph" w:customStyle="1" w:styleId="65">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qFormat/>
    <w:uiPriority w:val="0"/>
    <w:pPr>
      <w:jc w:val="left"/>
    </w:pPr>
  </w:style>
  <w:style w:type="paragraph" w:customStyle="1" w:styleId="68">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9">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1">
    <w:name w:val="标准文件_发布"/>
    <w:qFormat/>
    <w:uiPriority w:val="0"/>
    <w:rPr>
      <w:rFonts w:ascii="黑体" w:eastAsia="黑体"/>
      <w:spacing w:val="0"/>
      <w:w w:val="100"/>
      <w:position w:val="3"/>
      <w:sz w:val="28"/>
    </w:rPr>
  </w:style>
  <w:style w:type="paragraph" w:customStyle="1" w:styleId="72">
    <w:name w:val="标准文件_方框数字列项"/>
    <w:basedOn w:val="61"/>
    <w:qFormat/>
    <w:uiPriority w:val="0"/>
    <w:pPr>
      <w:numPr>
        <w:ilvl w:val="0"/>
        <w:numId w:val="3"/>
      </w:numPr>
      <w:ind w:firstLine="0" w:firstLineChars="0"/>
    </w:pPr>
  </w:style>
  <w:style w:type="paragraph" w:customStyle="1" w:styleId="73">
    <w:name w:val="标准文件_封面标准编号"/>
    <w:basedOn w:val="1"/>
    <w:next w:val="64"/>
    <w:qFormat/>
    <w:uiPriority w:val="0"/>
    <w:pPr>
      <w:spacing w:line="310" w:lineRule="exact"/>
      <w:jc w:val="right"/>
    </w:pPr>
    <w:rPr>
      <w:rFonts w:ascii="黑体" w:eastAsia="黑体"/>
      <w:kern w:val="0"/>
      <w:sz w:val="28"/>
    </w:rPr>
  </w:style>
  <w:style w:type="paragraph" w:customStyle="1" w:styleId="74">
    <w:name w:val="标准文件_封面标准分类号"/>
    <w:basedOn w:val="1"/>
    <w:qFormat/>
    <w:uiPriority w:val="0"/>
    <w:rPr>
      <w:rFonts w:ascii="黑体" w:eastAsia="黑体"/>
      <w:b/>
      <w:kern w:val="0"/>
      <w:sz w:val="28"/>
    </w:rPr>
  </w:style>
  <w:style w:type="paragraph" w:customStyle="1" w:styleId="75">
    <w:name w:val="标准文件_封面标准名称"/>
    <w:basedOn w:val="1"/>
    <w:qFormat/>
    <w:uiPriority w:val="0"/>
    <w:pPr>
      <w:spacing w:line="240" w:lineRule="auto"/>
      <w:jc w:val="center"/>
    </w:pPr>
    <w:rPr>
      <w:rFonts w:ascii="黑体" w:eastAsia="黑体"/>
      <w:kern w:val="0"/>
      <w:sz w:val="52"/>
    </w:rPr>
  </w:style>
  <w:style w:type="paragraph" w:customStyle="1" w:styleId="76">
    <w:name w:val="标准文件_封面标准英文名称"/>
    <w:basedOn w:val="1"/>
    <w:qFormat/>
    <w:uiPriority w:val="0"/>
    <w:pPr>
      <w:spacing w:line="240" w:lineRule="auto"/>
      <w:jc w:val="center"/>
    </w:pPr>
    <w:rPr>
      <w:rFonts w:ascii="黑体" w:eastAsia="黑体"/>
      <w:b/>
      <w:sz w:val="28"/>
    </w:rPr>
  </w:style>
  <w:style w:type="paragraph" w:customStyle="1" w:styleId="77">
    <w:name w:val="标准文件_封面发布日期"/>
    <w:basedOn w:val="1"/>
    <w:qFormat/>
    <w:uiPriority w:val="0"/>
    <w:pPr>
      <w:spacing w:line="310" w:lineRule="exact"/>
    </w:pPr>
    <w:rPr>
      <w:rFonts w:ascii="黑体" w:eastAsia="黑体"/>
      <w:kern w:val="0"/>
      <w:sz w:val="28"/>
    </w:rPr>
  </w:style>
  <w:style w:type="paragraph" w:customStyle="1" w:styleId="78">
    <w:name w:val="标准文件_封面密级"/>
    <w:basedOn w:val="1"/>
    <w:qFormat/>
    <w:uiPriority w:val="0"/>
    <w:rPr>
      <w:rFonts w:eastAsia="黑体"/>
      <w:sz w:val="32"/>
    </w:rPr>
  </w:style>
  <w:style w:type="paragraph" w:customStyle="1" w:styleId="79">
    <w:name w:val="标准文件_封面实施日期"/>
    <w:basedOn w:val="1"/>
    <w:qFormat/>
    <w:uiPriority w:val="0"/>
    <w:pPr>
      <w:spacing w:line="310" w:lineRule="exact"/>
      <w:jc w:val="right"/>
    </w:pPr>
    <w:rPr>
      <w:rFonts w:ascii="黑体" w:eastAsia="黑体"/>
      <w:sz w:val="28"/>
    </w:rPr>
  </w:style>
  <w:style w:type="paragraph" w:customStyle="1" w:styleId="80">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9">
    <w:name w:val="标准文件_附录五级条标题"/>
    <w:next w:val="61"/>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5"/>
    <w:qFormat/>
    <w:uiPriority w:val="0"/>
    <w:rPr>
      <w:kern w:val="2"/>
      <w:sz w:val="21"/>
      <w:szCs w:val="21"/>
    </w:rPr>
  </w:style>
  <w:style w:type="paragraph" w:customStyle="1" w:styleId="92">
    <w:name w:val="标准文件_附录章标题"/>
    <w:next w:val="6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qFormat/>
    <w:uiPriority w:val="0"/>
    <w:pPr>
      <w:spacing w:line="460" w:lineRule="exact"/>
      <w:ind w:left="0" w:firstLine="0"/>
    </w:pPr>
  </w:style>
  <w:style w:type="paragraph" w:customStyle="1" w:styleId="96">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7">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10"/>
      </w:numPr>
    </w:pPr>
  </w:style>
  <w:style w:type="paragraph" w:customStyle="1" w:styleId="99">
    <w:name w:val="标准文件_三级条标题"/>
    <w:basedOn w:val="70"/>
    <w:next w:val="61"/>
    <w:qFormat/>
    <w:uiPriority w:val="0"/>
    <w:pPr>
      <w:widowControl/>
      <w:numPr>
        <w:ilvl w:val="4"/>
      </w:numPr>
      <w:outlineLvl w:val="3"/>
    </w:pPr>
  </w:style>
  <w:style w:type="character" w:customStyle="1" w:styleId="100">
    <w:name w:val="不明显参考1"/>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3"/>
    <w:semiHidden/>
    <w:qFormat/>
    <w:uiPriority w:val="0"/>
    <w:rPr>
      <w:rFonts w:ascii="宋体"/>
      <w:kern w:val="2"/>
      <w:sz w:val="18"/>
      <w:szCs w:val="18"/>
    </w:rPr>
  </w:style>
  <w:style w:type="paragraph" w:customStyle="1" w:styleId="105">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qFormat/>
    <w:uiPriority w:val="0"/>
    <w:pPr>
      <w:numPr>
        <w:ilvl w:val="0"/>
        <w:numId w:val="12"/>
      </w:numPr>
      <w:spacing w:line="240" w:lineRule="auto"/>
      <w:jc w:val="left"/>
    </w:pPr>
    <w:rPr>
      <w:rFonts w:ascii="宋体" w:hAnsi="宋体"/>
      <w:sz w:val="18"/>
    </w:rPr>
  </w:style>
  <w:style w:type="character" w:customStyle="1" w:styleId="107">
    <w:name w:val="标准文件_图表脚注内容"/>
    <w:qFormat/>
    <w:uiPriority w:val="0"/>
    <w:rPr>
      <w:rFonts w:ascii="宋体" w:hAnsi="宋体" w:eastAsia="宋体" w:cs="Times New Roman"/>
      <w:spacing w:val="0"/>
      <w:sz w:val="18"/>
      <w:vertAlign w:val="superscript"/>
    </w:rPr>
  </w:style>
  <w:style w:type="paragraph" w:customStyle="1" w:styleId="108">
    <w:name w:val="标准文件_五级条标题"/>
    <w:next w:val="61"/>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qFormat/>
    <w:uiPriority w:val="0"/>
    <w:pPr>
      <w:numPr>
        <w:ilvl w:val="2"/>
      </w:numPr>
      <w:spacing w:before="50" w:beforeLines="50" w:after="50" w:afterLines="50"/>
      <w:ind w:left="0"/>
      <w:outlineLvl w:val="1"/>
    </w:pPr>
  </w:style>
  <w:style w:type="paragraph" w:customStyle="1" w:styleId="111">
    <w:name w:val="标准文件_一致程度"/>
    <w:basedOn w:val="1"/>
    <w:qFormat/>
    <w:uiPriority w:val="0"/>
    <w:pPr>
      <w:spacing w:line="440" w:lineRule="exact"/>
      <w:jc w:val="center"/>
    </w:pPr>
    <w:rPr>
      <w:sz w:val="28"/>
    </w:rPr>
  </w:style>
  <w:style w:type="paragraph" w:customStyle="1" w:styleId="112">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5">
    <w:name w:val="标准文件_英文注："/>
    <w:basedOn w:val="1"/>
    <w:next w:val="6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qFormat/>
    <w:uiPriority w:val="0"/>
    <w:p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qFormat/>
    <w:uiPriority w:val="0"/>
    <w:pPr>
      <w:numPr>
        <w:ilvl w:val="0"/>
        <w:numId w:val="16"/>
      </w:numPr>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2">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3">
    <w:name w:val="二级无标题条"/>
    <w:basedOn w:val="1"/>
    <w:qFormat/>
    <w:uiPriority w:val="0"/>
    <w:pPr>
      <w:numPr>
        <w:ilvl w:val="3"/>
        <w:numId w:val="19"/>
      </w:numPr>
      <w:adjustRightInd/>
      <w:spacing w:line="240" w:lineRule="auto"/>
    </w:pPr>
    <w:rPr>
      <w:rFonts w:ascii="宋体" w:hAnsi="宋体"/>
      <w:szCs w:val="24"/>
    </w:rPr>
  </w:style>
  <w:style w:type="paragraph" w:customStyle="1" w:styleId="124">
    <w:name w:val="发布部门"/>
    <w:next w:val="6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qFormat/>
    <w:uiPriority w:val="0"/>
    <w:pPr>
      <w:outlineLvl w:val="4"/>
    </w:pPr>
  </w:style>
  <w:style w:type="paragraph" w:customStyle="1" w:styleId="135">
    <w:name w:val="附录四级无标题条"/>
    <w:basedOn w:val="134"/>
    <w:next w:val="61"/>
    <w:qFormat/>
    <w:uiPriority w:val="0"/>
    <w:pPr>
      <w:outlineLvl w:val="5"/>
    </w:pPr>
  </w:style>
  <w:style w:type="paragraph" w:customStyle="1" w:styleId="136">
    <w:name w:val="附录图"/>
    <w:next w:val="61"/>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qFormat/>
    <w:uiPriority w:val="0"/>
    <w:pPr>
      <w:numPr>
        <w:ilvl w:val="0"/>
        <w:numId w:val="20"/>
      </w:numPr>
    </w:pPr>
    <w:rPr>
      <w:rFonts w:ascii="宋体" w:hAnsi="Times New Roman" w:eastAsia="宋体" w:cs="Times New Roman"/>
      <w:sz w:val="21"/>
      <w:lang w:val="en-US" w:eastAsia="zh-CN" w:bidi="ar-SA"/>
    </w:rPr>
  </w:style>
  <w:style w:type="paragraph" w:customStyle="1" w:styleId="138">
    <w:name w:val="附录五级无标题条"/>
    <w:basedOn w:val="135"/>
    <w:next w:val="61"/>
    <w:qFormat/>
    <w:uiPriority w:val="0"/>
    <w:pPr>
      <w:outlineLvl w:val="6"/>
    </w:pPr>
  </w:style>
  <w:style w:type="paragraph" w:customStyle="1" w:styleId="139">
    <w:name w:val="附录性质"/>
    <w:basedOn w:val="1"/>
    <w:qFormat/>
    <w:uiPriority w:val="0"/>
    <w:pPr>
      <w:widowControl/>
      <w:adjustRightInd/>
      <w:jc w:val="center"/>
    </w:pPr>
    <w:rPr>
      <w:rFonts w:ascii="黑体" w:eastAsia="黑体"/>
    </w:rPr>
  </w:style>
  <w:style w:type="paragraph" w:customStyle="1" w:styleId="140">
    <w:name w:val="附录一级无标题条"/>
    <w:basedOn w:val="92"/>
    <w:next w:val="61"/>
    <w:qFormat/>
    <w:uiPriority w:val="0"/>
    <w:pPr>
      <w:autoSpaceDN w:val="0"/>
      <w:outlineLvl w:val="2"/>
    </w:pPr>
    <w:rPr>
      <w:rFonts w:ascii="宋体" w:hAnsi="宋体" w:eastAsia="宋体"/>
    </w:rPr>
  </w:style>
  <w:style w:type="character" w:customStyle="1" w:styleId="141">
    <w:name w:val="个人答复风格"/>
    <w:qFormat/>
    <w:uiPriority w:val="0"/>
    <w:rPr>
      <w:rFonts w:ascii="Arial" w:hAnsi="Arial" w:eastAsia="宋体" w:cs="Arial"/>
      <w:color w:val="auto"/>
      <w:spacing w:val="0"/>
      <w:sz w:val="20"/>
    </w:rPr>
  </w:style>
  <w:style w:type="character" w:customStyle="1" w:styleId="142">
    <w:name w:val="个人撰写风格"/>
    <w:qFormat/>
    <w:uiPriority w:val="0"/>
    <w:rPr>
      <w:rFonts w:ascii="Arial" w:hAnsi="Arial" w:eastAsia="宋体" w:cs="Arial"/>
      <w:color w:val="auto"/>
      <w:spacing w:val="0"/>
      <w:sz w:val="20"/>
    </w:rPr>
  </w:style>
  <w:style w:type="paragraph" w:customStyle="1" w:styleId="143">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5">
    <w:name w:val="列项·"/>
    <w:basedOn w:val="61"/>
    <w:qFormat/>
    <w:uiPriority w:val="0"/>
    <w:pPr>
      <w:tabs>
        <w:tab w:val="left" w:pos="840"/>
      </w:tabs>
    </w:pPr>
  </w:style>
  <w:style w:type="paragraph" w:customStyle="1" w:styleId="14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semiHidden/>
    <w:qFormat/>
    <w:uiPriority w:val="0"/>
    <w:pPr>
      <w:adjustRightInd/>
      <w:spacing w:line="240" w:lineRule="auto"/>
      <w:jc w:val="left"/>
    </w:pPr>
    <w:rPr>
      <w:bCs/>
      <w:iCs/>
    </w:rPr>
  </w:style>
  <w:style w:type="paragraph" w:customStyle="1" w:styleId="148">
    <w:name w:val="目录 31"/>
    <w:basedOn w:val="1"/>
    <w:next w:val="1"/>
    <w:semiHidden/>
    <w:qFormat/>
    <w:uiPriority w:val="0"/>
    <w:pPr>
      <w:spacing w:line="240" w:lineRule="auto"/>
    </w:pPr>
    <w:rPr>
      <w:rFonts w:ascii="宋体" w:hAnsi="宋体"/>
      <w:iCs/>
    </w:rPr>
  </w:style>
  <w:style w:type="paragraph" w:customStyle="1" w:styleId="149">
    <w:name w:val="目录 41"/>
    <w:basedOn w:val="1"/>
    <w:next w:val="1"/>
    <w:semiHidden/>
    <w:qFormat/>
    <w:uiPriority w:val="0"/>
    <w:pPr>
      <w:adjustRightInd/>
      <w:spacing w:line="240" w:lineRule="auto"/>
      <w:jc w:val="left"/>
    </w:pPr>
  </w:style>
  <w:style w:type="paragraph" w:customStyle="1" w:styleId="150">
    <w:name w:val="目录 51"/>
    <w:basedOn w:val="1"/>
    <w:next w:val="1"/>
    <w:semiHidden/>
    <w:qFormat/>
    <w:uiPriority w:val="0"/>
    <w:pPr>
      <w:spacing w:line="240" w:lineRule="auto"/>
    </w:pPr>
    <w:rPr>
      <w:rFonts w:ascii="宋体" w:hAnsi="宋体"/>
    </w:rPr>
  </w:style>
  <w:style w:type="paragraph" w:customStyle="1" w:styleId="151">
    <w:name w:val="目录 61"/>
    <w:basedOn w:val="1"/>
    <w:next w:val="1"/>
    <w:semiHidden/>
    <w:qFormat/>
    <w:uiPriority w:val="0"/>
    <w:pPr>
      <w:adjustRightInd/>
      <w:spacing w:line="240" w:lineRule="auto"/>
      <w:jc w:val="left"/>
    </w:pPr>
  </w:style>
  <w:style w:type="paragraph" w:customStyle="1" w:styleId="152">
    <w:name w:val="目录 71"/>
    <w:basedOn w:val="151"/>
    <w:semiHidden/>
    <w:qFormat/>
    <w:uiPriority w:val="0"/>
    <w:pPr>
      <w:ind w:left="1260"/>
    </w:pPr>
  </w:style>
  <w:style w:type="paragraph" w:customStyle="1" w:styleId="153">
    <w:name w:val="目录 81"/>
    <w:basedOn w:val="152"/>
    <w:semiHidden/>
    <w:qFormat/>
    <w:uiPriority w:val="0"/>
    <w:pPr>
      <w:ind w:left="1470"/>
    </w:pPr>
  </w:style>
  <w:style w:type="paragraph" w:customStyle="1" w:styleId="154">
    <w:name w:val="目录 91"/>
    <w:basedOn w:val="153"/>
    <w:semiHidden/>
    <w:qFormat/>
    <w:uiPriority w:val="0"/>
    <w:pPr>
      <w:ind w:left="1680"/>
    </w:pPr>
  </w:style>
  <w:style w:type="paragraph" w:customStyle="1" w:styleId="15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qFormat/>
    <w:uiPriority w:val="0"/>
    <w:pPr>
      <w:framePr w:wrap="around"/>
      <w:spacing w:line="0" w:lineRule="atLeast"/>
    </w:pPr>
    <w:rPr>
      <w:rFonts w:ascii="黑体" w:eastAsia="黑体"/>
      <w:b w:val="0"/>
    </w:rPr>
  </w:style>
  <w:style w:type="paragraph" w:customStyle="1" w:styleId="157">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qFormat/>
    <w:uiPriority w:val="0"/>
    <w:pPr>
      <w:numPr>
        <w:ilvl w:val="4"/>
        <w:numId w:val="19"/>
      </w:numPr>
      <w:adjustRightInd/>
      <w:spacing w:line="240" w:lineRule="auto"/>
    </w:pPr>
    <w:rPr>
      <w:rFonts w:ascii="宋体" w:hAnsi="宋体"/>
      <w:szCs w:val="24"/>
    </w:rPr>
  </w:style>
  <w:style w:type="paragraph" w:customStyle="1" w:styleId="159">
    <w:name w:val="实施日期"/>
    <w:basedOn w:val="125"/>
    <w:qFormat/>
    <w:uiPriority w:val="0"/>
    <w:pPr>
      <w:framePr w:hSpace="0" w:wrap="around" w:xAlign="right"/>
      <w:jc w:val="right"/>
    </w:pPr>
  </w:style>
  <w:style w:type="paragraph" w:customStyle="1" w:styleId="160">
    <w:name w:val="四级无标题条"/>
    <w:basedOn w:val="1"/>
    <w:qFormat/>
    <w:uiPriority w:val="0"/>
    <w:pPr>
      <w:numPr>
        <w:ilvl w:val="5"/>
        <w:numId w:val="19"/>
      </w:numPr>
      <w:adjustRightInd/>
      <w:spacing w:line="240" w:lineRule="auto"/>
    </w:pPr>
    <w:rPr>
      <w:rFonts w:ascii="宋体" w:hAnsi="宋体"/>
      <w:szCs w:val="24"/>
    </w:rPr>
  </w:style>
  <w:style w:type="paragraph" w:customStyle="1" w:styleId="16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qFormat/>
    <w:uiPriority w:val="0"/>
    <w:pPr>
      <w:numPr>
        <w:ilvl w:val="6"/>
        <w:numId w:val="19"/>
      </w:numPr>
      <w:adjustRightInd/>
    </w:pPr>
    <w:rPr>
      <w:szCs w:val="24"/>
    </w:rPr>
  </w:style>
  <w:style w:type="paragraph" w:customStyle="1" w:styleId="164">
    <w:name w:val="一级无标题条"/>
    <w:basedOn w:val="1"/>
    <w:qFormat/>
    <w:uiPriority w:val="0"/>
    <w:pPr>
      <w:numPr>
        <w:ilvl w:val="2"/>
        <w:numId w:val="19"/>
      </w:numPr>
      <w:adjustRightInd/>
      <w:spacing w:before="10" w:after="10" w:line="240" w:lineRule="auto"/>
    </w:pPr>
    <w:rPr>
      <w:rFonts w:ascii="宋体" w:hAnsi="宋体"/>
      <w:szCs w:val="24"/>
    </w:rPr>
  </w:style>
  <w:style w:type="paragraph" w:customStyle="1" w:styleId="165">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qFormat/>
    <w:uiPriority w:val="0"/>
    <w:pPr>
      <w:ind w:left="1406" w:leftChars="0" w:hanging="499" w:firstLineChars="0"/>
    </w:pPr>
  </w:style>
  <w:style w:type="paragraph" w:customStyle="1" w:styleId="167">
    <w:name w:val="标准文件_一级无标题"/>
    <w:basedOn w:val="110"/>
    <w:qFormat/>
    <w:uiPriority w:val="0"/>
    <w:pPr>
      <w:spacing w:before="0" w:beforeLines="0" w:after="0" w:afterLines="0"/>
      <w:outlineLvl w:val="9"/>
    </w:pPr>
    <w:rPr>
      <w:rFonts w:ascii="宋体" w:eastAsia="宋体"/>
    </w:rPr>
  </w:style>
  <w:style w:type="paragraph" w:customStyle="1" w:styleId="168">
    <w:name w:val="标准文件_五级无标题"/>
    <w:basedOn w:val="108"/>
    <w:qFormat/>
    <w:uiPriority w:val="0"/>
    <w:pPr>
      <w:spacing w:before="0" w:beforeLines="0" w:after="0" w:afterLines="0"/>
      <w:outlineLvl w:val="9"/>
    </w:pPr>
    <w:rPr>
      <w:rFonts w:ascii="宋体" w:eastAsia="宋体"/>
    </w:rPr>
  </w:style>
  <w:style w:type="paragraph" w:customStyle="1" w:styleId="169">
    <w:name w:val="标准文件_三级无标题"/>
    <w:basedOn w:val="99"/>
    <w:qFormat/>
    <w:uiPriority w:val="0"/>
    <w:pPr>
      <w:spacing w:before="0" w:beforeLines="0" w:after="0" w:afterLines="0"/>
      <w:outlineLvl w:val="9"/>
    </w:pPr>
    <w:rPr>
      <w:rFonts w:ascii="宋体" w:eastAsia="宋体"/>
    </w:rPr>
  </w:style>
  <w:style w:type="paragraph" w:customStyle="1" w:styleId="170">
    <w:name w:val="标准文件_二级无标题"/>
    <w:basedOn w:val="70"/>
    <w:qFormat/>
    <w:uiPriority w:val="0"/>
    <w:pPr>
      <w:spacing w:before="0" w:beforeLines="0" w:after="0" w:afterLines="0"/>
      <w:outlineLvl w:val="9"/>
    </w:pPr>
    <w:rPr>
      <w:rFonts w:ascii="宋体" w:eastAsia="宋体"/>
    </w:rPr>
  </w:style>
  <w:style w:type="paragraph" w:customStyle="1" w:styleId="171">
    <w:name w:val="标准_四级无标题"/>
    <w:basedOn w:val="103"/>
    <w:next w:val="61"/>
    <w:qFormat/>
    <w:uiPriority w:val="0"/>
    <w:rPr>
      <w:rFonts w:eastAsia="宋体"/>
    </w:rPr>
  </w:style>
  <w:style w:type="paragraph" w:customStyle="1" w:styleId="172">
    <w:name w:val="标准文件_四级无标题"/>
    <w:basedOn w:val="103"/>
    <w:qFormat/>
    <w:uiPriority w:val="0"/>
    <w:pPr>
      <w:spacing w:before="0" w:beforeLines="0" w:after="0" w:afterLines="0"/>
      <w:outlineLvl w:val="9"/>
    </w:pPr>
    <w:rPr>
      <w:rFonts w:ascii="宋体" w:hAnsi="黑体" w:eastAsia="宋体"/>
      <w:szCs w:val="52"/>
    </w:rPr>
  </w:style>
  <w:style w:type="paragraph" w:customStyle="1" w:styleId="173">
    <w:name w:val="标准文件_大写罗马数字编号列项"/>
    <w:basedOn w:val="61"/>
    <w:qFormat/>
    <w:uiPriority w:val="0"/>
    <w:pPr>
      <w:tabs>
        <w:tab w:val="left" w:pos="851"/>
      </w:tabs>
      <w:ind w:left="851" w:firstLine="0" w:firstLineChars="0"/>
    </w:pPr>
    <w:rPr>
      <w:rFonts w:ascii="Times New Roman" w:cs="Arial"/>
      <w:szCs w:val="28"/>
    </w:rPr>
  </w:style>
  <w:style w:type="paragraph" w:customStyle="1" w:styleId="174">
    <w:name w:val="标准文件_小写罗马数字编号列项"/>
    <w:basedOn w:val="61"/>
    <w:qFormat/>
    <w:uiPriority w:val="0"/>
    <w:pPr>
      <w:numPr>
        <w:ilvl w:val="0"/>
        <w:numId w:val="22"/>
      </w:numPr>
      <w:ind w:firstLine="0" w:firstLineChars="0"/>
    </w:pPr>
    <w:rPr>
      <w:rFonts w:cs="Arial"/>
      <w:szCs w:val="28"/>
    </w:rPr>
  </w:style>
  <w:style w:type="paragraph" w:customStyle="1" w:styleId="175">
    <w:name w:val="标准文件_附录标题"/>
    <w:basedOn w:val="81"/>
    <w:qFormat/>
    <w:uiPriority w:val="0"/>
    <w:pPr>
      <w:numPr>
        <w:numId w:val="0"/>
      </w:numPr>
      <w:spacing w:after="280"/>
      <w:outlineLvl w:val="9"/>
    </w:pPr>
  </w:style>
  <w:style w:type="paragraph" w:customStyle="1" w:styleId="176">
    <w:name w:val="标准文件_二级项"/>
    <w:qFormat/>
    <w:uiPriority w:val="0"/>
    <w:rPr>
      <w:rFonts w:ascii="宋体" w:hAnsi="Times New Roman" w:eastAsia="宋体" w:cs="Times New Roman"/>
      <w:sz w:val="21"/>
      <w:lang w:val="en-US" w:eastAsia="zh-CN" w:bidi="ar-SA"/>
    </w:rPr>
  </w:style>
  <w:style w:type="paragraph" w:customStyle="1" w:styleId="177">
    <w:name w:val="标准文件_三级项"/>
    <w:basedOn w:val="1"/>
    <w:qFormat/>
    <w:uiPriority w:val="0"/>
    <w:pPr>
      <w:numPr>
        <w:ilvl w:val="2"/>
        <w:numId w:val="20"/>
      </w:numPr>
      <w:spacing w:line="536870612" w:lineRule="auto"/>
    </w:pPr>
    <w:rPr>
      <w:rFonts w:ascii="Times New Roman" w:hAnsi="Times New Roman"/>
    </w:rPr>
  </w:style>
  <w:style w:type="paragraph" w:customStyle="1" w:styleId="178">
    <w:name w:val="图表脚注说明"/>
    <w:basedOn w:val="1"/>
    <w:next w:val="61"/>
    <w:qFormat/>
    <w:uiPriority w:val="0"/>
    <w:pPr>
      <w:numPr>
        <w:ilvl w:val="0"/>
        <w:numId w:val="23"/>
      </w:numPr>
      <w:adjustRightInd/>
      <w:spacing w:line="240" w:lineRule="auto"/>
    </w:pPr>
    <w:rPr>
      <w:rFonts w:ascii="宋体" w:hAnsi="Times New Roman"/>
      <w:sz w:val="18"/>
      <w:szCs w:val="18"/>
    </w:rPr>
  </w:style>
  <w:style w:type="paragraph" w:customStyle="1" w:styleId="179">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1"/>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qFormat/>
    <w:uiPriority w:val="0"/>
    <w:pPr>
      <w:ind w:firstLine="0" w:firstLineChars="0"/>
      <w:jc w:val="center"/>
    </w:pPr>
    <w:rPr>
      <w:sz w:val="18"/>
    </w:rPr>
  </w:style>
  <w:style w:type="paragraph" w:customStyle="1" w:styleId="184">
    <w:name w:val="标准文件_注："/>
    <w:next w:val="61"/>
    <w:qFormat/>
    <w:uiPriority w:val="0"/>
    <w:pPr>
      <w:widowControl w:val="0"/>
      <w:numPr>
        <w:ilvl w:val="0"/>
        <w:numId w:val="24"/>
      </w:numPr>
      <w:autoSpaceDE w:val="0"/>
      <w:autoSpaceDN w:val="0"/>
      <w:ind w:left="737"/>
      <w:jc w:val="both"/>
    </w:pPr>
    <w:rPr>
      <w:rFonts w:ascii="宋体" w:hAnsi="Times New Roman" w:eastAsia="宋体" w:cs="Times New Roman"/>
      <w:sz w:val="18"/>
      <w:szCs w:val="18"/>
      <w:lang w:val="en-US" w:eastAsia="zh-CN" w:bidi="ar-SA"/>
    </w:rPr>
  </w:style>
  <w:style w:type="paragraph" w:customStyle="1" w:styleId="185">
    <w:name w:val="标准文件_注×："/>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qFormat/>
    <w:uiPriority w:val="0"/>
    <w:pPr>
      <w:widowControl w:val="0"/>
      <w:numPr>
        <w:ilvl w:val="0"/>
        <w:numId w:val="26"/>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qFormat/>
    <w:uiPriority w:val="0"/>
    <w:pPr>
      <w:ind w:firstLine="420"/>
    </w:pPr>
    <w:rPr>
      <w:sz w:val="18"/>
    </w:rPr>
  </w:style>
  <w:style w:type="paragraph" w:customStyle="1" w:styleId="188">
    <w:name w:val="标准文件_示例×："/>
    <w:basedOn w:val="1"/>
    <w:next w:val="187"/>
    <w:qFormat/>
    <w:uiPriority w:val="0"/>
    <w:pPr>
      <w:widowControl/>
      <w:numPr>
        <w:ilvl w:val="0"/>
        <w:numId w:val="27"/>
      </w:numPr>
      <w:adjustRightInd/>
      <w:spacing w:line="240" w:lineRule="auto"/>
    </w:pPr>
    <w:rPr>
      <w:rFonts w:ascii="宋体" w:hAnsi="Times New Roman"/>
      <w:kern w:val="0"/>
      <w:sz w:val="18"/>
      <w:szCs w:val="18"/>
    </w:rPr>
  </w:style>
  <w:style w:type="character" w:customStyle="1" w:styleId="189">
    <w:name w:val="标准文件_段 Char"/>
    <w:link w:val="61"/>
    <w:qFormat/>
    <w:uiPriority w:val="0"/>
    <w:rPr>
      <w:rFonts w:ascii="宋体" w:hAnsi="Times New Roman"/>
      <w:sz w:val="21"/>
    </w:rPr>
  </w:style>
  <w:style w:type="paragraph" w:customStyle="1" w:styleId="190">
    <w:name w:val="标准文件_表格续"/>
    <w:basedOn w:val="61"/>
    <w:next w:val="61"/>
    <w:qFormat/>
    <w:uiPriority w:val="0"/>
    <w:pPr>
      <w:jc w:val="center"/>
    </w:pPr>
    <w:rPr>
      <w:rFonts w:ascii="黑体" w:hAnsi="黑体" w:eastAsia="黑体"/>
    </w:rPr>
  </w:style>
  <w:style w:type="character" w:styleId="191">
    <w:name w:val="Placeholder Text"/>
    <w:basedOn w:val="32"/>
    <w:semiHidden/>
    <w:qFormat/>
    <w:uiPriority w:val="99"/>
    <w:rPr>
      <w:color w:val="808080"/>
    </w:rPr>
  </w:style>
  <w:style w:type="paragraph" w:customStyle="1" w:styleId="192">
    <w:name w:val="标准文件_二级项2"/>
    <w:basedOn w:val="61"/>
    <w:qFormat/>
    <w:uiPriority w:val="0"/>
    <w:pPr>
      <w:numPr>
        <w:ilvl w:val="1"/>
        <w:numId w:val="20"/>
      </w:numPr>
      <w:ind w:firstLine="0" w:firstLineChars="0"/>
    </w:pPr>
  </w:style>
  <w:style w:type="paragraph" w:customStyle="1" w:styleId="193">
    <w:name w:val="标准文件_三级项2"/>
    <w:basedOn w:val="61"/>
    <w:qFormat/>
    <w:uiPriority w:val="0"/>
    <w:pPr>
      <w:numPr>
        <w:ilvl w:val="0"/>
        <w:numId w:val="28"/>
      </w:numPr>
      <w:spacing w:line="300" w:lineRule="exact"/>
      <w:ind w:firstLineChars="0"/>
    </w:pPr>
    <w:rPr>
      <w:rFonts w:ascii="Times New Roman"/>
    </w:rPr>
  </w:style>
  <w:style w:type="paragraph" w:customStyle="1" w:styleId="194">
    <w:name w:val="标准文件_一级项2"/>
    <w:basedOn w:val="61"/>
    <w:qFormat/>
    <w:uiPriority w:val="0"/>
    <w:pPr>
      <w:numPr>
        <w:ilvl w:val="0"/>
        <w:numId w:val="29"/>
      </w:numPr>
      <w:spacing w:line="300" w:lineRule="exact"/>
      <w:ind w:firstLineChars="0"/>
    </w:pPr>
    <w:rPr>
      <w:rFonts w:ascii="Times New Roman"/>
    </w:rPr>
  </w:style>
  <w:style w:type="paragraph" w:customStyle="1" w:styleId="195">
    <w:name w:val="标准文件_提示"/>
    <w:basedOn w:val="61"/>
    <w:next w:val="61"/>
    <w:qFormat/>
    <w:uiPriority w:val="0"/>
    <w:pPr>
      <w:ind w:firstLine="420"/>
    </w:pPr>
    <w:rPr>
      <w:rFonts w:ascii="黑体" w:eastAsia="黑体"/>
    </w:rPr>
  </w:style>
  <w:style w:type="character" w:customStyle="1" w:styleId="196">
    <w:name w:val="标准文件_来源"/>
    <w:basedOn w:val="32"/>
    <w:qFormat/>
    <w:uiPriority w:val="1"/>
    <w:rPr>
      <w:rFonts w:eastAsia="宋体"/>
      <w:sz w:val="21"/>
    </w:rPr>
  </w:style>
  <w:style w:type="paragraph" w:customStyle="1" w:styleId="197">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qFormat/>
    <w:uiPriority w:val="0"/>
    <w:pPr>
      <w:framePr w:w="3997" w:h="471" w:hRule="exact" w:hSpace="0" w:vSpace="181" w:wrap="around" w:vAnchor="page" w:hAnchor="page" w:x="1419" w:y="14097"/>
    </w:pPr>
  </w:style>
  <w:style w:type="paragraph" w:customStyle="1" w:styleId="199">
    <w:name w:val="其他实施日期"/>
    <w:basedOn w:val="159"/>
    <w:qFormat/>
    <w:uiPriority w:val="0"/>
    <w:pPr>
      <w:framePr w:w="3997" w:h="471" w:hRule="exact" w:vSpace="181" w:wrap="around" w:vAnchor="page" w:hAnchor="page" w:x="7089" w:y="14097"/>
    </w:pPr>
  </w:style>
  <w:style w:type="paragraph" w:customStyle="1" w:styleId="200">
    <w:name w:val="标准文件_文件编号"/>
    <w:basedOn w:val="61"/>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spacing w:before="57"/>
    </w:pPr>
    <w:rPr>
      <w:sz w:val="21"/>
    </w:rPr>
  </w:style>
  <w:style w:type="paragraph" w:customStyle="1" w:styleId="202">
    <w:name w:val="标准文件_文件名称"/>
    <w:basedOn w:val="61"/>
    <w:next w:val="61"/>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qFormat/>
    <w:uiPriority w:val="0"/>
    <w:pPr>
      <w:numPr>
        <w:ilvl w:val="1"/>
        <w:numId w:val="8"/>
      </w:numPr>
      <w:spacing w:before="50" w:beforeLines="50" w:after="50" w:afterLines="50"/>
      <w:ind w:firstLineChars="0"/>
    </w:pPr>
    <w:rPr>
      <w:rFonts w:ascii="黑体" w:eastAsia="黑体"/>
    </w:rPr>
  </w:style>
  <w:style w:type="paragraph" w:customStyle="1" w:styleId="206">
    <w:name w:val="标准文件_引言二级条标题"/>
    <w:basedOn w:val="61"/>
    <w:next w:val="61"/>
    <w:qFormat/>
    <w:uiPriority w:val="0"/>
    <w:pPr>
      <w:numPr>
        <w:ilvl w:val="2"/>
        <w:numId w:val="8"/>
      </w:numPr>
      <w:spacing w:before="50" w:beforeLines="50" w:after="50" w:afterLines="50"/>
      <w:ind w:firstLineChars="0"/>
    </w:pPr>
    <w:rPr>
      <w:rFonts w:ascii="黑体" w:eastAsia="黑体"/>
    </w:rPr>
  </w:style>
  <w:style w:type="paragraph" w:customStyle="1" w:styleId="207">
    <w:name w:val="标准文件_引言三级条标题"/>
    <w:basedOn w:val="61"/>
    <w:next w:val="61"/>
    <w:qFormat/>
    <w:uiPriority w:val="0"/>
    <w:pPr>
      <w:numPr>
        <w:ilvl w:val="3"/>
        <w:numId w:val="8"/>
      </w:numPr>
      <w:spacing w:before="50" w:beforeLines="50" w:after="50" w:afterLines="50"/>
      <w:ind w:firstLineChars="0"/>
    </w:pPr>
    <w:rPr>
      <w:rFonts w:ascii="黑体" w:eastAsia="黑体"/>
    </w:rPr>
  </w:style>
  <w:style w:type="paragraph" w:customStyle="1" w:styleId="208">
    <w:name w:val="标准文件_引言四级条标题"/>
    <w:basedOn w:val="61"/>
    <w:next w:val="61"/>
    <w:qFormat/>
    <w:uiPriority w:val="0"/>
    <w:pPr>
      <w:numPr>
        <w:ilvl w:val="4"/>
        <w:numId w:val="8"/>
      </w:numPr>
      <w:spacing w:before="50" w:beforeLines="50" w:after="50" w:afterLines="50"/>
      <w:ind w:firstLineChars="0"/>
    </w:pPr>
    <w:rPr>
      <w:rFonts w:ascii="黑体" w:eastAsia="黑体"/>
    </w:rPr>
  </w:style>
  <w:style w:type="paragraph" w:customStyle="1" w:styleId="209">
    <w:name w:val="标准文件_引言五级条标题"/>
    <w:basedOn w:val="61"/>
    <w:next w:val="61"/>
    <w:qFormat/>
    <w:uiPriority w:val="0"/>
    <w:pPr>
      <w:numPr>
        <w:ilvl w:val="5"/>
        <w:numId w:val="8"/>
      </w:numPr>
      <w:spacing w:before="50" w:beforeLines="50" w:after="50" w:afterLines="50"/>
      <w:ind w:firstLineChars="0"/>
    </w:pPr>
    <w:rPr>
      <w:rFonts w:ascii="黑体" w:eastAsia="黑体"/>
    </w:rPr>
  </w:style>
  <w:style w:type="paragraph" w:customStyle="1" w:styleId="210">
    <w:name w:val="标准文件_注后"/>
    <w:basedOn w:val="61"/>
    <w:qFormat/>
    <w:uiPriority w:val="0"/>
    <w:pPr>
      <w:ind w:left="811" w:firstLine="0" w:firstLineChars="0"/>
    </w:pPr>
    <w:rPr>
      <w:sz w:val="18"/>
    </w:rPr>
  </w:style>
  <w:style w:type="paragraph" w:customStyle="1" w:styleId="211">
    <w:name w:val="标准文件_注X后"/>
    <w:basedOn w:val="61"/>
    <w:qFormat/>
    <w:uiPriority w:val="0"/>
    <w:pPr>
      <w:ind w:left="811" w:firstLine="0" w:firstLineChars="0"/>
    </w:pPr>
    <w:rPr>
      <w:sz w:val="18"/>
    </w:rPr>
  </w:style>
  <w:style w:type="paragraph" w:customStyle="1" w:styleId="212">
    <w:name w:val="标准文件_示例后"/>
    <w:basedOn w:val="61"/>
    <w:qFormat/>
    <w:uiPriority w:val="0"/>
    <w:pPr>
      <w:ind w:left="964" w:firstLine="0" w:firstLineChars="0"/>
    </w:pPr>
    <w:rPr>
      <w:sz w:val="18"/>
    </w:rPr>
  </w:style>
  <w:style w:type="paragraph" w:customStyle="1" w:styleId="213">
    <w:name w:val="标准文件_示例X后"/>
    <w:basedOn w:val="61"/>
    <w:link w:val="214"/>
    <w:qFormat/>
    <w:uiPriority w:val="0"/>
    <w:pPr>
      <w:ind w:left="1049" w:firstLine="0" w:firstLineChars="0"/>
    </w:pPr>
    <w:rPr>
      <w:sz w:val="18"/>
    </w:rPr>
  </w:style>
  <w:style w:type="character" w:customStyle="1" w:styleId="214">
    <w:name w:val="标准文件_示例X后 字符"/>
    <w:basedOn w:val="189"/>
    <w:link w:val="213"/>
    <w:qFormat/>
    <w:uiPriority w:val="0"/>
    <w:rPr>
      <w:rFonts w:ascii="宋体" w:hAnsi="Times New Roman"/>
      <w:sz w:val="18"/>
    </w:rPr>
  </w:style>
  <w:style w:type="paragraph" w:customStyle="1" w:styleId="215">
    <w:name w:val="标准文件_索引项"/>
    <w:basedOn w:val="61"/>
    <w:next w:val="61"/>
    <w:qFormat/>
    <w:uiPriority w:val="0"/>
    <w:pPr>
      <w:tabs>
        <w:tab w:val="right" w:leader="dot" w:pos="9356"/>
      </w:tabs>
      <w:ind w:left="210" w:hanging="210" w:firstLineChars="0"/>
      <w:jc w:val="left"/>
    </w:pPr>
  </w:style>
  <w:style w:type="paragraph" w:customStyle="1" w:styleId="216">
    <w:name w:val="标准文件_附录一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二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三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四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五级无标题"/>
    <w:basedOn w:val="89"/>
    <w:qFormat/>
    <w:uiPriority w:val="0"/>
    <w:pPr>
      <w:spacing w:before="0" w:beforeLines="0" w:after="0" w:afterLines="0" w:line="276" w:lineRule="auto"/>
      <w:outlineLvl w:val="9"/>
    </w:pPr>
    <w:rPr>
      <w:rFonts w:ascii="宋体" w:eastAsia="宋体"/>
    </w:rPr>
  </w:style>
  <w:style w:type="paragraph" w:customStyle="1" w:styleId="221">
    <w:name w:val="标准文件_引言一级无标题"/>
    <w:basedOn w:val="205"/>
    <w:next w:val="61"/>
    <w:qFormat/>
    <w:uiPriority w:val="0"/>
    <w:pPr>
      <w:spacing w:before="0" w:beforeLines="0" w:after="0" w:afterLines="0" w:line="276" w:lineRule="auto"/>
    </w:pPr>
    <w:rPr>
      <w:rFonts w:ascii="宋体" w:eastAsia="宋体"/>
    </w:rPr>
  </w:style>
  <w:style w:type="paragraph" w:customStyle="1" w:styleId="222">
    <w:name w:val="标准文件_引言二级无标题"/>
    <w:basedOn w:val="206"/>
    <w:next w:val="61"/>
    <w:qFormat/>
    <w:uiPriority w:val="0"/>
    <w:pPr>
      <w:spacing w:before="0" w:beforeLines="0" w:after="0" w:afterLines="0" w:line="276" w:lineRule="auto"/>
    </w:pPr>
    <w:rPr>
      <w:rFonts w:ascii="宋体" w:eastAsia="宋体"/>
    </w:rPr>
  </w:style>
  <w:style w:type="paragraph" w:customStyle="1" w:styleId="223">
    <w:name w:val="标准文件_引言三级无标题"/>
    <w:basedOn w:val="207"/>
    <w:qFormat/>
    <w:uiPriority w:val="0"/>
    <w:pPr>
      <w:spacing w:before="0" w:beforeLines="0" w:after="0" w:afterLines="0" w:line="276" w:lineRule="auto"/>
    </w:pPr>
    <w:rPr>
      <w:rFonts w:ascii="宋体" w:eastAsia="宋体"/>
    </w:rPr>
  </w:style>
  <w:style w:type="paragraph" w:customStyle="1" w:styleId="224">
    <w:name w:val="标准文件_引言四级无标题"/>
    <w:basedOn w:val="208"/>
    <w:next w:val="61"/>
    <w:qFormat/>
    <w:uiPriority w:val="0"/>
    <w:pPr>
      <w:spacing w:before="0" w:beforeLines="0" w:after="0" w:afterLines="0" w:line="276" w:lineRule="auto"/>
    </w:pPr>
    <w:rPr>
      <w:rFonts w:ascii="宋体" w:eastAsia="宋体"/>
    </w:rPr>
  </w:style>
  <w:style w:type="paragraph" w:customStyle="1" w:styleId="225">
    <w:name w:val="标准文件_引言五级无标题"/>
    <w:basedOn w:val="209"/>
    <w:next w:val="61"/>
    <w:qFormat/>
    <w:uiPriority w:val="0"/>
    <w:pPr>
      <w:spacing w:before="0" w:beforeLines="0" w:after="0" w:afterLines="0" w:line="276" w:lineRule="auto"/>
    </w:pPr>
    <w:rPr>
      <w:rFonts w:ascii="宋体" w:eastAsia="宋体"/>
    </w:rPr>
  </w:style>
  <w:style w:type="paragraph" w:customStyle="1" w:styleId="226">
    <w:name w:val="标准文件_索引标题"/>
    <w:basedOn w:val="68"/>
    <w:next w:val="61"/>
    <w:qFormat/>
    <w:uiPriority w:val="0"/>
    <w:rPr>
      <w:rFonts w:hAnsi="黑体"/>
    </w:rPr>
  </w:style>
  <w:style w:type="paragraph" w:customStyle="1" w:styleId="227">
    <w:name w:val="标准文件_脚注内容"/>
    <w:basedOn w:val="61"/>
    <w:qFormat/>
    <w:uiPriority w:val="0"/>
    <w:pPr>
      <w:ind w:left="400" w:leftChars="200" w:hanging="200" w:hangingChars="200"/>
    </w:pPr>
    <w:rPr>
      <w:sz w:val="15"/>
    </w:rPr>
  </w:style>
  <w:style w:type="paragraph" w:customStyle="1" w:styleId="228">
    <w:name w:val="标准文件_术语条一"/>
    <w:basedOn w:val="167"/>
    <w:next w:val="61"/>
    <w:qFormat/>
    <w:uiPriority w:val="0"/>
  </w:style>
  <w:style w:type="paragraph" w:customStyle="1" w:styleId="229">
    <w:name w:val="标准文件_术语条二"/>
    <w:basedOn w:val="170"/>
    <w:next w:val="61"/>
    <w:qFormat/>
    <w:uiPriority w:val="0"/>
  </w:style>
  <w:style w:type="paragraph" w:customStyle="1" w:styleId="230">
    <w:name w:val="标准文件_术语条三"/>
    <w:basedOn w:val="169"/>
    <w:next w:val="61"/>
    <w:qFormat/>
    <w:uiPriority w:val="0"/>
  </w:style>
  <w:style w:type="paragraph" w:customStyle="1" w:styleId="231">
    <w:name w:val="标准文件_术语条四"/>
    <w:basedOn w:val="172"/>
    <w:next w:val="61"/>
    <w:qFormat/>
    <w:uiPriority w:val="0"/>
  </w:style>
  <w:style w:type="paragraph" w:customStyle="1" w:styleId="232">
    <w:name w:val="标准文件_术语条五"/>
    <w:basedOn w:val="168"/>
    <w:next w:val="61"/>
    <w:qFormat/>
    <w:uiPriority w:val="0"/>
  </w:style>
  <w:style w:type="paragraph" w:customStyle="1" w:styleId="2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4">
    <w:name w:val="发布"/>
    <w:basedOn w:val="32"/>
    <w:qFormat/>
    <w:uiPriority w:val="0"/>
    <w:rPr>
      <w:rFonts w:ascii="黑体" w:eastAsia="黑体"/>
      <w:spacing w:val="85"/>
      <w:w w:val="100"/>
      <w:position w:val="3"/>
      <w:sz w:val="28"/>
      <w:szCs w:val="28"/>
    </w:rPr>
  </w:style>
  <w:style w:type="paragraph" w:customStyle="1" w:styleId="235">
    <w:name w:val="段"/>
    <w:link w:val="23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6">
    <w:name w:val="段 Char"/>
    <w:link w:val="235"/>
    <w:qFormat/>
    <w:uiPriority w:val="0"/>
    <w:rPr>
      <w:rFonts w:ascii="宋体" w:hAnsi="Times New Roman"/>
      <w:sz w:val="21"/>
    </w:rPr>
  </w:style>
  <w:style w:type="paragraph" w:customStyle="1" w:styleId="237">
    <w:name w:val="章标题"/>
    <w:next w:val="235"/>
    <w:qFormat/>
    <w:uiPriority w:val="0"/>
    <w:pPr>
      <w:numPr>
        <w:ilvl w:val="0"/>
        <w:numId w:val="30"/>
      </w:numPr>
      <w:spacing w:beforeLines="100" w:afterLines="100"/>
      <w:jc w:val="both"/>
      <w:outlineLvl w:val="1"/>
    </w:pPr>
    <w:rPr>
      <w:rFonts w:ascii="黑体" w:hAnsi="Times New Roman" w:eastAsia="黑体" w:cs="Times New Roman"/>
      <w:sz w:val="21"/>
      <w:lang w:val="en-US" w:eastAsia="zh-CN" w:bidi="ar-SA"/>
    </w:rPr>
  </w:style>
  <w:style w:type="paragraph" w:customStyle="1" w:styleId="238">
    <w:name w:val="一级无"/>
    <w:basedOn w:val="1"/>
    <w:qFormat/>
    <w:uiPriority w:val="0"/>
    <w:pPr>
      <w:widowControl/>
      <w:numPr>
        <w:ilvl w:val="1"/>
        <w:numId w:val="30"/>
      </w:numPr>
      <w:adjustRightInd/>
      <w:spacing w:before="120" w:after="120" w:line="240" w:lineRule="auto"/>
      <w:jc w:val="left"/>
      <w:outlineLvl w:val="2"/>
    </w:pPr>
    <w:rPr>
      <w:rFonts w:ascii="宋体" w:hAnsi="Times New Roman" w:eastAsia="黑体"/>
      <w:kern w:val="0"/>
    </w:rPr>
  </w:style>
  <w:style w:type="character" w:customStyle="1" w:styleId="239">
    <w:name w:val="批注文字 字符"/>
    <w:basedOn w:val="32"/>
    <w:link w:val="14"/>
    <w:semiHidden/>
    <w:qFormat/>
    <w:uiPriority w:val="99"/>
    <w:rPr>
      <w:kern w:val="2"/>
      <w:sz w:val="21"/>
      <w:szCs w:val="21"/>
    </w:rPr>
  </w:style>
  <w:style w:type="character" w:customStyle="1" w:styleId="240">
    <w:name w:val="批注主题 字符"/>
    <w:basedOn w:val="239"/>
    <w:link w:val="29"/>
    <w:semiHidden/>
    <w:qFormat/>
    <w:uiPriority w:val="99"/>
    <w:rPr>
      <w:b/>
      <w:bCs/>
      <w:kern w:val="2"/>
      <w:sz w:val="21"/>
      <w:szCs w:val="21"/>
    </w:rPr>
  </w:style>
  <w:style w:type="paragraph" w:customStyle="1" w:styleId="241">
    <w:name w:val="修订1"/>
    <w:hidden/>
    <w:semiHidden/>
    <w:qFormat/>
    <w:uiPriority w:val="99"/>
    <w:rPr>
      <w:rFonts w:ascii="Calibri" w:hAnsi="Calibri" w:eastAsia="宋体" w:cs="Times New Roman"/>
      <w:kern w:val="2"/>
      <w:sz w:val="21"/>
      <w:szCs w:val="21"/>
      <w:lang w:val="en-US" w:eastAsia="zh-CN" w:bidi="ar-SA"/>
    </w:rPr>
  </w:style>
  <w:style w:type="paragraph" w:customStyle="1" w:styleId="242">
    <w:name w:val="修订2"/>
    <w:hidden/>
    <w:unhideWhenUsed/>
    <w:qFormat/>
    <w:uiPriority w:val="99"/>
    <w:rPr>
      <w:rFonts w:ascii="Calibri" w:hAnsi="Calibri" w:eastAsia="宋体" w:cs="Times New Roman"/>
      <w:kern w:val="2"/>
      <w:sz w:val="21"/>
      <w:szCs w:val="21"/>
      <w:lang w:val="en-US" w:eastAsia="zh-CN" w:bidi="ar-SA"/>
    </w:rPr>
  </w:style>
  <w:style w:type="paragraph" w:customStyle="1" w:styleId="243">
    <w:name w:val="修订3"/>
    <w:hidden/>
    <w:semiHidden/>
    <w:qFormat/>
    <w:uiPriority w:val="99"/>
    <w:rPr>
      <w:rFonts w:ascii="Calibri" w:hAnsi="Calibri" w:eastAsia="宋体" w:cs="Times New Roman"/>
      <w:kern w:val="2"/>
      <w:sz w:val="21"/>
      <w:szCs w:val="21"/>
      <w:lang w:val="en-US" w:eastAsia="zh-CN" w:bidi="ar-SA"/>
    </w:rPr>
  </w:style>
  <w:style w:type="paragraph" w:customStyle="1" w:styleId="244">
    <w:name w:val="正文表标题"/>
    <w:next w:val="235"/>
    <w:qFormat/>
    <w:uiPriority w:val="0"/>
    <w:pPr>
      <w:numPr>
        <w:ilvl w:val="0"/>
        <w:numId w:val="31"/>
      </w:numPr>
      <w:spacing w:beforeLines="50" w:afterLines="50"/>
      <w:ind w:left="2411"/>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tiff"/><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54090E925E48B98E160790B0DC6926"/>
        <w:style w:val=""/>
        <w:category>
          <w:name w:val="常规"/>
          <w:gallery w:val="placeholder"/>
        </w:category>
        <w:types>
          <w:type w:val="bbPlcHdr"/>
        </w:types>
        <w:behaviors>
          <w:behavior w:val="content"/>
        </w:behaviors>
        <w:description w:val=""/>
        <w:guid w:val="{B8A0B9E5-9590-4DA4-9CFF-425D4E7A66B2}"/>
      </w:docPartPr>
      <w:docPartBody>
        <w:p w14:paraId="7169E05A">
          <w:pPr>
            <w:pStyle w:val="5"/>
          </w:pPr>
          <w:r>
            <w:rPr>
              <w:rStyle w:val="4"/>
              <w:rFonts w:hint="eastAsia"/>
            </w:rPr>
            <w:t>单击或点击此处输入文字。</w:t>
          </w:r>
        </w:p>
      </w:docPartBody>
    </w:docPart>
    <w:docPart>
      <w:docPartPr>
        <w:name w:val="A5A01930508543CFA9166729CE425546"/>
        <w:style w:val=""/>
        <w:category>
          <w:name w:val="常规"/>
          <w:gallery w:val="placeholder"/>
        </w:category>
        <w:types>
          <w:type w:val="bbPlcHdr"/>
        </w:types>
        <w:behaviors>
          <w:behavior w:val="content"/>
        </w:behaviors>
        <w:description w:val=""/>
        <w:guid w:val="{54B4DB22-403B-47D8-B053-742A82ACD1AB}"/>
      </w:docPartPr>
      <w:docPartBody>
        <w:p w14:paraId="6DAB528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4F0"/>
    <w:rsid w:val="0002280F"/>
    <w:rsid w:val="000D6C4C"/>
    <w:rsid w:val="000E7923"/>
    <w:rsid w:val="001265B8"/>
    <w:rsid w:val="00145FC4"/>
    <w:rsid w:val="0020279A"/>
    <w:rsid w:val="00297FE4"/>
    <w:rsid w:val="002B2C31"/>
    <w:rsid w:val="002E0528"/>
    <w:rsid w:val="003041BF"/>
    <w:rsid w:val="00313269"/>
    <w:rsid w:val="003222C1"/>
    <w:rsid w:val="00332CBE"/>
    <w:rsid w:val="003821DE"/>
    <w:rsid w:val="003C7BB3"/>
    <w:rsid w:val="004803CF"/>
    <w:rsid w:val="00491E05"/>
    <w:rsid w:val="004C4DCB"/>
    <w:rsid w:val="004C6FA0"/>
    <w:rsid w:val="004E4423"/>
    <w:rsid w:val="004F4E91"/>
    <w:rsid w:val="004F5BCE"/>
    <w:rsid w:val="005A436A"/>
    <w:rsid w:val="005E14F0"/>
    <w:rsid w:val="005E4078"/>
    <w:rsid w:val="00602E6A"/>
    <w:rsid w:val="0068073A"/>
    <w:rsid w:val="00690A5D"/>
    <w:rsid w:val="006B416A"/>
    <w:rsid w:val="00743558"/>
    <w:rsid w:val="00784BE4"/>
    <w:rsid w:val="008E1076"/>
    <w:rsid w:val="009D6F17"/>
    <w:rsid w:val="00A2769D"/>
    <w:rsid w:val="00A55DCA"/>
    <w:rsid w:val="00B03019"/>
    <w:rsid w:val="00B5511E"/>
    <w:rsid w:val="00B848A8"/>
    <w:rsid w:val="00B85A0D"/>
    <w:rsid w:val="00BB377D"/>
    <w:rsid w:val="00C904D9"/>
    <w:rsid w:val="00D74BF6"/>
    <w:rsid w:val="00E65435"/>
    <w:rsid w:val="00EA7A46"/>
    <w:rsid w:val="00EB62D0"/>
    <w:rsid w:val="00EF5DE7"/>
    <w:rsid w:val="00F40CE7"/>
    <w:rsid w:val="00F62990"/>
    <w:rsid w:val="00F752C1"/>
    <w:rsid w:val="00FA2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154090E925E48B98E160790B0DC69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40929DFF3AB47AEBE538906A8EB62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5A01930508543CFA9166729CE42554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23</Pages>
  <Words>4498</Words>
  <Characters>5382</Characters>
  <Lines>143</Lines>
  <Paragraphs>40</Paragraphs>
  <TotalTime>2</TotalTime>
  <ScaleCrop>false</ScaleCrop>
  <LinksUpToDate>false</LinksUpToDate>
  <CharactersWithSpaces>5719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2025-10-12T07:01:00Z</dcterms:created>
  <dc:creator>litieg</dc:creator>
  <cp:lastModifiedBy>沈锎洋</cp:lastModifiedBy>
  <cp:lastPrinted>2025-10-10T23:37:00Z</cp:lastPrinted>
  <dcterms:modified xsi:type="dcterms:W3CDTF">2026-01-20T02:28:34Z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2052-12.1.0.24034</vt:lpwstr>
  </property>
  <property fmtid="{D5CDD505-2E9C-101B-9397-08002B2CF9AE}" pid="15" name="ICV">
    <vt:lpwstr>214C005F4511F49CF0B4E8684C4D671C</vt:lpwstr>
  </property>
  <property fmtid="{D5CDD505-2E9C-101B-9397-08002B2CF9AE}" pid="16" name="KSOTemplateDocerSaveRecord">
    <vt:lpwstr>eyJoZGlkIjoiOGVkNDFlN2I1NTdkZmE5NjhjZGE3NDFkMWJmZDlkMjgiLCJ1c2VySWQiOiIxNjU3Mjc0OTIxIn0=</vt:lpwstr>
  </property>
</Properties>
</file>