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D59D7">
      <w:pPr>
        <w:pStyle w:val="117"/>
        <w:framePr w:wrap="around" w:vAnchor="margin" w:hAnchor="text" w:y="1"/>
        <w:rPr>
          <w:rFonts w:hAnsi="黑体"/>
        </w:rPr>
      </w:pPr>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fldChar w:fldCharType="separate"/>
      </w:r>
      <w:r>
        <w:rPr>
          <w:rFonts w:hint="eastAsia" w:hAnsi="黑体"/>
        </w:rPr>
        <w:t>点击此处添加ICS号</w:t>
      </w:r>
      <w:r>
        <w:rPr>
          <w:rFonts w:hAnsi="黑体"/>
        </w:rPr>
        <w:fldChar w:fldCharType="end"/>
      </w:r>
      <w:bookmarkEnd w:id="0"/>
    </w:p>
    <w:p w14:paraId="43ADDCA3">
      <w:pPr>
        <w:pStyle w:val="117"/>
        <w:framePr w:wrap="around" w:vAnchor="margin" w:hAnchor="text" w:y="1"/>
        <w:rPr>
          <w:rFonts w:hAnsi="黑体"/>
        </w:rPr>
      </w:pPr>
      <w:r>
        <w:rPr>
          <w:rFonts w:hint="eastAsia" w:hAnsi="黑体"/>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fldChar w:fldCharType="separate"/>
      </w:r>
      <w:r>
        <w:rPr>
          <w:rFonts w:hint="eastAsia" w:hAnsi="黑体"/>
        </w:rPr>
        <w:t>点击此处添加中国标准文献分类号</w:t>
      </w:r>
      <w:r>
        <w:rPr>
          <w:rFonts w:hAnsi="黑体"/>
        </w:rPr>
        <w:fldChar w:fldCharType="end"/>
      </w:r>
      <w:bookmarkEnd w:id="1"/>
    </w:p>
    <w:tbl>
      <w:tblPr>
        <w:tblStyle w:val="32"/>
        <w:tblW w:w="93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5"/>
      </w:tblGrid>
      <w:tr w14:paraId="23CE3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5" w:type="dxa"/>
            <w:tcBorders>
              <w:top w:val="nil"/>
              <w:left w:val="nil"/>
              <w:bottom w:val="nil"/>
              <w:right w:val="nil"/>
            </w:tcBorders>
            <w:vAlign w:val="top"/>
          </w:tcPr>
          <w:p w14:paraId="604272C3">
            <w:pPr>
              <w:pStyle w:val="117"/>
              <w:framePr w:wrap="around" w:vAnchor="margin" w:hAnchor="text" w:y="1"/>
              <w:rPr>
                <w:rFonts w:ascii="宋体" w:hAnsi="黑体"/>
                <w:sz w:val="18"/>
                <w:szCs w:val="18"/>
              </w:rPr>
            </w:pPr>
          </w:p>
        </w:tc>
      </w:tr>
    </w:tbl>
    <w:p w14:paraId="145F8EC9">
      <w:pPr>
        <w:pStyle w:val="104"/>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14:paraId="310AA3DC">
      <w:pPr>
        <w:pStyle w:val="105"/>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14:paraId="2926E1CD">
      <w:pPr>
        <w:pStyle w:val="44"/>
        <w:framePr w:wrap="around" w:vAnchor="page" w:hAnchor="page" w:x="1338" w:y="2923"/>
        <w:rPr>
          <w:rFonts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32"/>
        <w:tblW w:w="95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55"/>
      </w:tblGrid>
      <w:tr w14:paraId="1E25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55" w:type="dxa"/>
            <w:tcBorders>
              <w:top w:val="nil"/>
              <w:left w:val="nil"/>
              <w:bottom w:val="nil"/>
              <w:right w:val="nil"/>
            </w:tcBorders>
            <w:vAlign w:val="top"/>
          </w:tcPr>
          <w:p w14:paraId="0B8F7692">
            <w:pPr>
              <w:pStyle w:val="72"/>
              <w:framePr w:wrap="around" w:vAnchor="page" w:hAnchor="page" w:x="1338" w:y="2923"/>
              <w:rPr>
                <w:rFonts w:ascii="黑体" w:hAnsi="黑体" w:eastAsia="黑体"/>
                <w:sz w:val="18"/>
                <w:szCs w:val="18"/>
              </w:rPr>
            </w:pPr>
            <w:r>
              <w:rPr>
                <w:rFonts w:ascii="黑体" w:hAnsi="黑体" w:eastAsia="黑体" w:cs="Times New Roman"/>
                <w:sz w:val="18"/>
                <w:szCs w:val="18"/>
                <w:lang w:val="en-US" w:eastAsia="zh-CN" w:bidi="ar-SA"/>
              </w:rPr>
              <mc:AlternateContent>
                <mc:Choice Requires="wps">
                  <w:drawing>
                    <wp:anchor distT="0" distB="0" distL="114300" distR="114300" simplePos="0" relativeHeight="251662336"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4"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0"/>
                          </wps:wsp>
                        </a:graphicData>
                      </a:graphic>
                    </wp:anchor>
                  </w:drawing>
                </mc:Choice>
                <mc:Fallback>
                  <w:pict>
                    <v:rect id="DT" o:spid="_x0000_s1026" o:spt="1" style="position:absolute;left:0pt;margin-left:367.4pt;margin-top:2.7pt;height:18pt;width:90pt;z-index:-251654144;mso-width-relative:page;mso-height-relative:page;" fillcolor="#FFFFFF" filled="t" stroked="f" coordsize="21600,21600" o:gfxdata="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YdqfvVAAAACAEAAA8AAAAAAAAAAQAg&#10;AAAAIgAAAGRycy9kb3ducmV2LnhtbFBLAQIUABQAAAAIAIdO4kC6L/QpnwEAAFkDAAAOAAAAAAAA&#10;AAEAIAAAACQBAABkcnMvZTJvRG9jLnhtbFBLBQYAAAAABgAGAFkBAAA1BQAAAAA=&#10;">
                      <v:fill on="t" focussize="0,0"/>
                      <v:stroke on="f"/>
                      <v:imagedata o:title=""/>
                      <o:lock v:ext="edit" aspectratio="f"/>
                    </v:rect>
                  </w:pict>
                </mc:Fallback>
              </mc:AlternateContent>
            </w:r>
            <w:r>
              <w:rPr>
                <w:rFonts w:ascii="黑体" w:hAnsi="黑体" w:eastAsia="黑体"/>
                <w:sz w:val="18"/>
                <w:szCs w:val="18"/>
              </w:rPr>
              <w:fldChar w:fldCharType="begin">
                <w:ffData>
                  <w:name w:val="DT"/>
                  <w:enabled/>
                  <w:calcOnExit w:val="0"/>
                  <w:entryMacro w:val="ShowHelp4"/>
                  <w:textInput/>
                </w:ffData>
              </w:fldChar>
            </w:r>
            <w:bookmarkStart w:id="6" w:name="DT"/>
            <w:r>
              <w:rPr>
                <w:rFonts w:ascii="黑体" w:hAnsi="黑体" w:eastAsia="黑体"/>
                <w:sz w:val="18"/>
                <w:szCs w:val="18"/>
              </w:rPr>
              <w:instrText xml:space="preserve"> FORMTEXT </w:instrText>
            </w:r>
            <w:r>
              <w:rPr>
                <w:rFonts w:ascii="黑体" w:hAnsi="黑体" w:eastAsia="黑体"/>
                <w:sz w:val="18"/>
                <w:szCs w:val="18"/>
              </w:rPr>
              <w:fldChar w:fldCharType="separate"/>
            </w:r>
            <w:r>
              <w:rPr>
                <w:rFonts w:ascii="黑体" w:hAnsi="黑体" w:eastAsia="黑体"/>
                <w:sz w:val="18"/>
                <w:szCs w:val="18"/>
              </w:rPr>
              <w:t>     </w:t>
            </w:r>
            <w:r>
              <w:rPr>
                <w:rFonts w:ascii="黑体" w:hAnsi="黑体" w:eastAsia="黑体"/>
                <w:sz w:val="18"/>
                <w:szCs w:val="18"/>
              </w:rPr>
              <w:fldChar w:fldCharType="end"/>
            </w:r>
            <w:bookmarkEnd w:id="6"/>
          </w:p>
        </w:tc>
      </w:tr>
    </w:tbl>
    <w:p w14:paraId="360B84D9">
      <w:pPr>
        <w:pStyle w:val="44"/>
        <w:framePr w:wrap="around" w:vAnchor="page" w:hAnchor="page" w:x="1338" w:y="2923"/>
        <w:rPr>
          <w:rFonts w:hAnsi="黑体"/>
        </w:rPr>
      </w:pPr>
    </w:p>
    <w:p w14:paraId="145AA316">
      <w:pPr>
        <w:pStyle w:val="44"/>
        <w:framePr w:wrap="around" w:vAnchor="page" w:hAnchor="page" w:x="1338" w:y="2923"/>
        <w:rPr>
          <w:rFonts w:hAnsi="黑体"/>
        </w:rPr>
      </w:pPr>
    </w:p>
    <w:p w14:paraId="6B6883D8">
      <w:pPr>
        <w:pStyle w:val="74"/>
        <w:framePr w:wrap="around" w:vAnchor="page" w:hAnchor="page" w:x="1338" w:y="2923"/>
      </w:pPr>
      <w:r>
        <w:fldChar w:fldCharType="begin">
          <w:ffData>
            <w:name w:val="StdName"/>
            <w:enabled/>
            <w:calcOnExit w:val="0"/>
            <w:textInput>
              <w:default w:val="绿色电力消费评价规范"/>
            </w:textInput>
          </w:ffData>
        </w:fldChar>
      </w:r>
      <w:r>
        <w:instrText xml:space="preserve"> FORMTEXT </w:instrText>
      </w:r>
      <w:r>
        <w:fldChar w:fldCharType="separate"/>
      </w:r>
      <w:r>
        <w:rPr>
          <w:rFonts w:hint="eastAsia"/>
        </w:rPr>
        <w:t>绿色电力消费评价规范</w:t>
      </w:r>
      <w:r>
        <w:fldChar w:fldCharType="end"/>
      </w:r>
    </w:p>
    <w:p w14:paraId="53D3CCBA">
      <w:pPr>
        <w:pStyle w:val="75"/>
        <w:framePr w:wrap="around" w:vAnchor="page" w:hAnchor="page" w:x="1338" w:y="2923"/>
        <w:rPr>
          <w:rFonts w:ascii="黑体" w:hAnsi="黑体"/>
        </w:rPr>
      </w:pPr>
      <w:r>
        <w:rPr>
          <w:rFonts w:hint="eastAsia" w:ascii="黑体" w:hAnsi="黑体"/>
        </w:rPr>
        <w:fldChar w:fldCharType="begin">
          <w:ffData>
            <w:name w:val="StdEnglishName"/>
            <w:enabled/>
            <w:calcOnExit w:val="0"/>
            <w:textInput>
              <w:default w:val="Specification for Green Electricity Consumption Assessment"/>
            </w:textInput>
          </w:ffData>
        </w:fldChar>
      </w:r>
      <w:r>
        <w:rPr>
          <w:rFonts w:ascii="黑体" w:hAnsi="黑体"/>
        </w:rPr>
        <w:instrText xml:space="preserve">FORMTEXT</w:instrText>
      </w:r>
      <w:r>
        <w:rPr>
          <w:rFonts w:hint="eastAsia" w:ascii="黑体" w:hAnsi="黑体"/>
        </w:rPr>
        <w:fldChar w:fldCharType="separate"/>
      </w:r>
      <w:r>
        <w:rPr>
          <w:rFonts w:hint="eastAsia" w:ascii="黑体" w:hAnsi="黑体"/>
        </w:rPr>
        <w:t>Specification for Green Electricity Consumption Assessment</w:t>
      </w:r>
      <w:r>
        <w:rPr>
          <w:rFonts w:hint="eastAsia" w:ascii="黑体" w:hAnsi="黑体"/>
        </w:rPr>
        <w:fldChar w:fldCharType="end"/>
      </w:r>
    </w:p>
    <w:p w14:paraId="465E4A15">
      <w:pPr>
        <w:pStyle w:val="76"/>
        <w:framePr w:wrap="around" w:vAnchor="page" w:hAnchor="page" w:x="1338" w:y="2923"/>
        <w:rPr>
          <w:rFonts w:ascii="黑体" w:hAnsi="黑体" w:eastAsia="黑体"/>
        </w:rPr>
      </w:pPr>
      <w:r>
        <w:rPr>
          <w:rFonts w:ascii="黑体" w:hAnsi="黑体" w:eastAsia="黑体"/>
        </w:rPr>
        <w:fldChar w:fldCharType="begin">
          <w:ffData>
            <w:name w:val="YZBS"/>
            <w:enabled/>
            <w:calcOnExit w:val="0"/>
            <w:textInput>
              <w:default w:val="点击此处添加与国际标准一致性程度的标识"/>
            </w:textInput>
          </w:ffData>
        </w:fldChar>
      </w:r>
      <w:bookmarkStart w:id="7" w:name="YZBS"/>
      <w:r>
        <w:rPr>
          <w:rFonts w:ascii="黑体" w:hAnsi="黑体" w:eastAsia="黑体"/>
        </w:rPr>
        <w:instrText xml:space="preserve"> FORMTEXT </w:instrText>
      </w:r>
      <w:r>
        <w:rPr>
          <w:rFonts w:ascii="黑体" w:hAnsi="黑体" w:eastAsia="黑体"/>
        </w:rPr>
        <w:fldChar w:fldCharType="separate"/>
      </w:r>
      <w:r>
        <w:rPr>
          <w:rFonts w:hint="eastAsia" w:ascii="黑体" w:hAnsi="黑体" w:eastAsia="黑体"/>
        </w:rPr>
        <w:t>点击此处添加与国际标准一致性程度的标识</w:t>
      </w:r>
      <w:r>
        <w:rPr>
          <w:rFonts w:ascii="黑体" w:hAnsi="黑体" w:eastAsia="黑体"/>
        </w:rPr>
        <w:fldChar w:fldCharType="end"/>
      </w:r>
      <w:bookmarkEnd w:id="7"/>
    </w:p>
    <w:tbl>
      <w:tblPr>
        <w:tblStyle w:val="32"/>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14:paraId="4CF75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vAlign w:val="top"/>
          </w:tcPr>
          <w:p w14:paraId="558B2BE0">
            <w:pPr>
              <w:pStyle w:val="77"/>
              <w:framePr w:wrap="around" w:vAnchor="page" w:hAnchor="page" w:x="1338" w:y="2923"/>
            </w:pPr>
            <w:r>
              <w:rPr>
                <w:rFonts w:ascii="宋体" w:hAnsi="Times New Roman" w:eastAsia="宋体" w:cs="Times New Roman"/>
                <w:sz w:val="18"/>
                <w:szCs w:val="18"/>
                <w:lang w:val="en-US" w:eastAsia="zh-CN" w:bidi="ar-SA"/>
              </w:rPr>
              <mc:AlternateContent>
                <mc:Choice Requires="wps">
                  <w:drawing>
                    <wp:anchor distT="0" distB="0" distL="114300" distR="114300" simplePos="0" relativeHeight="251664384" behindDoc="1" locked="1" layoutInCell="1" allowOverlap="1">
                      <wp:simplePos x="0" y="0"/>
                      <wp:positionH relativeFrom="column">
                        <wp:posOffset>2132330</wp:posOffset>
                      </wp:positionH>
                      <wp:positionV relativeFrom="paragraph">
                        <wp:posOffset>573405</wp:posOffset>
                      </wp:positionV>
                      <wp:extent cx="1905000" cy="254000"/>
                      <wp:effectExtent l="0" t="0" r="0" b="12700"/>
                      <wp:wrapNone/>
                      <wp:docPr id="6"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0"/>
                          </wps:wsp>
                        </a:graphicData>
                      </a:graphic>
                    </wp:anchor>
                  </w:drawing>
                </mc:Choice>
                <mc:Fallback>
                  <w:pict>
                    <v:rect id="RQ" o:spid="_x0000_s1026" o:spt="1" style="position:absolute;left:0pt;margin-left:167.9pt;margin-top:45.15pt;height:20pt;width:150pt;z-index:-251652096;mso-width-relative:page;mso-height-relative:page;" fillcolor="#FFFFFF" filled="t" stroked="f" coordsize="21600,21600" o:gfxdata="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Wbo6zVAAAACgEAAA8AAAAAAAAAAQAg&#10;AAAAIgAAAGRycy9kb3ducmV2LnhtbFBLAQIUABQAAAAIAIdO4kCd8eSKnwEAAFkDAAAOAAAAAAAA&#10;AAEAIAAAACQBAABkcnMvZTJvRG9jLnhtbFBLBQYAAAAABgAGAFkBAAA1BQAAAAA=&#10;">
                      <v:fill on="t" focussize="0,0"/>
                      <v:stroke on="f"/>
                      <v:imagedata o:title=""/>
                      <o:lock v:ext="edit" aspectratio="f"/>
                      <w10:anchorlock/>
                    </v:rect>
                  </w:pict>
                </mc:Fallback>
              </mc:AlternateContent>
            </w:r>
            <w:r>
              <w:rPr>
                <w:rFonts w:ascii="宋体" w:hAnsi="Times New Roman" w:eastAsia="宋体" w:cs="Times New Roman"/>
                <w:sz w:val="18"/>
                <w:szCs w:val="18"/>
                <w:lang w:val="en-US" w:eastAsia="zh-CN" w:bidi="ar-SA"/>
              </w:rPr>
              <mc:AlternateContent>
                <mc:Choice Requires="wps">
                  <w:drawing>
                    <wp:anchor distT="0" distB="0" distL="114300" distR="114300" simplePos="0" relativeHeight="251663360"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5"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0"/>
                          </wps:wsp>
                        </a:graphicData>
                      </a:graphic>
                    </wp:anchor>
                  </w:drawing>
                </mc:Choice>
                <mc:Fallback>
                  <w:pict>
                    <v:rect id="LB" o:spid="_x0000_s1026" o:spt="1" style="position:absolute;left:0pt;margin-left:187.9pt;margin-top:20.15pt;height:24pt;width:100pt;z-index:-251653120;mso-width-relative:page;mso-height-relative:page;" fillcolor="#FFFFFF" filled="t" stroked="f" coordsize="21600,21600" o:gfxdata="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yfnGDXAAAACQEAAA8AAAAAAAAA&#10;AQAgAAAAIgAAAGRycy9kb3ducmV2LnhtbFBLAQIUABQAAAAIAIdO4kD5s7bcoAEAAFkDAAAOAAAA&#10;AAAAAAEAIAAAACYBAABkcnMvZTJvRG9jLnhtbFBLBQYAAAAABgAGAFkBAAA4BQAAAAA=&#10;">
                      <v:fill on="t" focussize="0,0"/>
                      <v:stroke on="f"/>
                      <v:imagedata o:title=""/>
                      <o:lock v:ext="edit" aspectratio="f"/>
                    </v:rect>
                  </w:pict>
                </mc:Fallback>
              </mc:AlternateContent>
            </w:r>
            <w:r>
              <w:rPr>
                <w:rFonts w:ascii="宋体"/>
                <w:sz w:val="18"/>
                <w:szCs w:val="18"/>
              </w:rP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8" w:name="LB"/>
            <w:r>
              <w:rPr>
                <w:rFonts w:ascii="宋体"/>
                <w:sz w:val="18"/>
                <w:szCs w:val="18"/>
              </w:rPr>
              <w:instrText xml:space="preserve"> </w:instrText>
            </w:r>
            <w:r>
              <w:rPr>
                <w:rFonts w:hint="eastAsia" w:ascii="宋体"/>
                <w:sz w:val="18"/>
                <w:szCs w:val="18"/>
              </w:rPr>
              <w:instrText xml:space="preserve">FORMDROPDOWN</w:instrText>
            </w:r>
            <w:r>
              <w:rPr>
                <w:rFonts w:ascii="宋体"/>
                <w:sz w:val="18"/>
                <w:szCs w:val="18"/>
              </w:rPr>
              <w:instrText xml:space="preserve"> </w:instrText>
            </w:r>
            <w:r>
              <w:rPr>
                <w:rFonts w:ascii="宋体"/>
                <w:sz w:val="18"/>
                <w:szCs w:val="18"/>
              </w:rPr>
              <w:fldChar w:fldCharType="separate"/>
            </w:r>
            <w:r>
              <w:rPr>
                <w:rFonts w:ascii="宋体"/>
                <w:sz w:val="18"/>
                <w:szCs w:val="18"/>
              </w:rPr>
              <w:fldChar w:fldCharType="end"/>
            </w:r>
            <w:bookmarkEnd w:id="8"/>
          </w:p>
        </w:tc>
      </w:tr>
      <w:tr w14:paraId="0D6A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vAlign w:val="top"/>
          </w:tcPr>
          <w:p w14:paraId="61339025">
            <w:pPr>
              <w:pStyle w:val="78"/>
              <w:framePr w:wrap="around" w:vAnchor="page" w:hAnchor="page" w:x="1338" w:y="2923"/>
              <w:rPr>
                <w:rFonts w:ascii="宋体"/>
                <w:sz w:val="18"/>
                <w:szCs w:val="18"/>
              </w:rPr>
            </w:pPr>
            <w:r>
              <w:rPr>
                <w:rFonts w:ascii="宋体"/>
                <w:sz w:val="18"/>
                <w:szCs w:val="18"/>
              </w:rPr>
              <w:fldChar w:fldCharType="begin">
                <w:ffData>
                  <w:name w:val="WCRQ"/>
                  <w:enabled/>
                  <w:calcOnExit w:val="0"/>
                  <w:textInput/>
                </w:ffData>
              </w:fldChar>
            </w:r>
            <w:bookmarkStart w:id="9" w:name="WCRQ"/>
            <w:r>
              <w:rPr>
                <w:rFonts w:ascii="宋体"/>
                <w:sz w:val="18"/>
                <w:szCs w:val="18"/>
              </w:rPr>
              <w:instrText xml:space="preserve"> FORMTEXT </w:instrText>
            </w:r>
            <w:r>
              <w:rPr>
                <w:rFonts w:ascii="宋体"/>
                <w:sz w:val="18"/>
                <w:szCs w:val="18"/>
              </w:rPr>
              <w:fldChar w:fldCharType="separate"/>
            </w:r>
            <w:r>
              <w:rPr>
                <w:rFonts w:ascii="宋体"/>
                <w:sz w:val="18"/>
                <w:szCs w:val="18"/>
              </w:rPr>
              <w:t>     </w:t>
            </w:r>
            <w:r>
              <w:rPr>
                <w:rFonts w:ascii="宋体"/>
                <w:sz w:val="18"/>
                <w:szCs w:val="18"/>
              </w:rPr>
              <w:fldChar w:fldCharType="end"/>
            </w:r>
            <w:bookmarkEnd w:id="9"/>
          </w:p>
          <w:p w14:paraId="1E5D87FD">
            <w:pPr>
              <w:pStyle w:val="78"/>
              <w:framePr w:wrap="around" w:vAnchor="page" w:hAnchor="page" w:x="1338" w:y="2923"/>
              <w:rPr>
                <w:rFonts w:ascii="宋体"/>
                <w:sz w:val="18"/>
                <w:szCs w:val="18"/>
              </w:rPr>
            </w:pPr>
          </w:p>
          <w:p w14:paraId="49B808F7">
            <w:pPr>
              <w:pStyle w:val="78"/>
              <w:framePr w:wrap="around" w:vAnchor="page" w:hAnchor="page" w:x="1338" w:y="2923"/>
              <w:rPr>
                <w:rFonts w:ascii="宋体"/>
                <w:sz w:val="18"/>
                <w:szCs w:val="18"/>
              </w:rPr>
            </w:pPr>
          </w:p>
          <w:p w14:paraId="70656B5D">
            <w:pPr>
              <w:pStyle w:val="78"/>
              <w:framePr w:wrap="around" w:vAnchor="page" w:hAnchor="page" w:x="1338" w:y="2923"/>
              <w:rPr>
                <w:rFonts w:ascii="宋体"/>
                <w:sz w:val="18"/>
                <w:szCs w:val="18"/>
              </w:rPr>
            </w:pPr>
          </w:p>
          <w:p w14:paraId="5F3CE3C9">
            <w:pPr>
              <w:pStyle w:val="78"/>
              <w:framePr w:wrap="around" w:vAnchor="page" w:hAnchor="page" w:x="1338" w:y="2923"/>
              <w:rPr>
                <w:rFonts w:ascii="宋体"/>
                <w:sz w:val="18"/>
                <w:szCs w:val="18"/>
              </w:rPr>
            </w:pPr>
          </w:p>
          <w:p w14:paraId="5BC7F020">
            <w:pPr>
              <w:pStyle w:val="78"/>
              <w:framePr w:wrap="around" w:vAnchor="page" w:hAnchor="page" w:x="1338" w:y="2923"/>
              <w:rPr>
                <w:rFonts w:ascii="宋体"/>
                <w:sz w:val="18"/>
                <w:szCs w:val="18"/>
              </w:rPr>
            </w:pPr>
          </w:p>
          <w:p w14:paraId="305F7528">
            <w:pPr>
              <w:pStyle w:val="78"/>
              <w:framePr w:wrap="around" w:vAnchor="page" w:hAnchor="page" w:x="1338" w:y="2923"/>
              <w:rPr>
                <w:rFonts w:ascii="宋体"/>
                <w:sz w:val="18"/>
                <w:szCs w:val="18"/>
              </w:rPr>
            </w:pPr>
          </w:p>
          <w:p w14:paraId="66830438">
            <w:pPr>
              <w:pStyle w:val="78"/>
              <w:framePr w:wrap="around" w:vAnchor="page" w:hAnchor="page" w:x="1338" w:y="2923"/>
              <w:rPr>
                <w:rFonts w:ascii="宋体"/>
                <w:sz w:val="18"/>
                <w:szCs w:val="18"/>
              </w:rPr>
            </w:pPr>
          </w:p>
          <w:p w14:paraId="36F6AE19">
            <w:pPr>
              <w:pStyle w:val="78"/>
              <w:framePr w:wrap="around" w:vAnchor="page" w:hAnchor="page" w:x="1338" w:y="2923"/>
              <w:rPr>
                <w:rFonts w:ascii="宋体"/>
                <w:sz w:val="18"/>
                <w:szCs w:val="18"/>
              </w:rPr>
            </w:pPr>
          </w:p>
          <w:p w14:paraId="478A2D6F">
            <w:pPr>
              <w:pStyle w:val="78"/>
              <w:framePr w:wrap="around" w:vAnchor="page" w:hAnchor="page" w:x="1338" w:y="2923"/>
              <w:rPr>
                <w:rFonts w:ascii="宋体"/>
                <w:sz w:val="18"/>
                <w:szCs w:val="18"/>
              </w:rPr>
            </w:pPr>
          </w:p>
          <w:p w14:paraId="784FA268">
            <w:pPr>
              <w:pStyle w:val="78"/>
              <w:framePr w:wrap="around" w:vAnchor="page" w:hAnchor="page" w:x="1338" w:y="2923"/>
              <w:rPr>
                <w:rFonts w:ascii="宋体"/>
                <w:sz w:val="18"/>
                <w:szCs w:val="18"/>
              </w:rPr>
            </w:pPr>
          </w:p>
          <w:p w14:paraId="767CC243">
            <w:pPr>
              <w:pStyle w:val="78"/>
              <w:framePr w:wrap="around" w:vAnchor="page" w:hAnchor="page" w:x="1338" w:y="2923"/>
              <w:rPr>
                <w:rFonts w:ascii="宋体"/>
                <w:sz w:val="18"/>
                <w:szCs w:val="18"/>
              </w:rPr>
            </w:pPr>
          </w:p>
          <w:p w14:paraId="775C07B7">
            <w:pPr>
              <w:pStyle w:val="78"/>
              <w:framePr w:wrap="around" w:vAnchor="page" w:hAnchor="page" w:x="1338" w:y="2923"/>
              <w:jc w:val="both"/>
              <w:rPr>
                <w:rFonts w:ascii="宋体"/>
                <w:sz w:val="18"/>
                <w:szCs w:val="18"/>
              </w:rPr>
            </w:pPr>
          </w:p>
          <w:p w14:paraId="602115A8">
            <w:pPr>
              <w:pStyle w:val="78"/>
              <w:framePr w:wrap="around" w:vAnchor="page" w:hAnchor="page" w:x="1338" w:y="2923"/>
              <w:rPr>
                <w:rFonts w:ascii="宋体"/>
                <w:sz w:val="18"/>
                <w:szCs w:val="18"/>
              </w:rPr>
            </w:pPr>
          </w:p>
          <w:p w14:paraId="39446533">
            <w:pPr>
              <w:pStyle w:val="78"/>
              <w:framePr w:wrap="around" w:vAnchor="page" w:hAnchor="page" w:x="1338" w:y="2923"/>
              <w:rPr>
                <w:rFonts w:ascii="宋体"/>
                <w:sz w:val="18"/>
                <w:szCs w:val="18"/>
              </w:rPr>
            </w:pPr>
          </w:p>
        </w:tc>
      </w:tr>
    </w:tbl>
    <w:p w14:paraId="472E3EC4">
      <w:pPr>
        <w:pStyle w:val="124"/>
        <w:framePr w:wrap="around" w:vAnchor="page" w:hAnchor="page" w:x="1338" w:y="2923"/>
        <w:jc w:val="right"/>
        <w:rPr>
          <w:rFonts w:ascii="黑体" w:hAnsi="黑体"/>
        </w:rPr>
      </w:pPr>
      <w:r>
        <w:rPr>
          <w:rFonts w:ascii="黑体" w:hAnsi="黑体"/>
        </w:rPr>
        <w:fldChar w:fldCharType="begin">
          <w:ffData>
            <w:name w:val="FY"/>
            <w:enabled/>
            <w:calcOnExit w:val="0"/>
            <w:entryMacro w:val="ShowHelp8"/>
            <w:textInput>
              <w:default w:val="××××"/>
              <w:maxLength w:val="4"/>
            </w:textInput>
          </w:ffData>
        </w:fldChar>
      </w:r>
      <w:bookmarkStart w:id="10"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0"/>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1"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1"/>
      <w:r>
        <w:rPr>
          <w:rFonts w:hint="eastAsia" w:ascii="黑体" w:hAnsi="黑体"/>
        </w:rPr>
        <w:t>发布</w:t>
      </w:r>
      <w:r>
        <w:rPr>
          <w:rFonts w:hint="eastAsia" w:ascii="黑体" w:hAnsi="黑体" w:eastAsia="黑体" w:cs="Times New Roman"/>
          <w:sz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05pt;margin-top:700.15pt;height:0.05pt;width:481.9pt;z-index:251659264;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E6HudcAAAALAQAADwAAAAAAAAABACAAAAAiAAAAZHJzL2Rvd25yZXYueG1sUEsBAhQA&#10;FAAAAAgAh07iQC2M7lfzAQAA5gMAAA4AAAAAAAAAAQAgAAAAJgEAAGRycy9lMm9Eb2MueG1sUEsF&#10;BgAAAAAGAAYAWQEAAIsFAAAAAA==&#10;">
                <v:fill on="f" focussize="0,0"/>
                <v:stroke color="#000000" joinstyle="round"/>
                <v:imagedata o:title=""/>
                <o:lock v:ext="edit" aspectratio="f"/>
              </v:line>
            </w:pict>
          </mc:Fallback>
        </mc:AlternateContent>
      </w:r>
      <w:r>
        <w:rPr>
          <w:rFonts w:hint="eastAsia" w:ascii="黑体" w:hAnsi="黑体"/>
          <w:lang w:val="en-US" w:eastAsia="zh-CN"/>
        </w:rPr>
        <w:t xml:space="preserve">              </w:t>
      </w:r>
      <w:r>
        <w:rPr>
          <w:rFonts w:hint="eastAsia" w:ascii="黑体" w:hAnsi="黑体" w:cs="Times New Roman"/>
          <w:sz w:val="28"/>
          <w:lang w:val="en-US" w:eastAsia="zh-CN" w:bidi="ar-SA"/>
        </w:rPr>
        <w:t xml:space="preserve"> </w:t>
      </w:r>
      <w:r>
        <w:rPr>
          <w:rFonts w:ascii="黑体" w:hAnsi="黑体"/>
        </w:rPr>
        <w:fldChar w:fldCharType="begin">
          <w:ffData>
            <w:name w:val="SY"/>
            <w:enabled/>
            <w:calcOnExit w:val="0"/>
            <w:entryMacro w:val="ShowHelp9"/>
            <w:textInput>
              <w:default w:val="××××"/>
              <w:maxLength w:val="4"/>
            </w:textInput>
          </w:ffData>
        </w:fldChar>
      </w:r>
      <w:bookmarkStart w:id="12"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3"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4"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hint="eastAsia" w:ascii="黑体" w:hAnsi="黑体"/>
        </w:rPr>
        <w:t>实施</w:t>
      </w:r>
    </w:p>
    <w:p w14:paraId="485944DD">
      <w:pPr>
        <w:pStyle w:val="106"/>
      </w:pPr>
      <w:r>
        <w:fldChar w:fldCharType="begin">
          <w:ffData>
            <w:name w:val="fm"/>
            <w:enabled/>
            <w:calcOnExit w:val="0"/>
            <w:textInput/>
          </w:ffData>
        </w:fldChar>
      </w:r>
      <w:bookmarkStart w:id="15" w:name="fm"/>
      <w:r>
        <w:instrText xml:space="preserve"> FORMTEXT </w:instrText>
      </w:r>
      <w:r>
        <w:fldChar w:fldCharType="separate"/>
      </w:r>
      <w:r>
        <w:rPr>
          <w:rFonts w:hint="eastAsia"/>
        </w:rPr>
        <w:t>北京市市场监督</w:t>
      </w:r>
      <w:r>
        <w:t>管理局</w:t>
      </w:r>
      <w:r>
        <w:fldChar w:fldCharType="end"/>
      </w:r>
      <w:bookmarkEnd w:id="15"/>
      <w:r>
        <w:t xml:space="preserve"> </w:t>
      </w:r>
      <w:r>
        <w:rPr>
          <w:rStyle w:val="133"/>
        </w:rPr>
        <w:t xml:space="preserve"> </w:t>
      </w:r>
      <w:r>
        <w:rPr>
          <w:rStyle w:val="133"/>
          <w:rFonts w:hint="eastAsia"/>
        </w:rPr>
        <w:t>发布</w:t>
      </w:r>
    </w:p>
    <w:p w14:paraId="53E9AC96">
      <w:pPr>
        <w:pStyle w:val="22"/>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r>
        <w:rPr>
          <w:rFonts w:hint="eastAsia" w:ascii="宋体" w:hAnsi="Times New Roman" w:eastAsia="宋体" w:cs="Times New Roman"/>
          <w:sz w:val="21"/>
          <w:lang w:val="en-US" w:eastAsia="zh-CN" w:bidi="ar-SA"/>
        </w:rP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396240</wp:posOffset>
                </wp:positionV>
                <wp:extent cx="866775" cy="198120"/>
                <wp:effectExtent l="0" t="0" r="9525" b="11430"/>
                <wp:wrapNone/>
                <wp:docPr id="7"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0"/>
                    </wps:wsp>
                  </a:graphicData>
                </a:graphic>
              </wp:anchor>
            </w:drawing>
          </mc:Choice>
          <mc:Fallback>
            <w:pict>
              <v:rect id="BAH" o:spid="_x0000_s1026" o:spt="1" style="position:absolute;left:0pt;margin-left:-5.25pt;margin-top:31.2pt;height:15.6pt;width:68.25pt;z-index:-251651072;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BkAU9cAAAAJAQAADwAA&#10;AAAAAAABACAAAAAiAAAAZHJzL2Rvd25yZXYueG1sUEsBAhQAFAAAAAgAh07iQBvWH7mlAQAAWQMA&#10;AA4AAAAAAAAAAQAgAAAAJgEAAGRycy9lMm9Eb2MueG1sUEsFBgAAAAAGAAYAWQEAAD0FAAAAAA==&#10;">
                <v:fill on="t" focussize="0,0"/>
                <v:stroke on="f"/>
                <v:imagedata o:title=""/>
                <o:lock v:ext="edit" aspectratio="f"/>
              </v:rect>
            </w:pict>
          </mc:Fallback>
        </mc:AlternateContent>
      </w:r>
      <w:r>
        <w:rPr>
          <w:rFonts w:hint="eastAsia" w:ascii="宋体" w:hAnsi="Times New Roman" w:eastAsia="宋体" w:cs="Times New Roman"/>
          <w:sz w:val="21"/>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635"/>
                <wp:effectExtent l="0" t="0" r="0" b="0"/>
                <wp:wrapNone/>
                <wp:docPr id="3" name="直接连接符 4"/>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05pt;margin-top:184.25pt;height:0.05pt;width:481.9pt;z-index:251661312;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vHtPzXAAAACQEAAA8AAAAAAAAAAQAgAAAAIgAAAGRycy9kb3ducmV2LnhtbFBLAQIU&#10;ABQAAAAIAIdO4kBzwjs49AEAAOYDAAAOAAAAAAAAAAEAIAAAACYBAABkcnMvZTJvRG9jLnhtbFBL&#10;BQYAAAAABgAGAFkBAACMBQAAAAA=&#10;">
                <v:fill on="f" focussize="0,0"/>
                <v:stroke color="#000000" joinstyle="round"/>
                <v:imagedata o:title=""/>
                <o:lock v:ext="edit" aspectratio="f"/>
              </v:line>
            </w:pict>
          </mc:Fallback>
        </mc:AlternateContent>
      </w:r>
      <w:r>
        <w:rPr>
          <w:rFonts w:hint="eastAsia" w:ascii="宋体" w:hAnsi="Times New Roman" w:eastAsia="宋体" w:cs="Times New Roman"/>
          <w:sz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2" name="直接连接符 3"/>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直接连接符 3" o:spid="_x0000_s1026" o:spt="20" style="position:absolute;left:0pt;margin-left:-0.05pt;margin-top:700.15pt;height:0.05pt;width:481.9pt;z-index:251660288;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BOh7nXAAAACwEAAA8AAAAAAAAAAQAgAAAAIgAAAGRycy9kb3ducmV2LnhtbFBLAQIU&#10;ABQAAAAIAIdO4kDHqTKm9AEAAOYDAAAOAAAAAAAAAAEAIAAAACYBAABkcnMvZTJvRG9jLnhtbFBL&#10;BQYAAAAABgAGAFkBAACMBQAAAAA=&#10;">
                <v:fill on="f" focussize="0,0"/>
                <v:stroke color="#000000" joinstyle="round"/>
                <v:imagedata o:title=""/>
                <o:lock v:ext="edit" aspectratio="f"/>
              </v:line>
            </w:pict>
          </mc:Fallback>
        </mc:AlternateContent>
      </w:r>
    </w:p>
    <w:sdt>
      <w:sdtPr>
        <w:rPr>
          <w:rFonts w:ascii="宋体" w:hAnsi="宋体" w:eastAsia="宋体" w:cstheme="minorBidi"/>
          <w:kern w:val="2"/>
          <w:sz w:val="21"/>
          <w:szCs w:val="22"/>
          <w:lang w:val="zh-CN"/>
        </w:rPr>
        <w:id w:val="-1"/>
        <w:docPartObj>
          <w:docPartGallery w:val="Table of Contents"/>
          <w:docPartUnique/>
        </w:docPartObj>
      </w:sdtPr>
      <w:sdtEndPr>
        <w:rPr>
          <w:rStyle w:val="37"/>
          <w:rFonts w:ascii="宋体" w:hAnsi="Times New Roman" w:eastAsia="宋体" w:cs="Times New Roman"/>
          <w:color w:val="0000FF"/>
          <w:kern w:val="2"/>
          <w:sz w:val="21"/>
          <w:szCs w:val="21"/>
          <w:u w:val="single"/>
          <w:lang w:val="en-US"/>
        </w:rPr>
      </w:sdtEndPr>
      <w:sdtContent>
        <w:p w14:paraId="4E6100F0">
          <w:pPr>
            <w:pStyle w:val="47"/>
          </w:pPr>
          <w:bookmarkStart w:id="16" w:name="_Toc8837"/>
          <w:bookmarkStart w:id="17" w:name="_Toc209972245"/>
          <w:r>
            <w:t>目  </w:t>
          </w:r>
          <w:r>
            <w:rPr>
              <w:rFonts w:hint="eastAsia"/>
            </w:rPr>
            <w:t>次</w:t>
          </w:r>
          <w:bookmarkEnd w:id="16"/>
          <w:bookmarkEnd w:id="17"/>
        </w:p>
        <w:p w14:paraId="7A6DE22F">
          <w:pPr>
            <w:pStyle w:val="18"/>
            <w:tabs>
              <w:tab w:val="right" w:leader="dot" w:pos="9355"/>
              <w:tab w:val="clear" w:pos="9241"/>
            </w:tabs>
            <w:spacing w:beforeLines="0" w:afterLines="0"/>
          </w:pPr>
          <w:r>
            <w:rPr>
              <w:rStyle w:val="37"/>
            </w:rPr>
            <w:fldChar w:fldCharType="begin"/>
          </w:r>
          <w:r>
            <w:rPr>
              <w:rStyle w:val="37"/>
            </w:rPr>
            <w:instrText xml:space="preserve"> TOC \o "1-3" \h \z \u </w:instrText>
          </w:r>
          <w:r>
            <w:rPr>
              <w:rStyle w:val="37"/>
            </w:rPr>
            <w:fldChar w:fldCharType="separate"/>
          </w:r>
          <w:r>
            <w:fldChar w:fldCharType="begin"/>
          </w:r>
          <w:r>
            <w:instrText xml:space="preserve"> HYPERLINK \l "_Toc12061" </w:instrText>
          </w:r>
          <w:r>
            <w:fldChar w:fldCharType="separate"/>
          </w:r>
          <w:r>
            <w:rPr>
              <w:rFonts w:hint="eastAsia"/>
            </w:rPr>
            <w:t>前言</w:t>
          </w:r>
          <w:r>
            <w:tab/>
          </w:r>
          <w:r>
            <w:fldChar w:fldCharType="begin"/>
          </w:r>
          <w:r>
            <w:instrText xml:space="preserve"> PAGEREF _Toc12061 \h </w:instrText>
          </w:r>
          <w:r>
            <w:fldChar w:fldCharType="separate"/>
          </w:r>
          <w:r>
            <w:t>II</w:t>
          </w:r>
          <w:r>
            <w:fldChar w:fldCharType="end"/>
          </w:r>
          <w:r>
            <w:fldChar w:fldCharType="end"/>
          </w:r>
        </w:p>
        <w:p w14:paraId="648B0D99">
          <w:pPr>
            <w:pStyle w:val="27"/>
            <w:tabs>
              <w:tab w:val="right" w:leader="dot" w:pos="9355"/>
              <w:tab w:val="clear" w:pos="9241"/>
            </w:tabs>
          </w:pPr>
          <w:r>
            <w:fldChar w:fldCharType="begin"/>
          </w:r>
          <w:r>
            <w:instrText xml:space="preserve"> HYPERLINK \l "_Toc5029" </w:instrText>
          </w:r>
          <w:r>
            <w:fldChar w:fldCharType="separate"/>
          </w:r>
          <w:r>
            <w:rPr>
              <w:rFonts w:hint="eastAsia" w:ascii="黑体" w:eastAsia="黑体"/>
            </w:rPr>
            <w:t xml:space="preserve">1 </w:t>
          </w:r>
          <w:r>
            <w:rPr>
              <w:rFonts w:hint="eastAsia"/>
            </w:rPr>
            <w:t>范围</w:t>
          </w:r>
          <w:r>
            <w:tab/>
          </w:r>
          <w:r>
            <w:fldChar w:fldCharType="begin"/>
          </w:r>
          <w:r>
            <w:instrText xml:space="preserve"> PAGEREF _Toc5029 \h </w:instrText>
          </w:r>
          <w:r>
            <w:fldChar w:fldCharType="separate"/>
          </w:r>
          <w:r>
            <w:t>1</w:t>
          </w:r>
          <w:r>
            <w:fldChar w:fldCharType="end"/>
          </w:r>
          <w:r>
            <w:fldChar w:fldCharType="end"/>
          </w:r>
        </w:p>
        <w:p w14:paraId="45958F68">
          <w:pPr>
            <w:pStyle w:val="27"/>
            <w:tabs>
              <w:tab w:val="right" w:leader="dot" w:pos="9355"/>
              <w:tab w:val="clear" w:pos="9241"/>
            </w:tabs>
          </w:pPr>
          <w:r>
            <w:fldChar w:fldCharType="begin"/>
          </w:r>
          <w:r>
            <w:instrText xml:space="preserve"> HYPERLINK \l "_Toc22943"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_Toc22943 \h </w:instrText>
          </w:r>
          <w:r>
            <w:fldChar w:fldCharType="separate"/>
          </w:r>
          <w:r>
            <w:t>1</w:t>
          </w:r>
          <w:r>
            <w:fldChar w:fldCharType="end"/>
          </w:r>
          <w:r>
            <w:fldChar w:fldCharType="end"/>
          </w:r>
        </w:p>
        <w:p w14:paraId="15AB670B">
          <w:pPr>
            <w:pStyle w:val="27"/>
            <w:tabs>
              <w:tab w:val="right" w:leader="dot" w:pos="9355"/>
              <w:tab w:val="clear" w:pos="9241"/>
            </w:tabs>
          </w:pPr>
          <w:r>
            <w:fldChar w:fldCharType="begin"/>
          </w:r>
          <w:r>
            <w:instrText xml:space="preserve"> HYPERLINK \l "_Toc2433" </w:instrText>
          </w:r>
          <w:r>
            <w:fldChar w:fldCharType="separate"/>
          </w:r>
          <w:r>
            <w:rPr>
              <w:rFonts w:hint="eastAsia" w:ascii="黑体" w:eastAsia="黑体"/>
            </w:rPr>
            <w:t xml:space="preserve">3 </w:t>
          </w:r>
          <w:r>
            <w:rPr>
              <w:rFonts w:hint="eastAsia"/>
            </w:rPr>
            <w:t>术语</w:t>
          </w:r>
          <w:r>
            <w:t>和定义</w:t>
          </w:r>
          <w:r>
            <w:tab/>
          </w:r>
          <w:r>
            <w:fldChar w:fldCharType="begin"/>
          </w:r>
          <w:r>
            <w:instrText xml:space="preserve"> PAGEREF _Toc2433 \h </w:instrText>
          </w:r>
          <w:r>
            <w:fldChar w:fldCharType="separate"/>
          </w:r>
          <w:r>
            <w:t>1</w:t>
          </w:r>
          <w:r>
            <w:fldChar w:fldCharType="end"/>
          </w:r>
          <w:r>
            <w:fldChar w:fldCharType="end"/>
          </w:r>
        </w:p>
        <w:p w14:paraId="6B9CD7CD">
          <w:pPr>
            <w:pStyle w:val="27"/>
            <w:tabs>
              <w:tab w:val="right" w:leader="dot" w:pos="9355"/>
              <w:tab w:val="clear" w:pos="9241"/>
            </w:tabs>
          </w:pPr>
          <w:r>
            <w:fldChar w:fldCharType="begin"/>
          </w:r>
          <w:r>
            <w:instrText xml:space="preserve"> HYPERLINK \l "_Toc13816" </w:instrText>
          </w:r>
          <w:r>
            <w:fldChar w:fldCharType="separate"/>
          </w:r>
          <w:r>
            <w:rPr>
              <w:rFonts w:hint="eastAsia" w:ascii="黑体" w:eastAsia="黑体"/>
            </w:rPr>
            <w:t xml:space="preserve">4 </w:t>
          </w:r>
          <w:r>
            <w:t>基本原则</w:t>
          </w:r>
          <w:r>
            <w:tab/>
          </w:r>
          <w:r>
            <w:fldChar w:fldCharType="begin"/>
          </w:r>
          <w:r>
            <w:instrText xml:space="preserve"> PAGEREF _Toc13816 \h </w:instrText>
          </w:r>
          <w:r>
            <w:fldChar w:fldCharType="separate"/>
          </w:r>
          <w:r>
            <w:t>3</w:t>
          </w:r>
          <w:r>
            <w:fldChar w:fldCharType="end"/>
          </w:r>
          <w:r>
            <w:fldChar w:fldCharType="end"/>
          </w:r>
        </w:p>
        <w:p w14:paraId="7B0FC642">
          <w:pPr>
            <w:pStyle w:val="27"/>
            <w:tabs>
              <w:tab w:val="right" w:leader="dot" w:pos="9355"/>
              <w:tab w:val="clear" w:pos="9241"/>
            </w:tabs>
          </w:pPr>
          <w:r>
            <w:fldChar w:fldCharType="begin"/>
          </w:r>
          <w:r>
            <w:instrText xml:space="preserve"> HYPERLINK \l "_Toc17341" </w:instrText>
          </w:r>
          <w:r>
            <w:fldChar w:fldCharType="separate"/>
          </w:r>
          <w:r>
            <w:rPr>
              <w:rFonts w:hint="eastAsia" w:ascii="黑体" w:eastAsia="黑体"/>
            </w:rPr>
            <w:t xml:space="preserve">5 </w:t>
          </w:r>
          <w:r>
            <w:t>评价要求</w:t>
          </w:r>
          <w:r>
            <w:tab/>
          </w:r>
          <w:r>
            <w:fldChar w:fldCharType="begin"/>
          </w:r>
          <w:r>
            <w:instrText xml:space="preserve"> PAGEREF _Toc17341 \h </w:instrText>
          </w:r>
          <w:r>
            <w:fldChar w:fldCharType="separate"/>
          </w:r>
          <w:r>
            <w:t>4</w:t>
          </w:r>
          <w:r>
            <w:fldChar w:fldCharType="end"/>
          </w:r>
          <w:r>
            <w:fldChar w:fldCharType="end"/>
          </w:r>
        </w:p>
        <w:p w14:paraId="2735DCAC">
          <w:pPr>
            <w:pStyle w:val="27"/>
            <w:tabs>
              <w:tab w:val="right" w:leader="dot" w:pos="9355"/>
              <w:tab w:val="clear" w:pos="9241"/>
            </w:tabs>
          </w:pPr>
          <w:r>
            <w:fldChar w:fldCharType="begin"/>
          </w:r>
          <w:r>
            <w:instrText xml:space="preserve"> HYPERLINK \l "_Toc8609" </w:instrText>
          </w:r>
          <w:r>
            <w:fldChar w:fldCharType="separate"/>
          </w:r>
          <w:r>
            <w:rPr>
              <w:rFonts w:hint="eastAsia" w:ascii="黑体" w:eastAsia="黑体"/>
            </w:rPr>
            <w:t xml:space="preserve">6 </w:t>
          </w:r>
          <w:r>
            <w:t>评价指标</w:t>
          </w:r>
          <w:r>
            <w:tab/>
          </w:r>
          <w:r>
            <w:fldChar w:fldCharType="begin"/>
          </w:r>
          <w:r>
            <w:instrText xml:space="preserve"> PAGEREF _Toc8609 \h </w:instrText>
          </w:r>
          <w:r>
            <w:fldChar w:fldCharType="separate"/>
          </w:r>
          <w:r>
            <w:t>5</w:t>
          </w:r>
          <w:r>
            <w:fldChar w:fldCharType="end"/>
          </w:r>
          <w:r>
            <w:fldChar w:fldCharType="end"/>
          </w:r>
        </w:p>
        <w:p w14:paraId="585F6E5A">
          <w:pPr>
            <w:pStyle w:val="27"/>
            <w:tabs>
              <w:tab w:val="right" w:leader="dot" w:pos="9355"/>
              <w:tab w:val="clear" w:pos="9241"/>
            </w:tabs>
          </w:pPr>
          <w:r>
            <w:fldChar w:fldCharType="begin"/>
          </w:r>
          <w:r>
            <w:instrText xml:space="preserve"> HYPERLINK \l "_Toc10367" </w:instrText>
          </w:r>
          <w:r>
            <w:fldChar w:fldCharType="separate"/>
          </w:r>
          <w:r>
            <w:rPr>
              <w:rFonts w:hint="eastAsia" w:ascii="黑体" w:eastAsia="黑体"/>
            </w:rPr>
            <w:t xml:space="preserve">7 </w:t>
          </w:r>
          <w:r>
            <w:t>评价等级</w:t>
          </w:r>
          <w:r>
            <w:rPr>
              <w:rFonts w:hint="eastAsia"/>
            </w:rPr>
            <w:t>划分和</w:t>
          </w:r>
          <w:r>
            <w:t>标识</w:t>
          </w:r>
          <w:r>
            <w:tab/>
          </w:r>
          <w:r>
            <w:fldChar w:fldCharType="begin"/>
          </w:r>
          <w:r>
            <w:instrText xml:space="preserve"> PAGEREF _Toc10367 \h </w:instrText>
          </w:r>
          <w:r>
            <w:fldChar w:fldCharType="separate"/>
          </w:r>
          <w:r>
            <w:t>8</w:t>
          </w:r>
          <w:r>
            <w:fldChar w:fldCharType="end"/>
          </w:r>
          <w:r>
            <w:fldChar w:fldCharType="end"/>
          </w:r>
        </w:p>
        <w:p w14:paraId="6019518E">
          <w:pPr>
            <w:pStyle w:val="27"/>
            <w:tabs>
              <w:tab w:val="right" w:leader="dot" w:pos="9355"/>
              <w:tab w:val="clear" w:pos="9241"/>
            </w:tabs>
          </w:pPr>
          <w:r>
            <w:fldChar w:fldCharType="begin"/>
          </w:r>
          <w:r>
            <w:instrText xml:space="preserve"> HYPERLINK \l "_Toc160" </w:instrText>
          </w:r>
          <w:r>
            <w:fldChar w:fldCharType="separate"/>
          </w:r>
          <w:r>
            <w:rPr>
              <w:rFonts w:hint="eastAsia" w:ascii="黑体" w:eastAsia="黑体"/>
            </w:rPr>
            <w:t xml:space="preserve">8 </w:t>
          </w:r>
          <w:r>
            <w:t>评价流程</w:t>
          </w:r>
          <w:r>
            <w:tab/>
          </w:r>
          <w:r>
            <w:fldChar w:fldCharType="begin"/>
          </w:r>
          <w:r>
            <w:instrText xml:space="preserve"> PAGEREF _Toc160 \h </w:instrText>
          </w:r>
          <w:r>
            <w:fldChar w:fldCharType="separate"/>
          </w:r>
          <w:r>
            <w:t>8</w:t>
          </w:r>
          <w:r>
            <w:fldChar w:fldCharType="end"/>
          </w:r>
          <w:r>
            <w:fldChar w:fldCharType="end"/>
          </w:r>
        </w:p>
        <w:p w14:paraId="465A8CC7">
          <w:pPr>
            <w:pStyle w:val="18"/>
            <w:tabs>
              <w:tab w:val="right" w:leader="dot" w:pos="9355"/>
              <w:tab w:val="clear" w:pos="9241"/>
            </w:tabs>
            <w:spacing w:beforeLines="0" w:afterLines="0"/>
          </w:pPr>
          <w:r>
            <w:fldChar w:fldCharType="begin"/>
          </w:r>
          <w:r>
            <w:instrText xml:space="preserve"> HYPERLINK \l "_Toc24890" </w:instrText>
          </w:r>
          <w:r>
            <w:fldChar w:fldCharType="separate"/>
          </w:r>
          <w:r>
            <w:rPr>
              <w:rFonts w:hint="eastAsia"/>
            </w:rPr>
            <w:t>参考文献</w:t>
          </w:r>
          <w:r>
            <w:tab/>
          </w:r>
          <w:r>
            <w:fldChar w:fldCharType="begin"/>
          </w:r>
          <w:r>
            <w:instrText xml:space="preserve"> PAGEREF _Toc24890 \h </w:instrText>
          </w:r>
          <w:r>
            <w:fldChar w:fldCharType="separate"/>
          </w:r>
          <w:r>
            <w:t>10</w:t>
          </w:r>
          <w:r>
            <w:fldChar w:fldCharType="end"/>
          </w:r>
          <w:r>
            <w:fldChar w:fldCharType="end"/>
          </w:r>
        </w:p>
        <w:p w14:paraId="1AD7801E">
          <w:pPr>
            <w:pStyle w:val="18"/>
            <w:spacing w:before="78" w:after="78"/>
            <w:rPr>
              <w:rStyle w:val="37"/>
            </w:rPr>
          </w:pPr>
          <w:r>
            <w:fldChar w:fldCharType="end"/>
          </w:r>
        </w:p>
      </w:sdtContent>
    </w:sdt>
    <w:p w14:paraId="585ABFDC">
      <w:pPr>
        <w:pStyle w:val="22"/>
      </w:pPr>
    </w:p>
    <w:p w14:paraId="2C7F4745">
      <w:pPr>
        <w:pStyle w:val="22"/>
      </w:pPr>
    </w:p>
    <w:p w14:paraId="29DDEE92">
      <w:pPr>
        <w:pStyle w:val="107"/>
        <w:tabs>
          <w:tab w:val="left" w:pos="1105"/>
          <w:tab w:val="center" w:pos="4677"/>
        </w:tabs>
        <w:jc w:val="left"/>
      </w:pPr>
      <w:bookmarkStart w:id="18" w:name="_Toc17878125"/>
      <w:r>
        <w:tab/>
      </w:r>
      <w:r>
        <w:tab/>
      </w:r>
      <w:bookmarkStart w:id="19" w:name="_Toc12061"/>
      <w:r>
        <w:rPr>
          <w:rFonts w:hint="eastAsia"/>
        </w:rPr>
        <w:t>前</w:t>
      </w:r>
      <w:bookmarkStart w:id="20" w:name="BKQY"/>
      <w:r>
        <w:rPr>
          <w:rFonts w:hAnsi="黑体"/>
        </w:rPr>
        <w:t>  </w:t>
      </w:r>
      <w:r>
        <w:rPr>
          <w:rFonts w:hint="eastAsia"/>
        </w:rPr>
        <w:t>言</w:t>
      </w:r>
      <w:bookmarkEnd w:id="18"/>
      <w:bookmarkEnd w:id="19"/>
      <w:bookmarkEnd w:id="20"/>
    </w:p>
    <w:p w14:paraId="42161BF9">
      <w:pPr>
        <w:pStyle w:val="22"/>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14:paraId="653BFD7D">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color w:val="000000" w:themeColor="text1"/>
          <w14:textFill>
            <w14:solidFill>
              <w14:schemeClr w14:val="tx1"/>
            </w14:solidFill>
          </w14:textFill>
        </w:rPr>
        <w:t>文件由</w:t>
      </w:r>
      <w:r>
        <w:rPr>
          <w:rFonts w:hint="eastAsia"/>
          <w:color w:val="000000" w:themeColor="text1"/>
          <w14:textFill>
            <w14:solidFill>
              <w14:schemeClr w14:val="tx1"/>
            </w14:solidFill>
          </w14:textFill>
        </w:rPr>
        <w:t>北京市发展和改革委员会提出并归口</w:t>
      </w:r>
      <w:r>
        <w:rPr>
          <w:color w:val="000000" w:themeColor="text1"/>
          <w14:textFill>
            <w14:solidFill>
              <w14:schemeClr w14:val="tx1"/>
            </w14:solidFill>
          </w14:textFill>
        </w:rPr>
        <w:t>。</w:t>
      </w:r>
    </w:p>
    <w:p w14:paraId="4978A30A">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t>本文件</w:t>
      </w:r>
      <w:r>
        <w:rPr>
          <w:color w:val="000000" w:themeColor="text1"/>
          <w14:textFill>
            <w14:solidFill>
              <w14:schemeClr w14:val="tx1"/>
            </w14:solidFill>
          </w14:textFill>
        </w:rPr>
        <w:t>由</w:t>
      </w:r>
      <w:r>
        <w:rPr>
          <w:rFonts w:hint="eastAsia"/>
          <w:color w:val="000000" w:themeColor="text1"/>
          <w14:textFill>
            <w14:solidFill>
              <w14:schemeClr w14:val="tx1"/>
            </w14:solidFill>
          </w14:textFill>
        </w:rPr>
        <w:t>北京市发展和改革委员会组织</w:t>
      </w:r>
      <w:r>
        <w:rPr>
          <w:color w:val="000000" w:themeColor="text1"/>
          <w14:textFill>
            <w14:solidFill>
              <w14:schemeClr w14:val="tx1"/>
            </w14:solidFill>
          </w14:textFill>
        </w:rPr>
        <w:t>实施。</w:t>
      </w:r>
    </w:p>
    <w:p w14:paraId="34138F6D">
      <w:pPr>
        <w:pStyle w:val="22"/>
      </w:pPr>
      <w:r>
        <w:rPr>
          <w:rFonts w:hint="eastAsia"/>
        </w:rPr>
        <w:t>本</w:t>
      </w:r>
      <w:r>
        <w:t>文件起草单位：</w:t>
      </w:r>
      <w:r>
        <w:rPr>
          <w:rFonts w:hint="eastAsia"/>
        </w:rPr>
        <w:t>北京电力经济技术研究院有限公司、首都电力交易中心有限公司、国网北京市电力公司等。</w:t>
      </w:r>
    </w:p>
    <w:p w14:paraId="6D720570">
      <w:pPr>
        <w:pStyle w:val="22"/>
        <w:rPr>
          <w:highlight w:val="yellow"/>
        </w:rPr>
      </w:pPr>
      <w:bookmarkStart w:id="216" w:name="_GoBack"/>
      <w:bookmarkEnd w:id="216"/>
    </w:p>
    <w:p w14:paraId="4A478668">
      <w:pPr>
        <w:pStyle w:val="22"/>
        <w:rPr>
          <w:highlight w:val="none"/>
        </w:rPr>
      </w:pPr>
      <w:r>
        <w:rPr>
          <w:rFonts w:hint="eastAsia"/>
          <w:highlight w:val="none"/>
        </w:rPr>
        <w:t>本</w:t>
      </w:r>
      <w:r>
        <w:rPr>
          <w:highlight w:val="none"/>
        </w:rPr>
        <w:t>文件主要起草人：</w:t>
      </w:r>
    </w:p>
    <w:p w14:paraId="34FC3333">
      <w:pPr>
        <w:pStyle w:val="22"/>
        <w:rPr>
          <w:color w:val="FF0000"/>
        </w:rPr>
      </w:pPr>
    </w:p>
    <w:p w14:paraId="4A450930">
      <w:pPr>
        <w:pStyle w:val="22"/>
        <w:rPr>
          <w:color w:val="FF0000"/>
        </w:rPr>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p>
    <w:p w14:paraId="557E5239">
      <w:pPr>
        <w:pStyle w:val="131"/>
      </w:pPr>
      <w:bookmarkStart w:id="21" w:name="_Toc10655"/>
      <w:bookmarkStart w:id="22" w:name="_Toc208330423"/>
      <w:bookmarkStart w:id="23" w:name="_Toc209972247"/>
      <w:r>
        <w:rPr>
          <w:rFonts w:hint="eastAsia"/>
        </w:rPr>
        <w:t>绿色电力消费评价规范</w:t>
      </w:r>
      <w:bookmarkEnd w:id="21"/>
      <w:bookmarkEnd w:id="22"/>
      <w:bookmarkEnd w:id="23"/>
      <w:bookmarkStart w:id="24" w:name="StandardName"/>
      <w:bookmarkEnd w:id="24"/>
    </w:p>
    <w:p w14:paraId="6A25421A">
      <w:pPr>
        <w:pStyle w:val="42"/>
        <w:spacing w:before="312" w:after="312"/>
      </w:pPr>
      <w:bookmarkStart w:id="25" w:name="_Toc5029"/>
      <w:bookmarkStart w:id="26" w:name="_Toc17878127"/>
      <w:r>
        <w:rPr>
          <w:rFonts w:hint="eastAsia"/>
        </w:rPr>
        <w:t>范围</w:t>
      </w:r>
      <w:bookmarkEnd w:id="25"/>
      <w:bookmarkEnd w:id="26"/>
    </w:p>
    <w:p w14:paraId="3265C0C7">
      <w:pPr>
        <w:pStyle w:val="22"/>
      </w:pPr>
      <w:r>
        <w:rPr>
          <w:rFonts w:hint="eastAsia"/>
        </w:rPr>
        <w:t>本文件规定了绿色电力消费评价的基本原则、评价要求、评价指标、评价等级划分、评价流程。</w:t>
      </w:r>
    </w:p>
    <w:p w14:paraId="04A16A43">
      <w:pPr>
        <w:pStyle w:val="22"/>
      </w:pPr>
      <w:r>
        <w:rPr>
          <w:rFonts w:hint="eastAsia"/>
        </w:rPr>
        <w:t>本文件适用于电力用户（包括企事业单位、工业园区、数据中心和个人等）的绿色电力消费核算、评价及标识管理。</w:t>
      </w:r>
    </w:p>
    <w:p w14:paraId="3F764942">
      <w:pPr>
        <w:pStyle w:val="42"/>
        <w:spacing w:before="312" w:after="312"/>
      </w:pPr>
      <w:bookmarkStart w:id="27" w:name="_Toc17878128"/>
      <w:bookmarkStart w:id="28" w:name="_Toc22943"/>
      <w:r>
        <w:rPr>
          <w:rFonts w:hint="eastAsia"/>
        </w:rPr>
        <w:t>规范性引用文件</w:t>
      </w:r>
      <w:bookmarkEnd w:id="27"/>
      <w:bookmarkEnd w:id="28"/>
    </w:p>
    <w:p w14:paraId="37E5364E">
      <w:pPr>
        <w:pStyle w:val="22"/>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14:paraId="6F611331">
      <w:pPr>
        <w:pStyle w:val="22"/>
      </w:pPr>
      <w:r>
        <w:rPr>
          <w:rFonts w:hint="eastAsia"/>
        </w:rPr>
        <w:t>GB 17167 电力用户能源计量器具配备和管理通则</w:t>
      </w:r>
    </w:p>
    <w:p w14:paraId="7A2A3C3A">
      <w:pPr>
        <w:pStyle w:val="22"/>
      </w:pPr>
      <w:r>
        <w:rPr>
          <w:rFonts w:hint="eastAsia"/>
        </w:rPr>
        <w:t>GB/T 31464 电网运行准则</w:t>
      </w:r>
    </w:p>
    <w:p w14:paraId="41557FF8">
      <w:pPr>
        <w:pStyle w:val="42"/>
        <w:spacing w:before="312" w:after="312"/>
      </w:pPr>
      <w:bookmarkStart w:id="29" w:name="_Toc17878129"/>
      <w:bookmarkEnd w:id="29"/>
      <w:bookmarkStart w:id="30" w:name="_Toc2433"/>
      <w:r>
        <w:rPr>
          <w:rFonts w:hint="eastAsia"/>
        </w:rPr>
        <w:t>术语</w:t>
      </w:r>
      <w:r>
        <w:t>和定义</w:t>
      </w:r>
      <w:bookmarkEnd w:id="30"/>
    </w:p>
    <w:p w14:paraId="081B3386">
      <w:pPr>
        <w:pStyle w:val="22"/>
      </w:pPr>
      <w:r>
        <w:rPr>
          <w:rFonts w:hint="eastAsia"/>
        </w:rPr>
        <w:t>下列</w:t>
      </w:r>
      <w:r>
        <w:t>术语和定义适用于本文件。</w:t>
      </w:r>
    </w:p>
    <w:p w14:paraId="16945AC6">
      <w:pPr>
        <w:pStyle w:val="42"/>
        <w:numPr>
          <w:ilvl w:val="0"/>
          <w:numId w:val="0"/>
        </w:numPr>
        <w:spacing w:before="156" w:beforeLines="50" w:after="156" w:afterLines="50"/>
      </w:pPr>
      <w:bookmarkStart w:id="31" w:name="_Toc208330427"/>
      <w:bookmarkStart w:id="32" w:name="_Toc207986481"/>
      <w:bookmarkStart w:id="33" w:name="_Toc192687872"/>
      <w:bookmarkStart w:id="34" w:name="_Toc2714"/>
      <w:bookmarkStart w:id="35" w:name="_Toc192607050"/>
      <w:bookmarkStart w:id="36" w:name="_Toc209972251"/>
      <w:r>
        <w:rPr>
          <w:rFonts w:hint="eastAsia"/>
        </w:rPr>
        <w:t>3.1</w:t>
      </w:r>
      <w:bookmarkEnd w:id="31"/>
      <w:bookmarkEnd w:id="32"/>
      <w:bookmarkEnd w:id="33"/>
      <w:bookmarkEnd w:id="34"/>
      <w:bookmarkEnd w:id="35"/>
      <w:bookmarkEnd w:id="36"/>
    </w:p>
    <w:p w14:paraId="546B0F28">
      <w:pPr>
        <w:pStyle w:val="22"/>
        <w:rPr>
          <w:rFonts w:hint="eastAsia" w:ascii="黑体" w:hAnsi="黑体" w:eastAsia="黑体"/>
        </w:rPr>
      </w:pPr>
      <w:r>
        <w:rPr>
          <w:rFonts w:hint="eastAsia" w:ascii="黑体" w:hAnsi="黑体" w:eastAsia="黑体"/>
        </w:rPr>
        <w:t>电力用户 electric power customer</w:t>
      </w:r>
    </w:p>
    <w:p w14:paraId="2A315856">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通过电网消费电能的单位或个人。</w:t>
      </w:r>
    </w:p>
    <w:p w14:paraId="421696CF">
      <w:pPr>
        <w:pStyle w:val="140"/>
        <w:spacing w:line="240" w:lineRule="auto"/>
        <w:ind w:leftChars="0" w:firstLine="420"/>
        <w:rPr>
          <w:rFonts w:hint="eastAsia"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来源：</w:t>
      </w:r>
      <w:r>
        <w:rPr>
          <w:rFonts w:asciiTheme="minorEastAsia" w:hAnsiTheme="minorEastAsia" w:eastAsiaTheme="minorEastAsia"/>
          <w:sz w:val="21"/>
          <w:szCs w:val="21"/>
        </w:rPr>
        <w:t>GB/T 31464-2022</w:t>
      </w:r>
      <w:r>
        <w:rPr>
          <w:rFonts w:hint="eastAsia" w:asciiTheme="minorEastAsia" w:hAnsiTheme="minorEastAsia" w:eastAsiaTheme="minorEastAsia"/>
          <w:sz w:val="21"/>
          <w:szCs w:val="21"/>
        </w:rPr>
        <w:t>，</w:t>
      </w:r>
      <w:r>
        <w:rPr>
          <w:rFonts w:asciiTheme="minorEastAsia" w:hAnsiTheme="minorEastAsia" w:eastAsiaTheme="minorEastAsia"/>
          <w:sz w:val="21"/>
          <w:szCs w:val="21"/>
        </w:rPr>
        <w:t>3.</w:t>
      </w:r>
      <w:r>
        <w:rPr>
          <w:rFonts w:hint="eastAsia" w:asciiTheme="minorEastAsia" w:hAnsiTheme="minorEastAsia" w:eastAsiaTheme="minorEastAsia"/>
          <w:sz w:val="21"/>
          <w:szCs w:val="21"/>
        </w:rPr>
        <w:t>1.</w:t>
      </w:r>
      <w:r>
        <w:rPr>
          <w:rFonts w:asciiTheme="minorEastAsia" w:hAnsiTheme="minorEastAsia" w:eastAsiaTheme="minorEastAsia"/>
          <w:sz w:val="21"/>
          <w:szCs w:val="21"/>
        </w:rPr>
        <w:t>1</w:t>
      </w: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bookmarkStart w:id="37" w:name="_Toc192687874"/>
      <w:bookmarkStart w:id="38" w:name="_Toc192607052"/>
      <w:bookmarkStart w:id="39" w:name="_Toc207986482"/>
      <w:bookmarkStart w:id="40" w:name="_Toc208330428"/>
    </w:p>
    <w:p w14:paraId="77A46C8C">
      <w:pPr>
        <w:pStyle w:val="42"/>
        <w:numPr>
          <w:ilvl w:val="0"/>
          <w:numId w:val="0"/>
        </w:numPr>
        <w:spacing w:before="156" w:beforeLines="50" w:after="156" w:afterLines="50"/>
      </w:pPr>
      <w:bookmarkStart w:id="41" w:name="_Toc21118"/>
      <w:bookmarkStart w:id="42" w:name="_Toc209972252"/>
      <w:r>
        <w:rPr>
          <w:rFonts w:hint="eastAsia"/>
        </w:rPr>
        <w:t>3.</w:t>
      </w:r>
      <w:bookmarkEnd w:id="37"/>
      <w:bookmarkEnd w:id="38"/>
      <w:r>
        <w:rPr>
          <w:rFonts w:hint="eastAsia"/>
        </w:rPr>
        <w:t>2</w:t>
      </w:r>
      <w:bookmarkEnd w:id="39"/>
      <w:bookmarkEnd w:id="40"/>
      <w:bookmarkEnd w:id="41"/>
      <w:bookmarkEnd w:id="42"/>
    </w:p>
    <w:p w14:paraId="79E51F88">
      <w:pPr>
        <w:pStyle w:val="22"/>
        <w:rPr>
          <w:rFonts w:hint="eastAsia" w:ascii="黑体" w:hAnsi="黑体" w:eastAsia="黑体"/>
        </w:rPr>
      </w:pPr>
      <w:r>
        <w:rPr>
          <w:rFonts w:hint="eastAsia" w:ascii="黑体" w:hAnsi="黑体" w:eastAsia="黑体"/>
        </w:rPr>
        <w:t>绿色电力 green power</w:t>
      </w:r>
    </w:p>
    <w:p w14:paraId="65F79B2A">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符合国家有关政策要求的风电（含分散式风电和海上风电）、太阳能发电（含分布式光伏发电和光热发电）、常规水电、生物质发电、地热能发电、海洋能发电等已建档立卡的可再生能源发电项目所生产的全部电量。</w:t>
      </w:r>
    </w:p>
    <w:p w14:paraId="670896B6">
      <w:pPr>
        <w:pStyle w:val="42"/>
        <w:numPr>
          <w:ilvl w:val="0"/>
          <w:numId w:val="0"/>
        </w:numPr>
        <w:spacing w:before="156" w:beforeLines="50" w:after="156" w:afterLines="50"/>
      </w:pPr>
      <w:bookmarkStart w:id="43" w:name="_Toc192687878"/>
      <w:bookmarkStart w:id="44" w:name="_Toc209972253"/>
      <w:bookmarkStart w:id="45" w:name="_Toc24824"/>
      <w:bookmarkStart w:id="46" w:name="_Toc207986483"/>
      <w:bookmarkStart w:id="47" w:name="_Toc208330429"/>
      <w:r>
        <w:rPr>
          <w:rFonts w:hint="eastAsia"/>
        </w:rPr>
        <w:t>3.</w:t>
      </w:r>
      <w:bookmarkEnd w:id="43"/>
      <w:r>
        <w:rPr>
          <w:rFonts w:hint="eastAsia"/>
        </w:rPr>
        <w:t>3</w:t>
      </w:r>
      <w:bookmarkEnd w:id="44"/>
      <w:bookmarkEnd w:id="45"/>
      <w:bookmarkEnd w:id="46"/>
      <w:bookmarkEnd w:id="47"/>
    </w:p>
    <w:p w14:paraId="4F8AB901">
      <w:pPr>
        <w:pStyle w:val="22"/>
        <w:rPr>
          <w:rFonts w:hint="eastAsia" w:ascii="黑体" w:hAnsi="黑体" w:eastAsia="黑体"/>
        </w:rPr>
      </w:pPr>
      <w:bookmarkStart w:id="48" w:name="_Hlk209183691"/>
      <w:r>
        <w:rPr>
          <w:rFonts w:hint="eastAsia" w:ascii="黑体" w:hAnsi="黑体" w:eastAsia="黑体"/>
        </w:rPr>
        <w:t>绿色电力证书</w:t>
      </w:r>
      <w:bookmarkEnd w:id="48"/>
      <w:r>
        <w:rPr>
          <w:rFonts w:hint="eastAsia" w:ascii="黑体" w:hAnsi="黑体" w:eastAsia="黑体"/>
        </w:rPr>
        <w:t xml:space="preserve"> green electricity certificate</w:t>
      </w:r>
    </w:p>
    <w:p w14:paraId="17E842FE">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我国可再生能源电量环境属性及可再生能源电力生产、消费进行唯一性证明的凭证文件。</w:t>
      </w:r>
    </w:p>
    <w:p w14:paraId="445EC5C4">
      <w:pPr>
        <w:pStyle w:val="140"/>
        <w:spacing w:line="240" w:lineRule="auto"/>
        <w:ind w:left="840" w:hanging="420" w:hanging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注1:1个绿色电力证书单位对应1000千瓦时可再生能源电量。</w:t>
      </w:r>
    </w:p>
    <w:p w14:paraId="02D5D297">
      <w:pPr>
        <w:pStyle w:val="140"/>
        <w:spacing w:line="240" w:lineRule="auto"/>
        <w:ind w:left="840" w:hanging="420" w:hanging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注2:绿色电力证书是绿色电力溯源的可信工具。</w:t>
      </w:r>
    </w:p>
    <w:p w14:paraId="5FFC8AEC">
      <w:pPr>
        <w:pStyle w:val="42"/>
        <w:numPr>
          <w:ilvl w:val="0"/>
          <w:numId w:val="0"/>
        </w:numPr>
        <w:spacing w:before="156" w:beforeLines="50" w:after="156" w:afterLines="50"/>
      </w:pPr>
      <w:bookmarkStart w:id="49" w:name="_Toc207986484"/>
      <w:bookmarkStart w:id="50" w:name="_Toc209972254"/>
      <w:bookmarkStart w:id="51" w:name="_Toc27658"/>
      <w:bookmarkStart w:id="52" w:name="_Toc208330430"/>
      <w:r>
        <w:rPr>
          <w:rFonts w:hint="eastAsia"/>
        </w:rPr>
        <w:t>3.4</w:t>
      </w:r>
      <w:bookmarkEnd w:id="49"/>
      <w:bookmarkEnd w:id="50"/>
      <w:bookmarkEnd w:id="51"/>
      <w:bookmarkEnd w:id="52"/>
    </w:p>
    <w:p w14:paraId="766A760C">
      <w:pPr>
        <w:pStyle w:val="22"/>
        <w:rPr>
          <w:rFonts w:hint="eastAsia" w:ascii="黑体" w:hAnsi="黑体" w:eastAsia="黑体"/>
        </w:rPr>
      </w:pPr>
      <w:r>
        <w:rPr>
          <w:rFonts w:hint="eastAsia" w:ascii="黑体" w:hAnsi="黑体" w:eastAsia="黑体"/>
        </w:rPr>
        <w:t>发电企业 power generation enterprise</w:t>
      </w:r>
    </w:p>
    <w:p w14:paraId="6D3F93EE">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并入电网运行（拥有单个或数个发电厂）的发电公司，或拥有发电厂的电力企业。</w:t>
      </w:r>
    </w:p>
    <w:p w14:paraId="3B1B0F1E">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[来源：GB/T 31464-2022，3.1.5]</w:t>
      </w:r>
    </w:p>
    <w:p w14:paraId="181FBCE8">
      <w:pPr>
        <w:pStyle w:val="42"/>
        <w:numPr>
          <w:ilvl w:val="0"/>
          <w:numId w:val="0"/>
        </w:numPr>
        <w:spacing w:before="156" w:beforeLines="50" w:after="156" w:afterLines="50"/>
      </w:pPr>
      <w:bookmarkStart w:id="53" w:name="_Toc209972255"/>
      <w:bookmarkStart w:id="54" w:name="_Toc207986485"/>
      <w:bookmarkStart w:id="55" w:name="_Toc11396"/>
      <w:bookmarkStart w:id="56" w:name="_Toc208330431"/>
      <w:r>
        <w:rPr>
          <w:rFonts w:hint="eastAsia"/>
        </w:rPr>
        <w:t>3.5</w:t>
      </w:r>
      <w:bookmarkEnd w:id="53"/>
      <w:bookmarkEnd w:id="54"/>
      <w:bookmarkEnd w:id="55"/>
      <w:bookmarkEnd w:id="56"/>
    </w:p>
    <w:p w14:paraId="149EBCF1">
      <w:pPr>
        <w:pStyle w:val="22"/>
        <w:rPr>
          <w:rFonts w:hint="eastAsia" w:ascii="黑体" w:hAnsi="黑体" w:eastAsia="黑体"/>
        </w:rPr>
      </w:pPr>
      <w:r>
        <w:rPr>
          <w:rFonts w:hint="eastAsia" w:ascii="黑体" w:hAnsi="黑体" w:eastAsia="黑体"/>
        </w:rPr>
        <w:t xml:space="preserve">售电公司 </w:t>
      </w:r>
      <w:r>
        <w:rPr>
          <w:rFonts w:ascii="黑体" w:hAnsi="黑体" w:eastAsia="黑体"/>
        </w:rPr>
        <w:t>retail electricity supplier</w:t>
      </w:r>
    </w:p>
    <w:p w14:paraId="28C326EB">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具有满足参加市场交易的报价、信息报送、合同签订、客户服务等功能的电力市场技术支持系统和客户服务平台。可采取电力市场购电，通过电力交易平台开展双边协商交易或集中交易。向用户提供包括但不限于合同能源管理、综合节能、合理用能咨询和用电设备运行维护等增值服务的电力市场主体。</w:t>
      </w:r>
    </w:p>
    <w:p w14:paraId="61B8D624">
      <w:pPr>
        <w:pStyle w:val="140"/>
        <w:spacing w:line="240" w:lineRule="auto"/>
        <w:ind w:leftChars="0" w:firstLine="420"/>
        <w:rPr>
          <w:rFonts w:hint="eastAsia"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来源：</w:t>
      </w:r>
      <w:r>
        <w:rPr>
          <w:rFonts w:asciiTheme="minorEastAsia" w:hAnsiTheme="minorEastAsia" w:eastAsiaTheme="minorEastAsia"/>
          <w:sz w:val="21"/>
          <w:szCs w:val="21"/>
        </w:rPr>
        <w:t>GB/T 31464-2022</w:t>
      </w:r>
      <w:r>
        <w:rPr>
          <w:rFonts w:hint="eastAsia" w:asciiTheme="minorEastAsia" w:hAnsiTheme="minorEastAsia" w:eastAsiaTheme="minorEastAsia"/>
          <w:sz w:val="21"/>
          <w:szCs w:val="21"/>
        </w:rPr>
        <w:t>，</w:t>
      </w:r>
      <w:r>
        <w:rPr>
          <w:rFonts w:asciiTheme="minorEastAsia" w:hAnsiTheme="minorEastAsia" w:eastAsiaTheme="minorEastAsia"/>
          <w:sz w:val="21"/>
          <w:szCs w:val="21"/>
        </w:rPr>
        <w:t>3.13]</w:t>
      </w:r>
    </w:p>
    <w:p w14:paraId="0AFC1BF1">
      <w:pPr>
        <w:pStyle w:val="42"/>
        <w:numPr>
          <w:ilvl w:val="0"/>
          <w:numId w:val="0"/>
        </w:numPr>
        <w:spacing w:before="156" w:beforeLines="50" w:after="156" w:afterLines="50"/>
      </w:pPr>
      <w:bookmarkStart w:id="57" w:name="_Toc209972256"/>
      <w:bookmarkStart w:id="58" w:name="_Toc30323"/>
      <w:bookmarkStart w:id="59" w:name="_Toc207986486"/>
      <w:bookmarkStart w:id="60" w:name="_Toc208330432"/>
      <w:r>
        <w:rPr>
          <w:rFonts w:hint="eastAsia"/>
        </w:rPr>
        <w:t>3.6</w:t>
      </w:r>
      <w:bookmarkEnd w:id="57"/>
      <w:bookmarkEnd w:id="58"/>
    </w:p>
    <w:p w14:paraId="04C89F82">
      <w:pPr>
        <w:pStyle w:val="22"/>
        <w:rPr>
          <w:rFonts w:hint="eastAsia" w:ascii="黑体" w:hAnsi="黑体" w:eastAsia="黑体"/>
        </w:rPr>
      </w:pPr>
      <w:r>
        <w:rPr>
          <w:rFonts w:hint="eastAsia" w:ascii="黑体" w:hAnsi="黑体" w:eastAsia="黑体"/>
        </w:rPr>
        <w:t>电力交易 electricity trading</w:t>
      </w:r>
    </w:p>
    <w:p w14:paraId="1F9BDF1F">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针对电力商品或服务进行的买卖活动，包括电能交易、合同交易等。</w:t>
      </w:r>
    </w:p>
    <w:p w14:paraId="39CB7823">
      <w:pPr>
        <w:pStyle w:val="42"/>
        <w:numPr>
          <w:ilvl w:val="0"/>
          <w:numId w:val="0"/>
        </w:numPr>
        <w:spacing w:before="156" w:beforeLines="50" w:after="156" w:afterLines="50"/>
      </w:pPr>
      <w:bookmarkStart w:id="61" w:name="_Toc9537"/>
      <w:bookmarkStart w:id="62" w:name="_Toc209972257"/>
      <w:r>
        <w:rPr>
          <w:rFonts w:hint="eastAsia"/>
        </w:rPr>
        <w:t>3.</w:t>
      </w:r>
      <w:bookmarkEnd w:id="59"/>
      <w:bookmarkEnd w:id="60"/>
      <w:r>
        <w:rPr>
          <w:rFonts w:hint="eastAsia"/>
        </w:rPr>
        <w:t>7</w:t>
      </w:r>
      <w:bookmarkEnd w:id="61"/>
      <w:bookmarkEnd w:id="62"/>
    </w:p>
    <w:p w14:paraId="4DCCA251">
      <w:pPr>
        <w:pStyle w:val="22"/>
        <w:rPr>
          <w:rFonts w:hint="eastAsia" w:ascii="黑体" w:hAnsi="黑体" w:eastAsia="黑体"/>
        </w:rPr>
      </w:pPr>
      <w:r>
        <w:rPr>
          <w:rFonts w:hint="eastAsia" w:ascii="黑体" w:hAnsi="黑体" w:eastAsia="黑体"/>
        </w:rPr>
        <w:t xml:space="preserve">绿色电力交易 </w:t>
      </w:r>
      <w:r>
        <w:rPr>
          <w:rFonts w:ascii="黑体" w:hAnsi="黑体" w:eastAsia="黑体"/>
        </w:rPr>
        <w:t>green power trading</w:t>
      </w:r>
    </w:p>
    <w:p w14:paraId="3E7BE1D5">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以绿色电力（3.2）和对应绿色电力环境价值为标的物的电力交易品种，交易电力同时提供国家核发的绿色电力证书（3.3），用以满足发电企业（3.4）、售电公司（3.5）、电力用户（3.1）等出售、购买绿色电力的需求。</w:t>
      </w:r>
    </w:p>
    <w:p w14:paraId="31936B24">
      <w:pPr>
        <w:pStyle w:val="42"/>
        <w:numPr>
          <w:ilvl w:val="0"/>
          <w:numId w:val="0"/>
        </w:numPr>
        <w:spacing w:before="156" w:beforeLines="50" w:after="156" w:afterLines="50"/>
      </w:pPr>
      <w:bookmarkStart w:id="63" w:name="_Toc192687879"/>
      <w:bookmarkStart w:id="64" w:name="_Toc207986491"/>
      <w:bookmarkStart w:id="65" w:name="_Toc208330437"/>
      <w:bookmarkStart w:id="66" w:name="_Toc209972258"/>
      <w:bookmarkStart w:id="67" w:name="_Toc9972"/>
      <w:r>
        <w:rPr>
          <w:rFonts w:hint="eastAsia"/>
        </w:rPr>
        <w:t>3.</w:t>
      </w:r>
      <w:bookmarkEnd w:id="63"/>
      <w:bookmarkEnd w:id="64"/>
      <w:bookmarkEnd w:id="65"/>
      <w:r>
        <w:rPr>
          <w:rFonts w:hint="eastAsia"/>
        </w:rPr>
        <w:t>8</w:t>
      </w:r>
      <w:bookmarkEnd w:id="66"/>
      <w:bookmarkEnd w:id="67"/>
    </w:p>
    <w:p w14:paraId="7F8217D8">
      <w:pPr>
        <w:pStyle w:val="22"/>
        <w:rPr>
          <w:rFonts w:hint="eastAsia" w:ascii="黑体" w:hAnsi="黑体" w:eastAsia="黑体"/>
        </w:rPr>
      </w:pPr>
      <w:r>
        <w:rPr>
          <w:rFonts w:hint="eastAsia" w:ascii="黑体" w:hAnsi="黑体" w:eastAsia="黑体"/>
        </w:rPr>
        <w:t xml:space="preserve">绿色电力证书交易 </w:t>
      </w:r>
      <w:r>
        <w:rPr>
          <w:rFonts w:ascii="黑体" w:hAnsi="黑体" w:eastAsia="黑体"/>
        </w:rPr>
        <w:t>green electricity certificate transaction</w:t>
      </w:r>
    </w:p>
    <w:p w14:paraId="3CD9BC85">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市场主体通过各绿证交易平台，开展的以绿证为标的物的市场化交易。</w:t>
      </w:r>
    </w:p>
    <w:p w14:paraId="08220852">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注：政府或电力交易中心按照可再生能源消纳电量向企业核发绿色证书，交易价格由市场竞争决定。</w:t>
      </w:r>
    </w:p>
    <w:p w14:paraId="1CA5E8A4">
      <w:pPr>
        <w:pStyle w:val="42"/>
        <w:numPr>
          <w:ilvl w:val="0"/>
          <w:numId w:val="0"/>
        </w:numPr>
        <w:spacing w:before="156" w:beforeLines="50" w:after="156" w:afterLines="50"/>
      </w:pPr>
      <w:bookmarkStart w:id="68" w:name="_Toc192687873"/>
      <w:bookmarkStart w:id="69" w:name="_Toc192607051"/>
      <w:bookmarkStart w:id="70" w:name="_Toc207986487"/>
      <w:bookmarkStart w:id="71" w:name="_Toc208330433"/>
      <w:bookmarkStart w:id="72" w:name="_Toc7096"/>
      <w:bookmarkStart w:id="73" w:name="_Toc209972259"/>
      <w:r>
        <w:rPr>
          <w:rFonts w:hint="eastAsia"/>
        </w:rPr>
        <w:t>3.</w:t>
      </w:r>
      <w:bookmarkEnd w:id="68"/>
      <w:bookmarkEnd w:id="69"/>
      <w:bookmarkEnd w:id="70"/>
      <w:bookmarkEnd w:id="71"/>
      <w:r>
        <w:rPr>
          <w:rFonts w:hint="eastAsia"/>
        </w:rPr>
        <w:t>9</w:t>
      </w:r>
      <w:bookmarkEnd w:id="72"/>
      <w:bookmarkEnd w:id="73"/>
    </w:p>
    <w:p w14:paraId="23DA8D8F">
      <w:pPr>
        <w:pStyle w:val="22"/>
        <w:rPr>
          <w:rFonts w:hint="eastAsia" w:ascii="黑体" w:hAnsi="黑体" w:eastAsia="黑体"/>
        </w:rPr>
      </w:pPr>
      <w:bookmarkStart w:id="74" w:name="_Hlk201308299"/>
      <w:r>
        <w:rPr>
          <w:rFonts w:hint="eastAsia" w:ascii="黑体" w:hAnsi="黑体" w:eastAsia="黑体"/>
        </w:rPr>
        <w:t>报告主体</w:t>
      </w:r>
      <w:bookmarkEnd w:id="74"/>
      <w:r>
        <w:rPr>
          <w:rFonts w:hint="eastAsia" w:ascii="黑体" w:hAnsi="黑体" w:eastAsia="黑体"/>
        </w:rPr>
        <w:t xml:space="preserve"> reporting entity</w:t>
      </w:r>
    </w:p>
    <w:p w14:paraId="12756059">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直接使用绿色电力（3.2）、通过绿色电力交易（3.7）获得绿色电力（3.2）、通过绿色电力证书交易（3.8）获得绿色电力证书（3.3）的电力用户（3.1）。</w:t>
      </w:r>
    </w:p>
    <w:p w14:paraId="3BFDEF0E">
      <w:pPr>
        <w:pStyle w:val="42"/>
        <w:numPr>
          <w:ilvl w:val="0"/>
          <w:numId w:val="0"/>
        </w:numPr>
        <w:spacing w:before="156" w:beforeLines="50" w:after="156" w:afterLines="50"/>
      </w:pPr>
      <w:bookmarkStart w:id="75" w:name="_Toc207986488"/>
      <w:bookmarkStart w:id="76" w:name="_Toc192687875"/>
      <w:bookmarkStart w:id="77" w:name="_Toc208330434"/>
      <w:bookmarkStart w:id="78" w:name="_Toc9025"/>
      <w:bookmarkStart w:id="79" w:name="_Toc209972260"/>
      <w:r>
        <w:rPr>
          <w:rFonts w:hint="eastAsia"/>
        </w:rPr>
        <w:t>3.</w:t>
      </w:r>
      <w:bookmarkEnd w:id="75"/>
      <w:bookmarkEnd w:id="76"/>
      <w:bookmarkEnd w:id="77"/>
      <w:r>
        <w:rPr>
          <w:rFonts w:hint="eastAsia"/>
        </w:rPr>
        <w:t>10</w:t>
      </w:r>
      <w:bookmarkEnd w:id="78"/>
      <w:bookmarkEnd w:id="79"/>
    </w:p>
    <w:p w14:paraId="17C8B2D2">
      <w:pPr>
        <w:pStyle w:val="22"/>
        <w:rPr>
          <w:rFonts w:hint="eastAsia" w:ascii="黑体" w:hAnsi="黑体" w:eastAsia="黑体"/>
        </w:rPr>
      </w:pPr>
      <w:bookmarkStart w:id="80" w:name="OLE_LINK1"/>
      <w:r>
        <w:rPr>
          <w:rFonts w:ascii="黑体" w:hAnsi="黑体" w:eastAsia="黑体"/>
        </w:rPr>
        <w:t>评价主体</w:t>
      </w:r>
      <w:bookmarkEnd w:id="80"/>
      <w:r>
        <w:rPr>
          <w:rFonts w:hint="eastAsia" w:ascii="黑体" w:hAnsi="黑体" w:eastAsia="黑体"/>
        </w:rPr>
        <w:t xml:space="preserve"> client entity</w:t>
      </w:r>
    </w:p>
    <w:p w14:paraId="0980E7C0">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委托第三方机构对报告主体（3.9）开展绿色电力消费评价的组织、单位或个人</w:t>
      </w:r>
      <w:r>
        <w:rPr>
          <w:rFonts w:asciiTheme="minorEastAsia" w:hAnsiTheme="minorEastAsia" w:eastAsiaTheme="minorEastAsia"/>
          <w:sz w:val="21"/>
          <w:szCs w:val="21"/>
        </w:rPr>
        <w:t>。</w:t>
      </w:r>
    </w:p>
    <w:p w14:paraId="314772D7">
      <w:pPr>
        <w:pStyle w:val="140"/>
        <w:spacing w:line="240" w:lineRule="auto"/>
        <w:ind w:left="840" w:hanging="420" w:hanging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注：评价主体为评价委托方；评价主体、报告主体可为同一实体。</w:t>
      </w:r>
    </w:p>
    <w:p w14:paraId="1D0D5D87">
      <w:pPr>
        <w:pStyle w:val="42"/>
        <w:numPr>
          <w:ilvl w:val="0"/>
          <w:numId w:val="0"/>
        </w:numPr>
        <w:spacing w:before="156" w:beforeLines="50" w:after="156" w:afterLines="50"/>
      </w:pPr>
      <w:bookmarkStart w:id="81" w:name="_Toc208330435"/>
      <w:bookmarkStart w:id="82" w:name="_Toc207986489"/>
      <w:bookmarkStart w:id="83" w:name="_Toc192607053"/>
      <w:bookmarkStart w:id="84" w:name="_Toc192687876"/>
      <w:bookmarkStart w:id="85" w:name="_Toc209972261"/>
      <w:bookmarkStart w:id="86" w:name="_Toc8405"/>
      <w:r>
        <w:rPr>
          <w:rFonts w:hint="eastAsia"/>
        </w:rPr>
        <w:t>3.</w:t>
      </w:r>
      <w:bookmarkEnd w:id="81"/>
      <w:bookmarkEnd w:id="82"/>
      <w:bookmarkEnd w:id="83"/>
      <w:bookmarkEnd w:id="84"/>
      <w:r>
        <w:rPr>
          <w:rFonts w:hint="eastAsia"/>
        </w:rPr>
        <w:t>11</w:t>
      </w:r>
      <w:bookmarkEnd w:id="85"/>
      <w:bookmarkEnd w:id="86"/>
    </w:p>
    <w:p w14:paraId="24C9B918">
      <w:pPr>
        <w:pStyle w:val="22"/>
        <w:rPr>
          <w:rFonts w:hint="eastAsia" w:ascii="黑体" w:hAnsi="黑体" w:eastAsia="黑体"/>
        </w:rPr>
      </w:pPr>
      <w:r>
        <w:rPr>
          <w:rFonts w:hint="eastAsia" w:ascii="黑体" w:hAnsi="黑体" w:eastAsia="黑体"/>
        </w:rPr>
        <w:t xml:space="preserve">核算边界 </w:t>
      </w:r>
      <w:r>
        <w:rPr>
          <w:rFonts w:ascii="黑体" w:hAnsi="黑体" w:eastAsia="黑体"/>
        </w:rPr>
        <w:t>verification and calculation boundary</w:t>
      </w:r>
    </w:p>
    <w:p w14:paraId="69CE9845">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与报告主体（3.9）的生产经营活动相关的直接使用绿色电力（3.2）、通过绿色电力交易（3.7）获得绿色电力（3.2）、通过绿色电力证书交易（3.8）获得绿色电力证书（3.3）表征电量的范围。</w:t>
      </w:r>
    </w:p>
    <w:p w14:paraId="35B48501">
      <w:pPr>
        <w:pStyle w:val="42"/>
        <w:numPr>
          <w:ilvl w:val="0"/>
          <w:numId w:val="0"/>
        </w:numPr>
        <w:spacing w:before="156" w:beforeLines="50" w:after="156" w:afterLines="50"/>
      </w:pPr>
      <w:bookmarkStart w:id="87" w:name="_Toc192687877"/>
      <w:bookmarkStart w:id="88" w:name="_Toc208330436"/>
      <w:bookmarkStart w:id="89" w:name="_Toc207986490"/>
      <w:bookmarkStart w:id="90" w:name="_Toc209972262"/>
      <w:bookmarkStart w:id="91" w:name="_Toc23164"/>
      <w:r>
        <w:rPr>
          <w:rFonts w:hint="eastAsia"/>
        </w:rPr>
        <w:t>3.</w:t>
      </w:r>
      <w:bookmarkEnd w:id="87"/>
      <w:r>
        <w:rPr>
          <w:rFonts w:hint="eastAsia"/>
        </w:rPr>
        <w:t>1</w:t>
      </w:r>
      <w:bookmarkEnd w:id="88"/>
      <w:bookmarkEnd w:id="89"/>
      <w:r>
        <w:rPr>
          <w:rFonts w:hint="eastAsia"/>
        </w:rPr>
        <w:t>2</w:t>
      </w:r>
      <w:bookmarkEnd w:id="90"/>
      <w:bookmarkEnd w:id="91"/>
    </w:p>
    <w:p w14:paraId="695F4D74">
      <w:pPr>
        <w:pStyle w:val="22"/>
        <w:rPr>
          <w:rFonts w:hint="eastAsia" w:ascii="黑体" w:hAnsi="黑体" w:eastAsia="黑体"/>
        </w:rPr>
      </w:pPr>
      <w:r>
        <w:rPr>
          <w:rFonts w:hint="eastAsia" w:ascii="黑体" w:hAnsi="黑体" w:eastAsia="黑体"/>
        </w:rPr>
        <w:t>统计报告期 reporting period</w:t>
      </w:r>
    </w:p>
    <w:p w14:paraId="082B5008">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开展核算报告工作所针对的报告主体直接使用绿色电力（3.2）、通过绿色电力交易（3.7）获得绿色电力（3.2）、通过绿色电力证书交易（3.8）获得绿色电力证书（3.3）的时间段。</w:t>
      </w:r>
    </w:p>
    <w:p w14:paraId="00AA042C">
      <w:pPr>
        <w:pStyle w:val="42"/>
        <w:numPr>
          <w:ilvl w:val="0"/>
          <w:numId w:val="0"/>
        </w:numPr>
        <w:spacing w:before="156" w:beforeLines="50" w:after="156" w:afterLines="50"/>
      </w:pPr>
      <w:bookmarkStart w:id="92" w:name="_Toc192687880"/>
      <w:bookmarkStart w:id="93" w:name="_Toc208330438"/>
      <w:bookmarkStart w:id="94" w:name="_Toc207986492"/>
      <w:bookmarkStart w:id="95" w:name="_Toc209972263"/>
      <w:bookmarkStart w:id="96" w:name="_Toc2448"/>
      <w:r>
        <w:rPr>
          <w:rFonts w:hint="eastAsia"/>
        </w:rPr>
        <w:t>3.</w:t>
      </w:r>
      <w:bookmarkEnd w:id="92"/>
      <w:r>
        <w:rPr>
          <w:rFonts w:hint="eastAsia"/>
        </w:rPr>
        <w:t>1</w:t>
      </w:r>
      <w:bookmarkEnd w:id="93"/>
      <w:bookmarkEnd w:id="94"/>
      <w:r>
        <w:rPr>
          <w:rFonts w:hint="eastAsia"/>
        </w:rPr>
        <w:t>3</w:t>
      </w:r>
      <w:bookmarkEnd w:id="95"/>
      <w:bookmarkEnd w:id="96"/>
    </w:p>
    <w:p w14:paraId="156EC77B">
      <w:pPr>
        <w:pStyle w:val="22"/>
        <w:rPr>
          <w:rFonts w:hint="eastAsia" w:ascii="黑体" w:hAnsi="黑体" w:eastAsia="黑体"/>
        </w:rPr>
      </w:pPr>
      <w:r>
        <w:rPr>
          <w:rFonts w:hint="eastAsia" w:ascii="黑体" w:hAnsi="黑体" w:eastAsia="黑体"/>
        </w:rPr>
        <w:t>电力交易机构 power trading institution</w:t>
      </w:r>
    </w:p>
    <w:p w14:paraId="55E775B4">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负责电力市场交易平台的建设、运营和管理，提供结算依据和相关服务的机构。</w:t>
      </w:r>
    </w:p>
    <w:p w14:paraId="2B9B4C54">
      <w:pPr>
        <w:pStyle w:val="42"/>
        <w:numPr>
          <w:ilvl w:val="0"/>
          <w:numId w:val="0"/>
        </w:numPr>
        <w:spacing w:before="156" w:beforeLines="50" w:after="156" w:afterLines="50"/>
      </w:pPr>
      <w:bookmarkStart w:id="97" w:name="_Toc208330439"/>
      <w:bookmarkStart w:id="98" w:name="_Toc207986497"/>
      <w:bookmarkStart w:id="99" w:name="_Toc209972264"/>
      <w:bookmarkStart w:id="100" w:name="_Toc20143"/>
      <w:bookmarkStart w:id="101" w:name="_Toc192687881"/>
      <w:bookmarkStart w:id="102" w:name="_Toc207986493"/>
      <w:r>
        <w:rPr>
          <w:rFonts w:hint="eastAsia"/>
        </w:rPr>
        <w:t>3.1</w:t>
      </w:r>
      <w:bookmarkEnd w:id="97"/>
      <w:bookmarkEnd w:id="98"/>
      <w:r>
        <w:rPr>
          <w:rFonts w:hint="eastAsia"/>
        </w:rPr>
        <w:t>4</w:t>
      </w:r>
      <w:bookmarkEnd w:id="99"/>
      <w:bookmarkEnd w:id="100"/>
    </w:p>
    <w:p w14:paraId="7FCBEAB5">
      <w:pPr>
        <w:pStyle w:val="22"/>
        <w:rPr>
          <w:rFonts w:hint="eastAsia" w:ascii="黑体" w:hAnsi="黑体" w:eastAsia="黑体"/>
        </w:rPr>
      </w:pPr>
      <w:r>
        <w:rPr>
          <w:rFonts w:hint="eastAsia" w:ascii="黑体" w:hAnsi="黑体" w:eastAsia="黑体"/>
        </w:rPr>
        <w:t>自发自用 self-generation and consumption</w:t>
      </w:r>
    </w:p>
    <w:p w14:paraId="4CF82ACC">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报告主体通过位于现场（如自有用地、建筑屋顶、建筑墙体等）的可再生能源设施生产电力并直接用于自身用电负荷。</w:t>
      </w:r>
    </w:p>
    <w:p w14:paraId="678EB67D">
      <w:pPr>
        <w:pStyle w:val="42"/>
        <w:numPr>
          <w:ilvl w:val="0"/>
          <w:numId w:val="0"/>
        </w:numPr>
        <w:spacing w:before="156" w:beforeLines="50" w:after="156" w:afterLines="50"/>
      </w:pPr>
      <w:bookmarkStart w:id="103" w:name="_Toc207986498"/>
      <w:bookmarkStart w:id="104" w:name="_Toc208330440"/>
      <w:bookmarkStart w:id="105" w:name="_Toc5360"/>
      <w:bookmarkStart w:id="106" w:name="_Toc209972265"/>
      <w:r>
        <w:rPr>
          <w:rFonts w:hint="eastAsia"/>
        </w:rPr>
        <w:t>3.1</w:t>
      </w:r>
      <w:bookmarkEnd w:id="103"/>
      <w:bookmarkEnd w:id="104"/>
      <w:r>
        <w:rPr>
          <w:rFonts w:hint="eastAsia"/>
        </w:rPr>
        <w:t>5</w:t>
      </w:r>
      <w:bookmarkEnd w:id="105"/>
      <w:bookmarkEnd w:id="106"/>
    </w:p>
    <w:p w14:paraId="68FBC634">
      <w:pPr>
        <w:pStyle w:val="22"/>
        <w:rPr>
          <w:rFonts w:hint="eastAsia" w:ascii="黑体" w:hAnsi="黑体" w:eastAsia="黑体"/>
        </w:rPr>
      </w:pPr>
      <w:bookmarkStart w:id="107" w:name="_Hlk208247512"/>
      <w:r>
        <w:rPr>
          <w:rFonts w:hint="eastAsia" w:ascii="黑体" w:hAnsi="黑体" w:eastAsia="黑体"/>
        </w:rPr>
        <w:t>绿电直连</w:t>
      </w:r>
      <w:bookmarkEnd w:id="107"/>
      <w:r>
        <w:rPr>
          <w:rFonts w:hint="eastAsia" w:ascii="黑体" w:hAnsi="黑体" w:eastAsia="黑体"/>
        </w:rPr>
        <w:t xml:space="preserve"> direct green power connection</w:t>
      </w:r>
    </w:p>
    <w:p w14:paraId="1DEFAF34">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风电、太阳能发电、生物质发电等新能源不直接接入公共电网，通过直连线路向单一电力用户供给绿电，可实现供给电量清晰物理溯源的模式。其中，直连线路是指电源与电力用户直接连接的专用电力线路。按照负荷是否接入公共电网分为并网型和离网型两类。并网型项目作为整体接入公共电网，与公共电网形成清晰的物理界面与责任界面，电源应接入用户和公共电网产权分界点的用户侧。</w:t>
      </w:r>
    </w:p>
    <w:p w14:paraId="0F213077">
      <w:pPr>
        <w:pStyle w:val="42"/>
        <w:numPr>
          <w:ilvl w:val="0"/>
          <w:numId w:val="0"/>
        </w:numPr>
        <w:spacing w:before="156" w:beforeLines="50" w:after="156" w:afterLines="50"/>
      </w:pPr>
      <w:bookmarkStart w:id="108" w:name="_Toc208330442"/>
      <w:bookmarkStart w:id="109" w:name="_Toc6980"/>
      <w:bookmarkStart w:id="110" w:name="_Toc209972266"/>
      <w:r>
        <w:rPr>
          <w:rFonts w:hint="eastAsia"/>
        </w:rPr>
        <w:t>3.1</w:t>
      </w:r>
      <w:bookmarkEnd w:id="101"/>
      <w:bookmarkEnd w:id="102"/>
      <w:bookmarkEnd w:id="108"/>
      <w:r>
        <w:rPr>
          <w:rFonts w:hint="eastAsia"/>
        </w:rPr>
        <w:t>6</w:t>
      </w:r>
      <w:bookmarkEnd w:id="109"/>
      <w:bookmarkEnd w:id="110"/>
    </w:p>
    <w:p w14:paraId="074CFF27">
      <w:pPr>
        <w:pStyle w:val="22"/>
        <w:rPr>
          <w:rFonts w:hint="eastAsia" w:ascii="黑体" w:hAnsi="黑体" w:eastAsia="黑体"/>
        </w:rPr>
      </w:pPr>
      <w:bookmarkStart w:id="111" w:name="_Hlk192684045"/>
      <w:r>
        <w:rPr>
          <w:rFonts w:hint="eastAsia" w:ascii="黑体" w:hAnsi="黑体" w:eastAsia="黑体"/>
        </w:rPr>
        <w:t>电力用户用电量</w:t>
      </w:r>
      <w:bookmarkEnd w:id="111"/>
      <w:r>
        <w:rPr>
          <w:rFonts w:hint="eastAsia" w:ascii="黑体" w:hAnsi="黑体" w:eastAsia="黑体"/>
        </w:rPr>
        <w:t xml:space="preserve"> power consumption by electricity users</w:t>
      </w:r>
    </w:p>
    <w:p w14:paraId="2FE53E4E">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核算边界（3.11）内，报告主体通过市场化直接交易、通过供电企业购买、通过售电公司购买、绿电直连（3.15）和电力用户自发自用的（3.14）全部电量总和。</w:t>
      </w:r>
    </w:p>
    <w:p w14:paraId="08940696">
      <w:pPr>
        <w:pStyle w:val="42"/>
        <w:numPr>
          <w:ilvl w:val="0"/>
          <w:numId w:val="0"/>
        </w:numPr>
        <w:spacing w:before="156" w:beforeLines="50" w:after="156" w:afterLines="50"/>
      </w:pPr>
      <w:bookmarkStart w:id="112" w:name="_Toc207986494"/>
      <w:bookmarkStart w:id="113" w:name="_Toc208330443"/>
      <w:bookmarkStart w:id="114" w:name="_Toc192687882"/>
      <w:bookmarkStart w:id="115" w:name="_Toc209972267"/>
      <w:bookmarkStart w:id="116" w:name="_Toc28467"/>
      <w:r>
        <w:rPr>
          <w:rFonts w:hint="eastAsia"/>
        </w:rPr>
        <w:t>3.1</w:t>
      </w:r>
      <w:bookmarkEnd w:id="112"/>
      <w:bookmarkEnd w:id="113"/>
      <w:bookmarkEnd w:id="114"/>
      <w:r>
        <w:rPr>
          <w:rFonts w:hint="eastAsia"/>
        </w:rPr>
        <w:t>7</w:t>
      </w:r>
      <w:bookmarkEnd w:id="115"/>
      <w:bookmarkEnd w:id="116"/>
    </w:p>
    <w:p w14:paraId="31CD7093">
      <w:pPr>
        <w:pStyle w:val="22"/>
        <w:rPr>
          <w:rFonts w:hint="eastAsia" w:ascii="黑体" w:hAnsi="黑体" w:eastAsia="黑体"/>
        </w:rPr>
      </w:pPr>
      <w:r>
        <w:rPr>
          <w:rFonts w:hint="eastAsia" w:ascii="黑体" w:hAnsi="黑体" w:eastAsia="黑体"/>
        </w:rPr>
        <w:t>绿色电力消费总量 total green electricity consumption</w:t>
      </w:r>
    </w:p>
    <w:p w14:paraId="31648734">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电力用户在核算周期内直接消费绿色电力（3.2）电量、通过绿色电力交易（3.7）获得绿色电力（3.2）电量、通过绿色电力证书交易（3.8）获得绿色电力证书（3.3）表征电量的总和。</w:t>
      </w:r>
    </w:p>
    <w:p w14:paraId="78A39A86">
      <w:pPr>
        <w:pStyle w:val="42"/>
        <w:numPr>
          <w:ilvl w:val="0"/>
          <w:numId w:val="0"/>
        </w:numPr>
        <w:spacing w:before="156" w:beforeLines="50" w:after="156" w:afterLines="50"/>
      </w:pPr>
      <w:bookmarkStart w:id="117" w:name="_Toc208330444"/>
      <w:bookmarkStart w:id="118" w:name="_Toc207986495"/>
      <w:bookmarkStart w:id="119" w:name="_Toc192687883"/>
      <w:bookmarkStart w:id="120" w:name="_Toc10259"/>
      <w:bookmarkStart w:id="121" w:name="_Toc209972268"/>
      <w:r>
        <w:rPr>
          <w:rFonts w:hint="eastAsia"/>
        </w:rPr>
        <w:t>3.1</w:t>
      </w:r>
      <w:bookmarkEnd w:id="117"/>
      <w:bookmarkEnd w:id="118"/>
      <w:bookmarkEnd w:id="119"/>
      <w:r>
        <w:rPr>
          <w:rFonts w:hint="eastAsia"/>
        </w:rPr>
        <w:t>8</w:t>
      </w:r>
      <w:bookmarkEnd w:id="120"/>
      <w:bookmarkEnd w:id="121"/>
    </w:p>
    <w:p w14:paraId="376BEF35">
      <w:pPr>
        <w:pStyle w:val="22"/>
        <w:rPr>
          <w:rFonts w:hint="eastAsia" w:ascii="黑体" w:hAnsi="黑体" w:eastAsia="黑体"/>
        </w:rPr>
      </w:pPr>
      <w:r>
        <w:rPr>
          <w:rFonts w:hint="eastAsia" w:ascii="黑体" w:hAnsi="黑体" w:eastAsia="黑体"/>
        </w:rPr>
        <w:t>绿色电力消费比例 green electricity consumption ratio</w:t>
      </w:r>
    </w:p>
    <w:p w14:paraId="42C486B7">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核算边界（3.11）内电力用户（3.1）绿色电力消费总量（3.17）占电力用户用电量（3.16）的比例。</w:t>
      </w:r>
    </w:p>
    <w:p w14:paraId="0870F8BE">
      <w:pPr>
        <w:pStyle w:val="140"/>
        <w:spacing w:line="240" w:lineRule="auto"/>
        <w:ind w:left="840" w:hanging="420" w:hanging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注：电力用户按照上述计算方法计算，结果大于100%的，按100%计。</w:t>
      </w:r>
    </w:p>
    <w:p w14:paraId="710357D4">
      <w:pPr>
        <w:pStyle w:val="42"/>
        <w:numPr>
          <w:ilvl w:val="0"/>
          <w:numId w:val="0"/>
        </w:numPr>
        <w:spacing w:before="156" w:beforeLines="50" w:after="156" w:afterLines="50"/>
      </w:pPr>
      <w:bookmarkStart w:id="122" w:name="_Toc207986496"/>
      <w:bookmarkStart w:id="123" w:name="_Toc208330445"/>
      <w:bookmarkStart w:id="124" w:name="_Toc192687884"/>
      <w:bookmarkStart w:id="125" w:name="_Toc25371"/>
      <w:bookmarkStart w:id="126" w:name="_Toc209972269"/>
      <w:r>
        <w:rPr>
          <w:rFonts w:hint="eastAsia"/>
        </w:rPr>
        <w:t>3.1</w:t>
      </w:r>
      <w:bookmarkEnd w:id="122"/>
      <w:bookmarkEnd w:id="123"/>
      <w:bookmarkEnd w:id="124"/>
      <w:r>
        <w:rPr>
          <w:rFonts w:hint="eastAsia"/>
        </w:rPr>
        <w:t>9</w:t>
      </w:r>
      <w:bookmarkEnd w:id="125"/>
      <w:bookmarkEnd w:id="126"/>
    </w:p>
    <w:p w14:paraId="284D52CF">
      <w:pPr>
        <w:pStyle w:val="22"/>
        <w:rPr>
          <w:rFonts w:hint="eastAsia" w:ascii="黑体" w:hAnsi="黑体" w:eastAsia="黑体"/>
        </w:rPr>
      </w:pPr>
      <w:r>
        <w:rPr>
          <w:rFonts w:hint="eastAsia" w:ascii="黑体" w:hAnsi="黑体" w:eastAsia="黑体"/>
        </w:rPr>
        <w:t>评价机构 certified green power evaluation institution</w:t>
      </w:r>
    </w:p>
    <w:p w14:paraId="396E8D2A">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具备国家相关主管部门认可的绿色电力消费评价资质，独立开展数据核验、等级评定及报告出具的第三方认证机构。</w:t>
      </w:r>
    </w:p>
    <w:p w14:paraId="612A666A">
      <w:pPr>
        <w:pStyle w:val="140"/>
        <w:spacing w:line="240" w:lineRule="auto"/>
        <w:ind w:left="840" w:hanging="420" w:hanging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注：评价机构不得与评价主体、报告主体存在利益关联，且需通过政府备案。</w:t>
      </w:r>
    </w:p>
    <w:p w14:paraId="32A7C866">
      <w:pPr>
        <w:pStyle w:val="42"/>
        <w:spacing w:before="312" w:after="312"/>
      </w:pPr>
      <w:bookmarkStart w:id="127" w:name="_Toc13816"/>
      <w:r>
        <w:t>基本原则</w:t>
      </w:r>
      <w:bookmarkEnd w:id="127"/>
    </w:p>
    <w:p w14:paraId="69BFCD5D">
      <w:pPr>
        <w:pStyle w:val="42"/>
        <w:numPr>
          <w:ilvl w:val="0"/>
          <w:numId w:val="0"/>
        </w:numPr>
        <w:spacing w:before="156" w:beforeLines="50" w:after="156" w:afterLines="50"/>
      </w:pPr>
      <w:bookmarkStart w:id="128" w:name="_Toc192687886"/>
      <w:bookmarkStart w:id="129" w:name="_Toc192607055"/>
      <w:bookmarkStart w:id="130" w:name="_Toc209972271"/>
      <w:bookmarkStart w:id="131" w:name="_Toc207986501"/>
      <w:bookmarkStart w:id="132" w:name="_Toc21166"/>
      <w:bookmarkStart w:id="133" w:name="_Toc208330447"/>
      <w:r>
        <w:rPr>
          <w:rFonts w:hint="eastAsia"/>
        </w:rPr>
        <w:t xml:space="preserve">4.1 </w:t>
      </w:r>
      <w:r>
        <w:t>合规性</w:t>
      </w:r>
      <w:bookmarkEnd w:id="128"/>
      <w:bookmarkEnd w:id="129"/>
      <w:bookmarkEnd w:id="130"/>
      <w:bookmarkEnd w:id="131"/>
      <w:bookmarkEnd w:id="132"/>
      <w:bookmarkEnd w:id="133"/>
    </w:p>
    <w:p w14:paraId="7E366098">
      <w:pPr>
        <w:pStyle w:val="140"/>
        <w:spacing w:line="240" w:lineRule="auto"/>
        <w:ind w:leftChars="0" w:firstLine="420"/>
        <w:rPr>
          <w:rFonts w:hint="eastAsia" w:asciiTheme="minorEastAsia" w:hAnsiTheme="minorEastAsia" w:eastAsiaTheme="minorEastAsia"/>
          <w:sz w:val="21"/>
          <w:szCs w:val="21"/>
        </w:rPr>
      </w:pPr>
      <w:r>
        <w:rPr>
          <w:rFonts w:asciiTheme="minorEastAsia" w:hAnsiTheme="minorEastAsia" w:eastAsiaTheme="minorEastAsia"/>
          <w:sz w:val="21"/>
          <w:szCs w:val="21"/>
        </w:rPr>
        <w:t>评价工作应符合国家及北京市能源、环保、统计等政策法规要求。</w:t>
      </w:r>
    </w:p>
    <w:p w14:paraId="07249212">
      <w:pPr>
        <w:pStyle w:val="42"/>
        <w:numPr>
          <w:ilvl w:val="0"/>
          <w:numId w:val="0"/>
        </w:numPr>
        <w:spacing w:before="156" w:beforeLines="50" w:after="156" w:afterLines="50"/>
      </w:pPr>
      <w:bookmarkStart w:id="134" w:name="_Toc207986502"/>
      <w:bookmarkStart w:id="135" w:name="_Toc209972272"/>
      <w:bookmarkStart w:id="136" w:name="_Toc6423"/>
      <w:bookmarkStart w:id="137" w:name="_Toc208330448"/>
      <w:bookmarkStart w:id="138" w:name="_Toc192607056"/>
      <w:bookmarkStart w:id="139" w:name="_Toc192687887"/>
      <w:r>
        <w:rPr>
          <w:rFonts w:hint="eastAsia"/>
        </w:rPr>
        <w:t xml:space="preserve">4.2 </w:t>
      </w:r>
      <w:r>
        <w:t>完整性</w:t>
      </w:r>
      <w:bookmarkEnd w:id="134"/>
      <w:bookmarkEnd w:id="135"/>
      <w:bookmarkEnd w:id="136"/>
      <w:bookmarkEnd w:id="137"/>
      <w:bookmarkEnd w:id="138"/>
      <w:bookmarkEnd w:id="139"/>
    </w:p>
    <w:p w14:paraId="210470EB">
      <w:pPr>
        <w:pStyle w:val="140"/>
        <w:spacing w:line="240" w:lineRule="auto"/>
        <w:ind w:leftChars="0" w:firstLine="420"/>
        <w:rPr>
          <w:rFonts w:hint="eastAsia" w:asciiTheme="minorEastAsia" w:hAnsiTheme="minorEastAsia" w:eastAsiaTheme="minorEastAsia"/>
          <w:sz w:val="21"/>
          <w:szCs w:val="21"/>
        </w:rPr>
      </w:pPr>
      <w:r>
        <w:rPr>
          <w:rFonts w:asciiTheme="minorEastAsia" w:hAnsiTheme="minorEastAsia" w:eastAsiaTheme="minorEastAsia"/>
          <w:sz w:val="21"/>
          <w:szCs w:val="21"/>
        </w:rPr>
        <w:t>覆盖电力用户</w:t>
      </w:r>
      <w:r>
        <w:rPr>
          <w:rFonts w:hint="eastAsia" w:asciiTheme="minorEastAsia" w:hAnsiTheme="minorEastAsia" w:eastAsiaTheme="minorEastAsia"/>
          <w:sz w:val="21"/>
          <w:szCs w:val="21"/>
        </w:rPr>
        <w:t>直接消费绿色电力电量、通过绿色电力交易获得绿色电力电量、通过绿色电力证书交易获得绿色电力证书表征电量</w:t>
      </w:r>
      <w:r>
        <w:rPr>
          <w:rFonts w:asciiTheme="minorEastAsia" w:hAnsiTheme="minorEastAsia" w:eastAsiaTheme="minorEastAsia"/>
          <w:sz w:val="21"/>
          <w:szCs w:val="21"/>
        </w:rPr>
        <w:t>的</w:t>
      </w:r>
      <w:r>
        <w:rPr>
          <w:rFonts w:hint="eastAsia" w:asciiTheme="minorEastAsia" w:hAnsiTheme="minorEastAsia" w:eastAsiaTheme="minorEastAsia"/>
          <w:sz w:val="21"/>
          <w:szCs w:val="21"/>
        </w:rPr>
        <w:t>绿色电力消费总量</w:t>
      </w:r>
      <w:r>
        <w:rPr>
          <w:rFonts w:asciiTheme="minorEastAsia" w:hAnsiTheme="minorEastAsia" w:eastAsiaTheme="minorEastAsia"/>
          <w:sz w:val="21"/>
          <w:szCs w:val="21"/>
        </w:rPr>
        <w:t>。</w:t>
      </w:r>
    </w:p>
    <w:p w14:paraId="426C9993">
      <w:pPr>
        <w:pStyle w:val="42"/>
        <w:numPr>
          <w:ilvl w:val="0"/>
          <w:numId w:val="0"/>
        </w:numPr>
        <w:spacing w:before="156" w:beforeLines="50" w:after="156" w:afterLines="50"/>
      </w:pPr>
      <w:bookmarkStart w:id="140" w:name="_Toc192687888"/>
      <w:bookmarkStart w:id="141" w:name="_Toc6891"/>
      <w:bookmarkStart w:id="142" w:name="_Toc192607057"/>
      <w:bookmarkStart w:id="143" w:name="_Toc207986503"/>
      <w:bookmarkStart w:id="144" w:name="_Toc209972273"/>
      <w:bookmarkStart w:id="145" w:name="_Toc208330449"/>
      <w:r>
        <w:rPr>
          <w:rFonts w:hint="eastAsia"/>
        </w:rPr>
        <w:t xml:space="preserve">4.3 </w:t>
      </w:r>
      <w:r>
        <w:t>准确性</w:t>
      </w:r>
      <w:bookmarkEnd w:id="140"/>
      <w:bookmarkEnd w:id="141"/>
      <w:bookmarkEnd w:id="142"/>
      <w:bookmarkEnd w:id="143"/>
      <w:bookmarkEnd w:id="144"/>
      <w:bookmarkEnd w:id="145"/>
    </w:p>
    <w:p w14:paraId="5B4C6AB3">
      <w:pPr>
        <w:pStyle w:val="140"/>
        <w:spacing w:line="240" w:lineRule="auto"/>
        <w:ind w:leftChars="0" w:firstLine="420"/>
        <w:rPr>
          <w:rFonts w:hint="eastAsia" w:asciiTheme="minorEastAsia" w:hAnsiTheme="minorEastAsia" w:eastAsiaTheme="minorEastAsia"/>
          <w:sz w:val="21"/>
          <w:szCs w:val="21"/>
        </w:rPr>
      </w:pPr>
      <w:r>
        <w:rPr>
          <w:rFonts w:asciiTheme="minorEastAsia" w:hAnsiTheme="minorEastAsia" w:eastAsiaTheme="minorEastAsia"/>
          <w:sz w:val="21"/>
          <w:szCs w:val="21"/>
        </w:rPr>
        <w:t>基于实测数据、存证及第三方校验，确保评价结果真实可信。</w:t>
      </w:r>
    </w:p>
    <w:p w14:paraId="1DA64E1D">
      <w:pPr>
        <w:pStyle w:val="42"/>
        <w:numPr>
          <w:ilvl w:val="0"/>
          <w:numId w:val="0"/>
        </w:numPr>
        <w:spacing w:before="156" w:beforeLines="50" w:after="156" w:afterLines="50"/>
      </w:pPr>
      <w:bookmarkStart w:id="146" w:name="_Toc192687889"/>
      <w:bookmarkStart w:id="147" w:name="_Toc208330450"/>
      <w:bookmarkStart w:id="148" w:name="_Toc22066"/>
      <w:bookmarkStart w:id="149" w:name="_Toc207986504"/>
      <w:bookmarkStart w:id="150" w:name="_Toc192607058"/>
      <w:bookmarkStart w:id="151" w:name="_Toc209972274"/>
      <w:r>
        <w:rPr>
          <w:rFonts w:hint="eastAsia"/>
        </w:rPr>
        <w:t xml:space="preserve">4.4 </w:t>
      </w:r>
      <w:r>
        <w:t>一致性</w:t>
      </w:r>
      <w:bookmarkEnd w:id="146"/>
      <w:bookmarkEnd w:id="147"/>
      <w:bookmarkEnd w:id="148"/>
      <w:bookmarkEnd w:id="149"/>
      <w:bookmarkEnd w:id="150"/>
      <w:bookmarkEnd w:id="151"/>
    </w:p>
    <w:p w14:paraId="100F7665">
      <w:pPr>
        <w:pStyle w:val="140"/>
        <w:spacing w:line="240" w:lineRule="auto"/>
        <w:ind w:leftChars="0" w:firstLine="420"/>
        <w:rPr>
          <w:rFonts w:hint="eastAsia" w:asciiTheme="minorEastAsia" w:hAnsiTheme="minorEastAsia" w:eastAsiaTheme="minorEastAsia"/>
          <w:sz w:val="21"/>
          <w:szCs w:val="21"/>
        </w:rPr>
      </w:pPr>
      <w:r>
        <w:rPr>
          <w:rFonts w:asciiTheme="minorEastAsia" w:hAnsiTheme="minorEastAsia" w:eastAsiaTheme="minorEastAsia"/>
          <w:sz w:val="21"/>
          <w:szCs w:val="21"/>
        </w:rPr>
        <w:t>评价方法、指标及流程在统计周期内保持</w:t>
      </w:r>
      <w:r>
        <w:rPr>
          <w:rFonts w:hint="eastAsia" w:asciiTheme="minorEastAsia" w:hAnsiTheme="minorEastAsia" w:eastAsiaTheme="minorEastAsia"/>
          <w:sz w:val="21"/>
          <w:szCs w:val="21"/>
        </w:rPr>
        <w:t>一致</w:t>
      </w:r>
      <w:r>
        <w:rPr>
          <w:rFonts w:asciiTheme="minorEastAsia" w:hAnsiTheme="minorEastAsia" w:eastAsiaTheme="minorEastAsia"/>
          <w:sz w:val="21"/>
          <w:szCs w:val="21"/>
        </w:rPr>
        <w:t>。</w:t>
      </w:r>
    </w:p>
    <w:p w14:paraId="3C3DBB96">
      <w:pPr>
        <w:pStyle w:val="42"/>
        <w:numPr>
          <w:ilvl w:val="0"/>
          <w:numId w:val="0"/>
        </w:numPr>
        <w:spacing w:before="156" w:beforeLines="50" w:after="156" w:afterLines="50"/>
      </w:pPr>
      <w:bookmarkStart w:id="152" w:name="_Toc25159"/>
      <w:bookmarkStart w:id="153" w:name="_Toc192607059"/>
      <w:bookmarkStart w:id="154" w:name="_Toc209972275"/>
      <w:bookmarkStart w:id="155" w:name="_Toc192687890"/>
      <w:bookmarkStart w:id="156" w:name="_Toc207986505"/>
      <w:bookmarkStart w:id="157" w:name="_Toc208330451"/>
      <w:r>
        <w:rPr>
          <w:rFonts w:hint="eastAsia"/>
        </w:rPr>
        <w:t xml:space="preserve">4.5 </w:t>
      </w:r>
      <w:r>
        <w:t>激励性</w:t>
      </w:r>
      <w:bookmarkEnd w:id="152"/>
      <w:bookmarkEnd w:id="153"/>
      <w:bookmarkEnd w:id="154"/>
      <w:bookmarkEnd w:id="155"/>
      <w:bookmarkEnd w:id="156"/>
      <w:bookmarkEnd w:id="157"/>
    </w:p>
    <w:p w14:paraId="27523A7E">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通过等级标识引导电力用户提升绿色电力消费比例。</w:t>
      </w:r>
    </w:p>
    <w:p w14:paraId="189AB4D0">
      <w:pPr>
        <w:pStyle w:val="42"/>
        <w:spacing w:before="312" w:after="312"/>
      </w:pPr>
      <w:bookmarkStart w:id="158" w:name="_Toc17341"/>
      <w:r>
        <w:t>评价要求</w:t>
      </w:r>
      <w:bookmarkEnd w:id="158"/>
    </w:p>
    <w:p w14:paraId="02175C85">
      <w:pPr>
        <w:pStyle w:val="42"/>
        <w:numPr>
          <w:ilvl w:val="0"/>
          <w:numId w:val="0"/>
        </w:numPr>
        <w:spacing w:before="156" w:beforeLines="50" w:after="156" w:afterLines="50"/>
      </w:pPr>
      <w:bookmarkStart w:id="159" w:name="_Toc192687892"/>
      <w:bookmarkStart w:id="160" w:name="_Toc209972277"/>
      <w:bookmarkStart w:id="161" w:name="_Toc207986507"/>
      <w:bookmarkStart w:id="162" w:name="_Toc4075"/>
      <w:bookmarkStart w:id="163" w:name="_Toc208330453"/>
      <w:r>
        <w:t xml:space="preserve">5.1 </w:t>
      </w:r>
      <w:r>
        <w:rPr>
          <w:rFonts w:hint="eastAsia"/>
        </w:rPr>
        <w:t>参与</w:t>
      </w:r>
      <w:r>
        <w:t>主体与</w:t>
      </w:r>
      <w:bookmarkEnd w:id="159"/>
      <w:r>
        <w:rPr>
          <w:rFonts w:hint="eastAsia"/>
        </w:rPr>
        <w:t>职责划分</w:t>
      </w:r>
      <w:bookmarkEnd w:id="160"/>
      <w:bookmarkEnd w:id="161"/>
      <w:bookmarkEnd w:id="162"/>
      <w:bookmarkEnd w:id="163"/>
    </w:p>
    <w:p w14:paraId="5544FC55">
      <w:pPr>
        <w:pStyle w:val="140"/>
        <w:numPr>
          <w:ilvl w:val="0"/>
          <w:numId w:val="18"/>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评价主体（委托方）责任：</w:t>
      </w:r>
    </w:p>
    <w:p w14:paraId="5291348D">
      <w:pPr>
        <w:pStyle w:val="140"/>
        <w:numPr>
          <w:ilvl w:val="0"/>
          <w:numId w:val="19"/>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明确评价范围、周期及目标；</w:t>
      </w:r>
    </w:p>
    <w:p w14:paraId="2799F6BE">
      <w:pPr>
        <w:pStyle w:val="140"/>
        <w:numPr>
          <w:ilvl w:val="0"/>
          <w:numId w:val="19"/>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协调报告主体提供完整数据；</w:t>
      </w:r>
    </w:p>
    <w:p w14:paraId="589B919E">
      <w:pPr>
        <w:pStyle w:val="140"/>
        <w:numPr>
          <w:ilvl w:val="0"/>
          <w:numId w:val="19"/>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承担评价结果应用责任（如标识申请、政策申报等）。</w:t>
      </w:r>
    </w:p>
    <w:p w14:paraId="632E35E2">
      <w:pPr>
        <w:pStyle w:val="140"/>
        <w:numPr>
          <w:ilvl w:val="0"/>
          <w:numId w:val="18"/>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报告主体（数据责任方）责任：</w:t>
      </w:r>
    </w:p>
    <w:p w14:paraId="7ED616FC">
      <w:pPr>
        <w:pStyle w:val="140"/>
        <w:numPr>
          <w:ilvl w:val="0"/>
          <w:numId w:val="2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提供绿电消费全量数据及溯源凭证；</w:t>
      </w:r>
    </w:p>
    <w:p w14:paraId="763CB35C">
      <w:pPr>
        <w:pStyle w:val="140"/>
        <w:numPr>
          <w:ilvl w:val="0"/>
          <w:numId w:val="2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确保数据真实性、完整性与合规性；</w:t>
      </w:r>
    </w:p>
    <w:p w14:paraId="11B9CD55">
      <w:pPr>
        <w:pStyle w:val="140"/>
        <w:numPr>
          <w:ilvl w:val="0"/>
          <w:numId w:val="2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配合评价机构核验及现场调查。</w:t>
      </w:r>
    </w:p>
    <w:p w14:paraId="2006E190">
      <w:pPr>
        <w:pStyle w:val="140"/>
        <w:numPr>
          <w:ilvl w:val="0"/>
          <w:numId w:val="18"/>
        </w:numPr>
        <w:spacing w:line="240" w:lineRule="auto"/>
        <w:ind w:leftChars="0" w:firstLineChars="0"/>
        <w:rPr>
          <w:rFonts w:hint="eastAsia" w:asciiTheme="minorEastAsia" w:hAnsiTheme="minorEastAsia" w:eastAsiaTheme="minorEastAsia"/>
          <w:sz w:val="21"/>
          <w:szCs w:val="21"/>
        </w:rPr>
      </w:pPr>
      <w:bookmarkStart w:id="164" w:name="OLE_LINK2"/>
      <w:r>
        <w:rPr>
          <w:rFonts w:hint="eastAsia" w:asciiTheme="minorEastAsia" w:hAnsiTheme="minorEastAsia" w:eastAsiaTheme="minorEastAsia"/>
          <w:sz w:val="21"/>
          <w:szCs w:val="21"/>
        </w:rPr>
        <w:t>评价机构</w:t>
      </w:r>
      <w:bookmarkEnd w:id="164"/>
      <w:r>
        <w:rPr>
          <w:rFonts w:hint="eastAsia" w:asciiTheme="minorEastAsia" w:hAnsiTheme="minorEastAsia" w:eastAsiaTheme="minorEastAsia"/>
          <w:sz w:val="21"/>
          <w:szCs w:val="21"/>
        </w:rPr>
        <w:t>（执行方）责任：</w:t>
      </w:r>
    </w:p>
    <w:p w14:paraId="4308272E">
      <w:pPr>
        <w:pStyle w:val="140"/>
        <w:numPr>
          <w:ilvl w:val="0"/>
          <w:numId w:val="21"/>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独立完成第三方核验；</w:t>
      </w:r>
    </w:p>
    <w:p w14:paraId="2AD3EFB2">
      <w:pPr>
        <w:pStyle w:val="140"/>
        <w:numPr>
          <w:ilvl w:val="0"/>
          <w:numId w:val="21"/>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核验数据并出具等级评定意见。</w:t>
      </w:r>
    </w:p>
    <w:p w14:paraId="1F9F4D4B">
      <w:pPr>
        <w:pStyle w:val="42"/>
        <w:numPr>
          <w:ilvl w:val="0"/>
          <w:numId w:val="0"/>
        </w:numPr>
        <w:spacing w:before="156" w:beforeLines="50" w:after="156" w:afterLines="50"/>
      </w:pPr>
      <w:bookmarkStart w:id="165" w:name="_Toc5275"/>
      <w:bookmarkStart w:id="166" w:name="_Toc192687893"/>
      <w:bookmarkStart w:id="167" w:name="_Toc207986508"/>
      <w:bookmarkStart w:id="168" w:name="_Toc208330454"/>
      <w:bookmarkStart w:id="169" w:name="_Toc209972278"/>
      <w:r>
        <w:t>5.2 评价方法与证据收集</w:t>
      </w:r>
      <w:bookmarkEnd w:id="165"/>
      <w:bookmarkEnd w:id="166"/>
      <w:bookmarkEnd w:id="167"/>
      <w:bookmarkEnd w:id="168"/>
      <w:bookmarkEnd w:id="169"/>
    </w:p>
    <w:p w14:paraId="3D64F09E">
      <w:pPr>
        <w:pStyle w:val="140"/>
        <w:spacing w:line="240" w:lineRule="auto"/>
        <w:ind w:leftChars="0" w:firstLine="420"/>
        <w:rPr>
          <w:rFonts w:hint="eastAsia" w:asciiTheme="minorEastAsia" w:hAnsiTheme="minorEastAsia" w:eastAsiaTheme="minorEastAsia"/>
          <w:sz w:val="21"/>
          <w:szCs w:val="21"/>
        </w:rPr>
      </w:pPr>
      <w:r>
        <w:rPr>
          <w:rFonts w:asciiTheme="minorEastAsia" w:hAnsiTheme="minorEastAsia" w:eastAsiaTheme="minorEastAsia"/>
          <w:sz w:val="21"/>
          <w:szCs w:val="21"/>
        </w:rPr>
        <w:t>评价方应通过以下方式确保评价证据的完整性和准确性：</w:t>
      </w:r>
    </w:p>
    <w:p w14:paraId="646FA3FB">
      <w:pPr>
        <w:pStyle w:val="140"/>
        <w:numPr>
          <w:ilvl w:val="0"/>
          <w:numId w:val="22"/>
        </w:numPr>
        <w:spacing w:line="240" w:lineRule="auto"/>
        <w:ind w:leftChars="0" w:firstLineChars="0"/>
        <w:rPr>
          <w:rFonts w:hint="eastAsia" w:asciiTheme="minorEastAsia" w:hAnsiTheme="minorEastAsia" w:eastAsiaTheme="minorEastAsia"/>
          <w:sz w:val="21"/>
          <w:szCs w:val="21"/>
        </w:rPr>
      </w:pPr>
      <w:r>
        <w:rPr>
          <w:rFonts w:asciiTheme="minorEastAsia" w:hAnsiTheme="minorEastAsia" w:eastAsiaTheme="minorEastAsia"/>
          <w:sz w:val="21"/>
          <w:szCs w:val="21"/>
        </w:rPr>
        <w:t>数据核查：</w:t>
      </w:r>
    </w:p>
    <w:p w14:paraId="29F2B212">
      <w:pPr>
        <w:pStyle w:val="140"/>
        <w:numPr>
          <w:ilvl w:val="0"/>
          <w:numId w:val="23"/>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核验绿色电力证书核销凭证中的绿色电力证书编号、核销时间、对应电量及项目建档立卡信息，确保绿色电力证书来源合规</w:t>
      </w:r>
      <w:r>
        <w:rPr>
          <w:rFonts w:asciiTheme="minorEastAsia" w:hAnsiTheme="minorEastAsia" w:eastAsiaTheme="minorEastAsia"/>
          <w:sz w:val="21"/>
          <w:szCs w:val="21"/>
        </w:rPr>
        <w:t>；</w:t>
      </w:r>
    </w:p>
    <w:p w14:paraId="5EA626DE">
      <w:pPr>
        <w:pStyle w:val="140"/>
        <w:numPr>
          <w:ilvl w:val="0"/>
          <w:numId w:val="23"/>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验证自发自用绿电的发电量、上网电量及消纳量的匹配性，需提供经法定计量机构出具的校准证书及存证链接；</w:t>
      </w:r>
    </w:p>
    <w:p w14:paraId="272DF3AF">
      <w:pPr>
        <w:pStyle w:val="140"/>
        <w:numPr>
          <w:ilvl w:val="0"/>
          <w:numId w:val="23"/>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要求交易结算凭证包含存证链接，确保数据全生命周期可追溯；</w:t>
      </w:r>
    </w:p>
    <w:p w14:paraId="28EA3CAB">
      <w:pPr>
        <w:pStyle w:val="140"/>
        <w:numPr>
          <w:ilvl w:val="0"/>
          <w:numId w:val="23"/>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核查追溯精确度、边际贡献度和购用时序匹配度时，确认企业是否具有相应数据用以实现绿电溯源</w:t>
      </w:r>
      <w:r>
        <w:rPr>
          <w:rFonts w:asciiTheme="minorEastAsia" w:hAnsiTheme="minorEastAsia" w:eastAsiaTheme="minorEastAsia"/>
          <w:sz w:val="21"/>
          <w:szCs w:val="21"/>
        </w:rPr>
        <w:t>。</w:t>
      </w:r>
    </w:p>
    <w:p w14:paraId="3D263986">
      <w:pPr>
        <w:pStyle w:val="140"/>
        <w:numPr>
          <w:ilvl w:val="0"/>
          <w:numId w:val="22"/>
        </w:numPr>
        <w:spacing w:line="240" w:lineRule="auto"/>
        <w:ind w:leftChars="0" w:firstLineChars="0"/>
        <w:rPr>
          <w:rFonts w:hint="eastAsia" w:asciiTheme="minorEastAsia" w:hAnsiTheme="minorEastAsia" w:eastAsiaTheme="minorEastAsia"/>
          <w:sz w:val="21"/>
          <w:szCs w:val="21"/>
        </w:rPr>
      </w:pPr>
      <w:r>
        <w:rPr>
          <w:rFonts w:asciiTheme="minorEastAsia" w:hAnsiTheme="minorEastAsia" w:eastAsiaTheme="minorEastAsia"/>
          <w:sz w:val="21"/>
          <w:szCs w:val="21"/>
        </w:rPr>
        <w:t>现场调查：</w:t>
      </w:r>
    </w:p>
    <w:p w14:paraId="7E799581">
      <w:pPr>
        <w:pStyle w:val="140"/>
        <w:numPr>
          <w:ilvl w:val="0"/>
          <w:numId w:val="24"/>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现场检查分布式能源设施时，需核查法定计量机构出具的校准证书</w:t>
      </w:r>
      <w:r>
        <w:rPr>
          <w:rFonts w:asciiTheme="minorEastAsia" w:hAnsiTheme="minorEastAsia" w:eastAsiaTheme="minorEastAsia"/>
          <w:sz w:val="21"/>
          <w:szCs w:val="21"/>
        </w:rPr>
        <w:t>；</w:t>
      </w:r>
    </w:p>
    <w:p w14:paraId="19696F2D">
      <w:pPr>
        <w:pStyle w:val="140"/>
        <w:numPr>
          <w:ilvl w:val="0"/>
          <w:numId w:val="24"/>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抽查绿电消费台账时，验证台账与购电合同、结算单、发票、银行支付凭证的对应关系，并抽查交易记录；存证数据覆盖的交易记录可豁免现场抽查</w:t>
      </w:r>
      <w:r>
        <w:rPr>
          <w:rFonts w:asciiTheme="minorEastAsia" w:hAnsiTheme="minorEastAsia" w:eastAsiaTheme="minorEastAsia"/>
          <w:sz w:val="21"/>
          <w:szCs w:val="21"/>
        </w:rPr>
        <w:t>。</w:t>
      </w:r>
    </w:p>
    <w:p w14:paraId="7CDAC7D1">
      <w:pPr>
        <w:pStyle w:val="140"/>
        <w:numPr>
          <w:ilvl w:val="0"/>
          <w:numId w:val="22"/>
        </w:numPr>
        <w:spacing w:line="240" w:lineRule="auto"/>
        <w:ind w:leftChars="0" w:firstLineChars="0"/>
        <w:rPr>
          <w:rFonts w:hint="eastAsia" w:asciiTheme="minorEastAsia" w:hAnsiTheme="minorEastAsia" w:eastAsiaTheme="minorEastAsia"/>
          <w:sz w:val="21"/>
          <w:szCs w:val="21"/>
        </w:rPr>
      </w:pPr>
      <w:r>
        <w:rPr>
          <w:rFonts w:asciiTheme="minorEastAsia" w:hAnsiTheme="minorEastAsia" w:eastAsiaTheme="minorEastAsia"/>
          <w:sz w:val="21"/>
          <w:szCs w:val="21"/>
        </w:rPr>
        <w:t>人员访谈：</w:t>
      </w:r>
    </w:p>
    <w:p w14:paraId="70309F26">
      <w:pPr>
        <w:pStyle w:val="140"/>
        <w:numPr>
          <w:ilvl w:val="0"/>
          <w:numId w:val="25"/>
        </w:numPr>
        <w:spacing w:line="240" w:lineRule="auto"/>
        <w:ind w:leftChars="0" w:firstLineChars="0"/>
        <w:rPr>
          <w:rFonts w:hint="eastAsia" w:asciiTheme="minorEastAsia" w:hAnsiTheme="minorEastAsia" w:eastAsiaTheme="minorEastAsia"/>
          <w:sz w:val="21"/>
          <w:szCs w:val="21"/>
        </w:rPr>
      </w:pPr>
      <w:r>
        <w:rPr>
          <w:rFonts w:asciiTheme="minorEastAsia" w:hAnsiTheme="minorEastAsia" w:eastAsiaTheme="minorEastAsia"/>
          <w:sz w:val="21"/>
          <w:szCs w:val="21"/>
        </w:rPr>
        <w:t>访谈能源管理负责人，确认绿电采购策略及数据管理流程；</w:t>
      </w:r>
    </w:p>
    <w:p w14:paraId="14566952">
      <w:pPr>
        <w:pStyle w:val="140"/>
        <w:numPr>
          <w:ilvl w:val="0"/>
          <w:numId w:val="25"/>
        </w:numPr>
        <w:spacing w:line="240" w:lineRule="auto"/>
        <w:ind w:leftChars="0" w:firstLineChars="0"/>
        <w:rPr>
          <w:rFonts w:hint="eastAsia" w:asciiTheme="minorEastAsia" w:hAnsiTheme="minorEastAsia" w:eastAsiaTheme="minorEastAsia"/>
          <w:sz w:val="21"/>
          <w:szCs w:val="21"/>
        </w:rPr>
      </w:pPr>
      <w:r>
        <w:rPr>
          <w:rFonts w:asciiTheme="minorEastAsia" w:hAnsiTheme="minorEastAsia" w:eastAsiaTheme="minorEastAsia"/>
          <w:sz w:val="21"/>
          <w:szCs w:val="21"/>
        </w:rPr>
        <w:t>访谈能源管理负责人</w:t>
      </w:r>
      <w:r>
        <w:rPr>
          <w:rFonts w:hint="eastAsia" w:asciiTheme="minorEastAsia" w:hAnsiTheme="minorEastAsia" w:eastAsiaTheme="minorEastAsia"/>
          <w:sz w:val="21"/>
          <w:szCs w:val="21"/>
        </w:rPr>
        <w:t>，确认追溯精确度、边际贡献度和购用时序匹配度等相应信息</w:t>
      </w:r>
      <w:r>
        <w:rPr>
          <w:rFonts w:asciiTheme="minorEastAsia" w:hAnsiTheme="minorEastAsia" w:eastAsiaTheme="minorEastAsia"/>
          <w:sz w:val="21"/>
          <w:szCs w:val="21"/>
        </w:rPr>
        <w:t>。</w:t>
      </w:r>
    </w:p>
    <w:p w14:paraId="521333A6">
      <w:pPr>
        <w:pStyle w:val="140"/>
        <w:numPr>
          <w:ilvl w:val="0"/>
          <w:numId w:val="22"/>
        </w:numPr>
        <w:spacing w:line="240" w:lineRule="auto"/>
        <w:ind w:leftChars="0" w:firstLineChars="0"/>
        <w:rPr>
          <w:rFonts w:hint="eastAsia" w:asciiTheme="minorEastAsia" w:hAnsiTheme="minorEastAsia" w:eastAsiaTheme="minorEastAsia"/>
          <w:sz w:val="21"/>
          <w:szCs w:val="21"/>
        </w:rPr>
      </w:pPr>
      <w:bookmarkStart w:id="170" w:name="_Toc192687894"/>
      <w:r>
        <w:rPr>
          <w:rFonts w:hint="eastAsia" w:asciiTheme="minorEastAsia" w:hAnsiTheme="minorEastAsia" w:eastAsiaTheme="minorEastAsia"/>
          <w:sz w:val="21"/>
          <w:szCs w:val="21"/>
        </w:rPr>
        <w:t>数据保存期限：</w:t>
      </w:r>
    </w:p>
    <w:p w14:paraId="45B13E5F">
      <w:pPr>
        <w:pStyle w:val="140"/>
        <w:numPr>
          <w:ilvl w:val="0"/>
          <w:numId w:val="26"/>
        </w:numPr>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绿色电力证书、其核销记录及交易凭证的保存期限，应不少于绿色电力证书有效期届满后5年；</w:t>
      </w:r>
    </w:p>
    <w:p w14:paraId="3BB29EE6">
      <w:pPr>
        <w:pStyle w:val="140"/>
        <w:numPr>
          <w:ilvl w:val="0"/>
          <w:numId w:val="26"/>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能源计量数据及有关测试记录、报告的保存期限，应不少于5年。</w:t>
      </w:r>
    </w:p>
    <w:p w14:paraId="4E86B5F8">
      <w:pPr>
        <w:pStyle w:val="42"/>
        <w:numPr>
          <w:ilvl w:val="0"/>
          <w:numId w:val="0"/>
        </w:numPr>
        <w:spacing w:before="156" w:beforeLines="50" w:after="156" w:afterLines="50"/>
      </w:pPr>
      <w:bookmarkStart w:id="171" w:name="_Toc209972279"/>
      <w:bookmarkStart w:id="172" w:name="_Toc208330455"/>
      <w:bookmarkStart w:id="173" w:name="_Toc207986509"/>
      <w:bookmarkStart w:id="174" w:name="_Toc23053"/>
      <w:r>
        <w:t>5.3 评价周期</w:t>
      </w:r>
      <w:bookmarkEnd w:id="170"/>
      <w:bookmarkEnd w:id="171"/>
      <w:bookmarkEnd w:id="172"/>
      <w:bookmarkEnd w:id="173"/>
      <w:bookmarkEnd w:id="174"/>
    </w:p>
    <w:p w14:paraId="20FFD1D3">
      <w:pPr>
        <w:pStyle w:val="140"/>
        <w:numPr>
          <w:ilvl w:val="255"/>
          <w:numId w:val="0"/>
        </w:numPr>
        <w:spacing w:line="240" w:lineRule="auto"/>
        <w:ind w:left="420" w:leftChars="200"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评价周期为自然年，评价结果有效期1年。</w:t>
      </w:r>
    </w:p>
    <w:p w14:paraId="11214041">
      <w:pPr>
        <w:pStyle w:val="42"/>
        <w:spacing w:before="312" w:after="312"/>
      </w:pPr>
      <w:bookmarkStart w:id="175" w:name="_Toc8609"/>
      <w:r>
        <w:t>评价指标</w:t>
      </w:r>
      <w:bookmarkEnd w:id="175"/>
    </w:p>
    <w:p w14:paraId="43AAC4B8">
      <w:pPr>
        <w:pStyle w:val="42"/>
        <w:numPr>
          <w:ilvl w:val="0"/>
          <w:numId w:val="0"/>
        </w:numPr>
        <w:spacing w:before="156" w:beforeLines="50" w:after="156" w:afterLines="50"/>
      </w:pPr>
      <w:bookmarkStart w:id="176" w:name="_Toc207986511"/>
      <w:bookmarkStart w:id="177" w:name="_Toc209972281"/>
      <w:bookmarkStart w:id="178" w:name="_Toc208330457"/>
      <w:bookmarkStart w:id="179" w:name="_Toc192687896"/>
      <w:bookmarkStart w:id="180" w:name="_Toc3031"/>
      <w:r>
        <w:t xml:space="preserve">6.1 </w:t>
      </w:r>
      <w:bookmarkStart w:id="181" w:name="_Hlk201307839"/>
      <w:r>
        <w:t>指标体系</w:t>
      </w:r>
      <w:bookmarkEnd w:id="176"/>
      <w:bookmarkEnd w:id="177"/>
      <w:bookmarkEnd w:id="178"/>
      <w:bookmarkEnd w:id="179"/>
      <w:bookmarkEnd w:id="180"/>
      <w:bookmarkEnd w:id="181"/>
    </w:p>
    <w:p w14:paraId="0949AF26">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对绿色电力消费评价的指标体系主要由四个维度构成，分别是</w:t>
      </w:r>
      <w:r>
        <w:rPr>
          <w:rFonts w:asciiTheme="minorEastAsia" w:hAnsiTheme="minorEastAsia" w:eastAsiaTheme="minorEastAsia"/>
          <w:sz w:val="21"/>
          <w:szCs w:val="21"/>
        </w:rPr>
        <w:t>绿色电力消费比例</w:t>
      </w:r>
      <w:r>
        <w:rPr>
          <w:rFonts w:hint="eastAsia" w:asciiTheme="minorEastAsia" w:hAnsiTheme="minorEastAsia" w:eastAsiaTheme="minorEastAsia"/>
          <w:sz w:val="21"/>
          <w:szCs w:val="21"/>
        </w:rPr>
        <w:t>、</w:t>
      </w:r>
      <w:r>
        <w:rPr>
          <w:rFonts w:asciiTheme="minorEastAsia" w:hAnsiTheme="minorEastAsia" w:eastAsiaTheme="minorEastAsia"/>
          <w:sz w:val="21"/>
          <w:szCs w:val="21"/>
        </w:rPr>
        <w:t>追溯精确度</w:t>
      </w:r>
      <w:r>
        <w:rPr>
          <w:rFonts w:hint="eastAsia" w:asciiTheme="minorEastAsia" w:hAnsiTheme="minorEastAsia" w:eastAsiaTheme="minorEastAsia"/>
          <w:sz w:val="21"/>
          <w:szCs w:val="21"/>
        </w:rPr>
        <w:t>、边际贡献度和购用时序匹配度。具体指标如表1所示。</w:t>
      </w:r>
      <w:r>
        <w:rPr>
          <w:rFonts w:asciiTheme="minorEastAsia" w:hAnsiTheme="minorEastAsia" w:eastAsiaTheme="minorEastAsia"/>
          <w:sz w:val="21"/>
          <w:szCs w:val="21"/>
        </w:rPr>
        <w:t>绿色电力消费总量</w:t>
      </w:r>
      <w:r>
        <w:rPr>
          <w:rFonts w:hint="eastAsia" w:asciiTheme="minorEastAsia" w:hAnsiTheme="minorEastAsia" w:eastAsiaTheme="minorEastAsia"/>
          <w:sz w:val="21"/>
          <w:szCs w:val="21"/>
        </w:rPr>
        <w:t>仅在过程计算中使用。</w:t>
      </w:r>
    </w:p>
    <w:p w14:paraId="6AD0F249">
      <w:pPr>
        <w:pStyle w:val="141"/>
        <w:spacing w:line="240" w:lineRule="auto"/>
        <w:jc w:val="center"/>
        <w:rPr>
          <w:rFonts w:hint="eastAsia" w:ascii="黑体" w:hAnsi="黑体" w:eastAsia="黑体"/>
          <w:sz w:val="21"/>
          <w:szCs w:val="21"/>
        </w:rPr>
      </w:pPr>
      <w:r>
        <w:rPr>
          <w:rFonts w:hint="eastAsia" w:ascii="黑体" w:hAnsi="黑体" w:eastAsia="黑体"/>
          <w:sz w:val="21"/>
          <w:szCs w:val="21"/>
        </w:rPr>
        <w:t>表1 指标体系表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88"/>
        <w:gridCol w:w="2487"/>
        <w:gridCol w:w="5670"/>
      </w:tblGrid>
      <w:tr w14:paraId="2020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815" w:type="pct"/>
            <w:noWrap/>
            <w:tcMar>
              <w:top w:w="90" w:type="dxa"/>
              <w:left w:w="195" w:type="dxa"/>
              <w:bottom w:w="90" w:type="dxa"/>
              <w:right w:w="195" w:type="dxa"/>
            </w:tcMar>
            <w:vAlign w:val="center"/>
          </w:tcPr>
          <w:p w14:paraId="6CEBBE2C">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指标类型</w:t>
            </w:r>
          </w:p>
        </w:tc>
        <w:tc>
          <w:tcPr>
            <w:tcW w:w="1276" w:type="pct"/>
            <w:noWrap/>
            <w:tcMar>
              <w:top w:w="90" w:type="dxa"/>
              <w:left w:w="195" w:type="dxa"/>
              <w:bottom w:w="90" w:type="dxa"/>
              <w:right w:w="195" w:type="dxa"/>
            </w:tcMar>
            <w:vAlign w:val="center"/>
          </w:tcPr>
          <w:p w14:paraId="2AEB8E4E">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指标名称</w:t>
            </w:r>
          </w:p>
        </w:tc>
        <w:tc>
          <w:tcPr>
            <w:tcW w:w="2909" w:type="pct"/>
            <w:noWrap/>
            <w:tcMar>
              <w:top w:w="90" w:type="dxa"/>
              <w:left w:w="195" w:type="dxa"/>
              <w:bottom w:w="90" w:type="dxa"/>
              <w:right w:w="195" w:type="dxa"/>
            </w:tcMar>
            <w:vAlign w:val="center"/>
          </w:tcPr>
          <w:p w14:paraId="29BF049A">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定义与计算方法</w:t>
            </w:r>
          </w:p>
        </w:tc>
      </w:tr>
      <w:tr w14:paraId="1783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5" w:type="pct"/>
            <w:vMerge w:val="restart"/>
            <w:tcMar>
              <w:top w:w="90" w:type="dxa"/>
              <w:left w:w="195" w:type="dxa"/>
              <w:bottom w:w="90" w:type="dxa"/>
              <w:right w:w="195" w:type="dxa"/>
            </w:tcMar>
            <w:vAlign w:val="center"/>
          </w:tcPr>
          <w:p w14:paraId="1500D172">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基础指标</w:t>
            </w:r>
          </w:p>
        </w:tc>
        <w:tc>
          <w:tcPr>
            <w:tcW w:w="1276" w:type="pct"/>
            <w:tcMar>
              <w:top w:w="90" w:type="dxa"/>
              <w:left w:w="195" w:type="dxa"/>
              <w:bottom w:w="90" w:type="dxa"/>
              <w:right w:w="195" w:type="dxa"/>
            </w:tcMar>
            <w:vAlign w:val="center"/>
          </w:tcPr>
          <w:p w14:paraId="5B6FB9DC">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绿色电力消费总量</w:t>
            </w:r>
          </w:p>
        </w:tc>
        <w:tc>
          <w:tcPr>
            <w:tcW w:w="2909" w:type="pct"/>
            <w:tcMar>
              <w:top w:w="90" w:type="dxa"/>
              <w:left w:w="195" w:type="dxa"/>
              <w:bottom w:w="90" w:type="dxa"/>
              <w:right w:w="195" w:type="dxa"/>
            </w:tcMar>
            <w:vAlign w:val="center"/>
          </w:tcPr>
          <w:p w14:paraId="683A16A5">
            <w:pPr>
              <w:pStyle w:val="141"/>
              <w:spacing w:line="240" w:lineRule="auto"/>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电力用户在核算周期内直接消费绿色电力电量、通过绿色电力交易获得绿色电力电量、通过绿色电力证书交易获得绿色电力证书表征电量的总和。</w:t>
            </w:r>
          </w:p>
        </w:tc>
      </w:tr>
      <w:tr w14:paraId="0844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5" w:type="pct"/>
            <w:vMerge w:val="continue"/>
            <w:tcMar>
              <w:top w:w="90" w:type="dxa"/>
              <w:left w:w="195" w:type="dxa"/>
              <w:bottom w:w="90" w:type="dxa"/>
              <w:right w:w="195" w:type="dxa"/>
            </w:tcMar>
            <w:vAlign w:val="center"/>
          </w:tcPr>
          <w:p w14:paraId="2F2E83CD">
            <w:pPr>
              <w:pStyle w:val="141"/>
              <w:spacing w:line="240" w:lineRule="auto"/>
              <w:jc w:val="center"/>
              <w:rPr>
                <w:rFonts w:hint="eastAsia" w:asciiTheme="minorEastAsia" w:hAnsiTheme="minorEastAsia" w:eastAsiaTheme="minorEastAsia"/>
                <w:sz w:val="18"/>
                <w:szCs w:val="18"/>
              </w:rPr>
            </w:pPr>
          </w:p>
        </w:tc>
        <w:tc>
          <w:tcPr>
            <w:tcW w:w="1276" w:type="pct"/>
            <w:tcMar>
              <w:top w:w="90" w:type="dxa"/>
              <w:left w:w="195" w:type="dxa"/>
              <w:bottom w:w="90" w:type="dxa"/>
              <w:right w:w="195" w:type="dxa"/>
            </w:tcMar>
            <w:vAlign w:val="center"/>
          </w:tcPr>
          <w:p w14:paraId="26832066">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绿色电力消费比例</w:t>
            </w:r>
          </w:p>
        </w:tc>
        <w:tc>
          <w:tcPr>
            <w:tcW w:w="2909" w:type="pct"/>
            <w:tcMar>
              <w:top w:w="90" w:type="dxa"/>
              <w:left w:w="195" w:type="dxa"/>
              <w:bottom w:w="90" w:type="dxa"/>
              <w:right w:w="195" w:type="dxa"/>
            </w:tcMar>
            <w:vAlign w:val="center"/>
          </w:tcPr>
          <w:p w14:paraId="0F7EA321">
            <w:pPr>
              <w:pStyle w:val="141"/>
              <w:spacing w:line="240" w:lineRule="auto"/>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核算边界内，电力用户绿色电力消费总量占电力用户用电量的比例。</w:t>
            </w:r>
          </w:p>
        </w:tc>
      </w:tr>
      <w:tr w14:paraId="001D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5" w:type="pct"/>
            <w:vMerge w:val="restart"/>
            <w:tcMar>
              <w:top w:w="90" w:type="dxa"/>
              <w:left w:w="195" w:type="dxa"/>
              <w:bottom w:w="90" w:type="dxa"/>
              <w:right w:w="195" w:type="dxa"/>
            </w:tcMar>
            <w:vAlign w:val="center"/>
          </w:tcPr>
          <w:p w14:paraId="537A4208">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进阶指标</w:t>
            </w:r>
          </w:p>
        </w:tc>
        <w:tc>
          <w:tcPr>
            <w:tcW w:w="1276" w:type="pct"/>
            <w:tcMar>
              <w:top w:w="90" w:type="dxa"/>
              <w:left w:w="195" w:type="dxa"/>
              <w:bottom w:w="90" w:type="dxa"/>
              <w:right w:w="195" w:type="dxa"/>
            </w:tcMar>
            <w:vAlign w:val="center"/>
          </w:tcPr>
          <w:p w14:paraId="14441C1A">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追溯精确度</w:t>
            </w:r>
          </w:p>
        </w:tc>
        <w:tc>
          <w:tcPr>
            <w:tcW w:w="2909" w:type="pct"/>
            <w:tcMar>
              <w:top w:w="90" w:type="dxa"/>
              <w:left w:w="195" w:type="dxa"/>
              <w:bottom w:w="90" w:type="dxa"/>
              <w:right w:w="195" w:type="dxa"/>
            </w:tcMar>
            <w:vAlign w:val="center"/>
          </w:tcPr>
          <w:p w14:paraId="13F6DA34">
            <w:pPr>
              <w:pStyle w:val="141"/>
              <w:spacing w:line="240" w:lineRule="auto"/>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通过路径溯源、合约溯源、实测溯源等多种溯源方式验证绿电消费真实性与透明度</w:t>
            </w:r>
          </w:p>
        </w:tc>
      </w:tr>
      <w:tr w14:paraId="296E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5" w:type="pct"/>
            <w:vMerge w:val="continue"/>
            <w:tcMar>
              <w:top w:w="90" w:type="dxa"/>
              <w:left w:w="195" w:type="dxa"/>
              <w:bottom w:w="90" w:type="dxa"/>
              <w:right w:w="195" w:type="dxa"/>
            </w:tcMar>
            <w:vAlign w:val="center"/>
          </w:tcPr>
          <w:p w14:paraId="1028DF1F">
            <w:pPr>
              <w:pStyle w:val="141"/>
              <w:spacing w:line="240" w:lineRule="auto"/>
              <w:jc w:val="center"/>
              <w:rPr>
                <w:rFonts w:hint="eastAsia" w:asciiTheme="minorEastAsia" w:hAnsiTheme="minorEastAsia" w:eastAsiaTheme="minorEastAsia"/>
                <w:sz w:val="18"/>
                <w:szCs w:val="18"/>
              </w:rPr>
            </w:pPr>
          </w:p>
        </w:tc>
        <w:tc>
          <w:tcPr>
            <w:tcW w:w="1276" w:type="pct"/>
            <w:tcMar>
              <w:top w:w="90" w:type="dxa"/>
              <w:left w:w="195" w:type="dxa"/>
              <w:bottom w:w="90" w:type="dxa"/>
              <w:right w:w="195" w:type="dxa"/>
            </w:tcMar>
            <w:vAlign w:val="center"/>
          </w:tcPr>
          <w:p w14:paraId="0B046DCD">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边际贡献度</w:t>
            </w:r>
          </w:p>
        </w:tc>
        <w:tc>
          <w:tcPr>
            <w:tcW w:w="2909" w:type="pct"/>
            <w:tcMar>
              <w:top w:w="90" w:type="dxa"/>
              <w:left w:w="195" w:type="dxa"/>
              <w:bottom w:w="90" w:type="dxa"/>
              <w:right w:w="195" w:type="dxa"/>
            </w:tcMar>
            <w:vAlign w:val="center"/>
          </w:tcPr>
          <w:p w14:paraId="43F50288">
            <w:pPr>
              <w:pStyle w:val="141"/>
              <w:spacing w:line="240" w:lineRule="auto"/>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评估对提升可再生电源投资的贡献程度，对能源零碳转型的边际贡献</w:t>
            </w:r>
          </w:p>
        </w:tc>
      </w:tr>
      <w:tr w14:paraId="08EF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7" w:hRule="atLeast"/>
          <w:jc w:val="center"/>
        </w:trPr>
        <w:tc>
          <w:tcPr>
            <w:tcW w:w="815" w:type="pct"/>
            <w:vMerge w:val="continue"/>
            <w:tcMar>
              <w:top w:w="90" w:type="dxa"/>
              <w:left w:w="195" w:type="dxa"/>
              <w:bottom w:w="90" w:type="dxa"/>
              <w:right w:w="195" w:type="dxa"/>
            </w:tcMar>
            <w:vAlign w:val="center"/>
          </w:tcPr>
          <w:p w14:paraId="21CAFFB7">
            <w:pPr>
              <w:pStyle w:val="141"/>
              <w:spacing w:line="240" w:lineRule="auto"/>
              <w:jc w:val="center"/>
              <w:rPr>
                <w:rFonts w:hint="eastAsia" w:asciiTheme="minorEastAsia" w:hAnsiTheme="minorEastAsia" w:eastAsiaTheme="minorEastAsia"/>
                <w:sz w:val="18"/>
                <w:szCs w:val="18"/>
              </w:rPr>
            </w:pPr>
          </w:p>
        </w:tc>
        <w:tc>
          <w:tcPr>
            <w:tcW w:w="1276" w:type="pct"/>
            <w:tcMar>
              <w:top w:w="90" w:type="dxa"/>
              <w:left w:w="195" w:type="dxa"/>
              <w:bottom w:w="90" w:type="dxa"/>
              <w:right w:w="195" w:type="dxa"/>
            </w:tcMar>
            <w:vAlign w:val="center"/>
          </w:tcPr>
          <w:p w14:paraId="03C0C9C7">
            <w:pPr>
              <w:pStyle w:val="141"/>
              <w:spacing w:line="240" w:lineRule="auto"/>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购用时序匹配度</w:t>
            </w:r>
          </w:p>
        </w:tc>
        <w:tc>
          <w:tcPr>
            <w:tcW w:w="2909" w:type="pct"/>
            <w:tcMar>
              <w:top w:w="90" w:type="dxa"/>
              <w:left w:w="195" w:type="dxa"/>
              <w:bottom w:w="90" w:type="dxa"/>
              <w:right w:w="195" w:type="dxa"/>
            </w:tcMar>
            <w:vAlign w:val="center"/>
          </w:tcPr>
          <w:p w14:paraId="160996E9">
            <w:pPr>
              <w:pStyle w:val="141"/>
              <w:spacing w:line="240" w:lineRule="auto"/>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衡量绿电消费与生产在时间维度的匹配性，反映对发电端或用电端具备电力调节与新能源消纳能力的价值</w:t>
            </w:r>
          </w:p>
        </w:tc>
      </w:tr>
    </w:tbl>
    <w:p w14:paraId="594FF4D6">
      <w:pPr>
        <w:pStyle w:val="42"/>
        <w:numPr>
          <w:ilvl w:val="0"/>
          <w:numId w:val="0"/>
        </w:numPr>
        <w:spacing w:before="156" w:beforeLines="50" w:after="156" w:afterLines="50"/>
      </w:pPr>
      <w:bookmarkStart w:id="182" w:name="_Toc192687897"/>
      <w:bookmarkStart w:id="183" w:name="_Toc12372"/>
      <w:bookmarkStart w:id="184" w:name="_Toc207986512"/>
      <w:bookmarkStart w:id="185" w:name="_Toc209972282"/>
      <w:bookmarkStart w:id="186" w:name="_Toc208330458"/>
      <w:r>
        <w:t xml:space="preserve">6.2 </w:t>
      </w:r>
      <w:r>
        <w:rPr>
          <w:rFonts w:hint="eastAsia"/>
        </w:rPr>
        <w:t>进阶</w:t>
      </w:r>
      <w:r>
        <w:t>指标</w:t>
      </w:r>
      <w:bookmarkEnd w:id="182"/>
      <w:r>
        <w:rPr>
          <w:rFonts w:hint="eastAsia"/>
        </w:rPr>
        <w:t>评分表</w:t>
      </w:r>
      <w:bookmarkEnd w:id="183"/>
      <w:bookmarkEnd w:id="184"/>
      <w:bookmarkEnd w:id="185"/>
      <w:bookmarkEnd w:id="186"/>
    </w:p>
    <w:p w14:paraId="6B709A4B">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表2、表4、表5提供了追溯精确度、边际贡献度和购用时序匹配度评价的评分表。</w:t>
      </w:r>
    </w:p>
    <w:p w14:paraId="59DC264E">
      <w:pPr>
        <w:pStyle w:val="141"/>
        <w:spacing w:line="240" w:lineRule="auto"/>
        <w:jc w:val="center"/>
        <w:rPr>
          <w:rFonts w:hint="eastAsia" w:ascii="黑体" w:hAnsi="黑体" w:eastAsia="黑体"/>
          <w:sz w:val="21"/>
          <w:szCs w:val="21"/>
        </w:rPr>
      </w:pPr>
      <w:r>
        <w:rPr>
          <w:rFonts w:hint="eastAsia" w:ascii="黑体" w:hAnsi="黑体" w:eastAsia="黑体"/>
          <w:sz w:val="21"/>
          <w:szCs w:val="21"/>
        </w:rPr>
        <w:t>表2 追溯精确度赋分表</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07"/>
        <w:gridCol w:w="1564"/>
      </w:tblGrid>
      <w:tr w14:paraId="783D3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83" w:type="pct"/>
          </w:tcPr>
          <w:p w14:paraId="6DB6704D">
            <w:pPr>
              <w:pStyle w:val="140"/>
              <w:spacing w:line="240" w:lineRule="auto"/>
              <w:ind w:leftChars="0" w:firstLine="0" w:firstLineChars="0"/>
              <w:rPr>
                <w:rFonts w:hint="eastAsia" w:asciiTheme="minorEastAsia" w:hAnsiTheme="minorEastAsia" w:eastAsiaTheme="minorEastAsia"/>
                <w:sz w:val="18"/>
                <w:szCs w:val="18"/>
              </w:rPr>
            </w:pPr>
            <w:r>
              <w:rPr>
                <w:rFonts w:asciiTheme="minorEastAsia" w:hAnsiTheme="minorEastAsia" w:eastAsiaTheme="minorEastAsia"/>
                <w:sz w:val="18"/>
                <w:szCs w:val="18"/>
              </w:rPr>
              <w:t>追溯精确度</w:t>
            </w:r>
          </w:p>
        </w:tc>
        <w:tc>
          <w:tcPr>
            <w:tcW w:w="817" w:type="pct"/>
            <w:vAlign w:val="center"/>
          </w:tcPr>
          <w:p w14:paraId="0AFF1E61">
            <w:pPr>
              <w:pStyle w:val="140"/>
              <w:spacing w:line="240" w:lineRule="auto"/>
              <w:ind w:leftChars="0" w:firstLine="0" w:firstLineChars="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赋分</w:t>
            </w:r>
          </w:p>
        </w:tc>
      </w:tr>
      <w:tr w14:paraId="44288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83" w:type="pct"/>
          </w:tcPr>
          <w:p w14:paraId="5EB3FDC5">
            <w:pPr>
              <w:pStyle w:val="140"/>
              <w:spacing w:line="240" w:lineRule="auto"/>
              <w:ind w:leftChars="0" w:firstLine="0" w:firstLineChars="0"/>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可通过路径溯源、合约溯源和证书溯源获取的绿色电力消费量，或通过实测溯源、合约溯源和证书溯源获取的绿色电力消费量</w:t>
            </w:r>
          </w:p>
        </w:tc>
        <w:tc>
          <w:tcPr>
            <w:tcW w:w="817" w:type="pct"/>
            <w:vAlign w:val="center"/>
          </w:tcPr>
          <w:p w14:paraId="3A1B4B67">
            <w:pPr>
              <w:pStyle w:val="140"/>
              <w:spacing w:line="240" w:lineRule="auto"/>
              <w:ind w:leftChars="0" w:firstLine="0" w:firstLineChars="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r>
      <w:tr w14:paraId="14DDE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83" w:type="pct"/>
          </w:tcPr>
          <w:p w14:paraId="624DBA28">
            <w:pPr>
              <w:pStyle w:val="140"/>
              <w:spacing w:line="240" w:lineRule="auto"/>
              <w:ind w:leftChars="0" w:firstLine="0" w:firstLineChars="0"/>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能通过合约溯源和证书溯源的绿色电力消费量</w:t>
            </w:r>
          </w:p>
        </w:tc>
        <w:tc>
          <w:tcPr>
            <w:tcW w:w="817" w:type="pct"/>
            <w:vAlign w:val="center"/>
          </w:tcPr>
          <w:p w14:paraId="5AEB6DBE">
            <w:pPr>
              <w:pStyle w:val="140"/>
              <w:spacing w:line="240" w:lineRule="auto"/>
              <w:ind w:leftChars="0" w:firstLine="0" w:firstLineChars="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r>
      <w:tr w14:paraId="1FF83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83" w:type="pct"/>
          </w:tcPr>
          <w:p w14:paraId="2074D18C">
            <w:pPr>
              <w:pStyle w:val="140"/>
              <w:spacing w:line="240" w:lineRule="auto"/>
              <w:ind w:leftChars="0" w:firstLine="0" w:firstLineChars="0"/>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仅能通过证书溯源的绿色电力消费量</w:t>
            </w:r>
          </w:p>
        </w:tc>
        <w:tc>
          <w:tcPr>
            <w:tcW w:w="817" w:type="pct"/>
            <w:vAlign w:val="center"/>
          </w:tcPr>
          <w:p w14:paraId="3C97A095">
            <w:pPr>
              <w:pStyle w:val="140"/>
              <w:spacing w:line="240" w:lineRule="auto"/>
              <w:ind w:leftChars="0" w:firstLine="0" w:firstLineChars="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r>
    </w:tbl>
    <w:p w14:paraId="10F6F5BF">
      <w:pPr>
        <w:pStyle w:val="141"/>
        <w:spacing w:line="240" w:lineRule="auto"/>
        <w:jc w:val="center"/>
        <w:rPr>
          <w:rFonts w:hint="eastAsia" w:asciiTheme="minorEastAsia" w:hAnsiTheme="minorEastAsia" w:eastAsiaTheme="minorEastAsia"/>
          <w:sz w:val="21"/>
          <w:szCs w:val="21"/>
        </w:rPr>
      </w:pPr>
    </w:p>
    <w:p w14:paraId="6D3E6279">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表2中对应的绿电消费溯源方式，应按照表3进行相应的溯源，明确定义绿电消费特征，识别并记录关键信息。核算边界内的绿色电力消费总量，应通过安装相关的计量仪器和设备，并采用相关技术文件中规定的方法，对核算所需的相关数据进行测试和计量。同时，电能计量器具的配置应符合GB 17167的相关要求。</w:t>
      </w:r>
    </w:p>
    <w:p w14:paraId="0D549DBE">
      <w:pPr>
        <w:pStyle w:val="141"/>
        <w:spacing w:line="240" w:lineRule="auto"/>
        <w:jc w:val="center"/>
        <w:rPr>
          <w:rFonts w:hint="eastAsia" w:ascii="黑体" w:hAnsi="黑体" w:eastAsia="黑体"/>
          <w:sz w:val="21"/>
          <w:szCs w:val="21"/>
        </w:rPr>
      </w:pPr>
      <w:r>
        <w:rPr>
          <w:rFonts w:hint="eastAsia" w:ascii="黑体" w:hAnsi="黑体" w:eastAsia="黑体"/>
          <w:sz w:val="21"/>
          <w:szCs w:val="21"/>
        </w:rPr>
        <w:t>表3 绿电溯源方式与途径</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3518"/>
        <w:gridCol w:w="3589"/>
      </w:tblGrid>
      <w:tr w14:paraId="0C0D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87" w:type="pct"/>
            <w:vAlign w:val="center"/>
          </w:tcPr>
          <w:p w14:paraId="02343727">
            <w:pPr>
              <w:widowControl/>
              <w:jc w:val="center"/>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绿电溯源方式</w:t>
            </w:r>
          </w:p>
        </w:tc>
        <w:tc>
          <w:tcPr>
            <w:tcW w:w="1838" w:type="pct"/>
            <w:vAlign w:val="center"/>
          </w:tcPr>
          <w:p w14:paraId="28347E54">
            <w:pPr>
              <w:widowControl/>
              <w:jc w:val="center"/>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定义</w:t>
            </w:r>
          </w:p>
        </w:tc>
        <w:tc>
          <w:tcPr>
            <w:tcW w:w="1875" w:type="pct"/>
            <w:vAlign w:val="center"/>
          </w:tcPr>
          <w:p w14:paraId="00DF27FA">
            <w:pPr>
              <w:widowControl/>
              <w:jc w:val="center"/>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关键溯源信息</w:t>
            </w:r>
          </w:p>
        </w:tc>
      </w:tr>
      <w:tr w14:paraId="6A33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87" w:type="pct"/>
            <w:vAlign w:val="center"/>
          </w:tcPr>
          <w:p w14:paraId="73BF769C">
            <w:pPr>
              <w:widowControl/>
              <w:jc w:val="center"/>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证书溯源</w:t>
            </w:r>
          </w:p>
        </w:tc>
        <w:tc>
          <w:tcPr>
            <w:tcW w:w="1838" w:type="pct"/>
            <w:vAlign w:val="center"/>
          </w:tcPr>
          <w:p w14:paraId="13364462">
            <w:pPr>
              <w:widowControl/>
              <w:jc w:val="left"/>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通过绿色电力证书信息验证并追踪绿电的来源及消费情况。绿色电力证书信息包括特定数量的绿电生产信息</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并在认证平台上进行登记</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以溯源所使用的电力来源</w:t>
            </w:r>
          </w:p>
        </w:tc>
        <w:tc>
          <w:tcPr>
            <w:tcW w:w="1875" w:type="pct"/>
            <w:vAlign w:val="center"/>
          </w:tcPr>
          <w:p w14:paraId="23EA2FA8">
            <w:pPr>
              <w:widowControl/>
              <w:jc w:val="left"/>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购买方、购买绿色电力证书数量</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发电设施</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能源</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类型、项目编号、项目所在地、电量生产日期;证书编号、发放日期</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区块链溯源码</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交易平台</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发电设施排放因子等</w:t>
            </w:r>
          </w:p>
        </w:tc>
      </w:tr>
      <w:tr w14:paraId="0CA3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87" w:type="pct"/>
            <w:vAlign w:val="center"/>
          </w:tcPr>
          <w:p w14:paraId="41CE1BB7">
            <w:pPr>
              <w:widowControl/>
              <w:jc w:val="center"/>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路径溯源</w:t>
            </w:r>
          </w:p>
        </w:tc>
        <w:tc>
          <w:tcPr>
            <w:tcW w:w="1838" w:type="pct"/>
            <w:vAlign w:val="center"/>
          </w:tcPr>
          <w:p w14:paraId="1B0A1180">
            <w:pPr>
              <w:widowControl/>
              <w:jc w:val="left"/>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通过电力系统的物理连接路径</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追踪绿电从生产端到消费端的实际流向</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以确保所使用的电力确实来源于特定的可再生能源。该方法依赖于电网中具体的物理连接(如输电线路、变电站等)来记录电力的流动路径</w:t>
            </w:r>
          </w:p>
        </w:tc>
        <w:tc>
          <w:tcPr>
            <w:tcW w:w="1875" w:type="pct"/>
            <w:vAlign w:val="center"/>
          </w:tcPr>
          <w:p w14:paraId="6C4E230E">
            <w:pPr>
              <w:widowControl/>
              <w:jc w:val="left"/>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发电方、发电设施</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能源</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类型、位置;发电量、发电时间</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电力传输路径</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输电线路、变电站和配电站</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用电方、用电量、用电时间等</w:t>
            </w:r>
          </w:p>
        </w:tc>
      </w:tr>
      <w:tr w14:paraId="6E32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87" w:type="pct"/>
            <w:vAlign w:val="center"/>
          </w:tcPr>
          <w:p w14:paraId="0069BC04">
            <w:pPr>
              <w:widowControl/>
              <w:jc w:val="center"/>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实测溯源</w:t>
            </w:r>
          </w:p>
        </w:tc>
        <w:tc>
          <w:tcPr>
            <w:tcW w:w="1838" w:type="pct"/>
            <w:vAlign w:val="center"/>
          </w:tcPr>
          <w:p w14:paraId="735E8C90">
            <w:pPr>
              <w:widowControl/>
              <w:jc w:val="left"/>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通过对绿电从生产到消费全过程的实际监测和计量数据进行采集、记录和验证</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可以追踪电力的真实来源、传输过程和最终使用情况。该方法依赖于智能电表等技术手段</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实时记录电力生产、传输和消费的关键信息</w:t>
            </w:r>
          </w:p>
        </w:tc>
        <w:tc>
          <w:tcPr>
            <w:tcW w:w="1875" w:type="pct"/>
            <w:vAlign w:val="center"/>
          </w:tcPr>
          <w:p w14:paraId="0D43697A">
            <w:pPr>
              <w:widowControl/>
              <w:jc w:val="left"/>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发电方、发电设施</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能源</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类型、位置</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发电量、发电时间</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电力传输路径</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输电线路、变电站和配电站</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用电方、用电量、用电时间等</w:t>
            </w:r>
          </w:p>
        </w:tc>
      </w:tr>
      <w:tr w14:paraId="12D9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87" w:type="pct"/>
            <w:vAlign w:val="center"/>
          </w:tcPr>
          <w:p w14:paraId="14A53DD6">
            <w:pPr>
              <w:widowControl/>
              <w:jc w:val="center"/>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合约溯源</w:t>
            </w:r>
          </w:p>
        </w:tc>
        <w:tc>
          <w:tcPr>
            <w:tcW w:w="1838" w:type="pct"/>
            <w:vAlign w:val="center"/>
          </w:tcPr>
          <w:p w14:paraId="2241F005">
            <w:pPr>
              <w:widowControl/>
              <w:jc w:val="left"/>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通过电力</w:t>
            </w:r>
            <w:r>
              <w:rPr>
                <w:rFonts w:hint="eastAsia" w:cs="Courier New" w:asciiTheme="minorEastAsia" w:hAnsiTheme="minorEastAsia" w:eastAsiaTheme="minorEastAsia"/>
                <w:color w:val="0A0A0A"/>
                <w:kern w:val="0"/>
                <w:sz w:val="18"/>
                <w:szCs w:val="18"/>
              </w:rPr>
              <w:t>中长</w:t>
            </w:r>
            <w:r>
              <w:rPr>
                <w:rFonts w:cs="Courier New" w:asciiTheme="minorEastAsia" w:hAnsiTheme="minorEastAsia" w:eastAsiaTheme="minorEastAsia"/>
                <w:color w:val="0A0A0A"/>
                <w:kern w:val="0"/>
                <w:sz w:val="18"/>
                <w:szCs w:val="18"/>
              </w:rPr>
              <w:t>期交易过程中的协议或记录</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可以对协议及成交的绿电进行交易、交割和消费的追踪与验证。交易合约的溯源通常涉及交易合同、消费凭证、支付凭证等信息</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并需符合相关法律、规章和细则的要求</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同时接受电力交易机构和电力调度机构的校核</w:t>
            </w:r>
          </w:p>
        </w:tc>
        <w:tc>
          <w:tcPr>
            <w:tcW w:w="1875" w:type="pct"/>
            <w:vAlign w:val="center"/>
          </w:tcPr>
          <w:p w14:paraId="56A1A8E9">
            <w:pPr>
              <w:widowControl/>
              <w:jc w:val="left"/>
              <w:rPr>
                <w:rFonts w:hint="eastAsia" w:cs="Courier New" w:asciiTheme="minorEastAsia" w:hAnsiTheme="minorEastAsia" w:eastAsiaTheme="minorEastAsia"/>
                <w:color w:val="0A0A0A"/>
                <w:kern w:val="0"/>
                <w:sz w:val="18"/>
                <w:szCs w:val="18"/>
              </w:rPr>
            </w:pPr>
            <w:r>
              <w:rPr>
                <w:rFonts w:cs="Courier New" w:asciiTheme="minorEastAsia" w:hAnsiTheme="minorEastAsia" w:eastAsiaTheme="minorEastAsia"/>
                <w:color w:val="0A0A0A"/>
                <w:kern w:val="0"/>
                <w:sz w:val="18"/>
                <w:szCs w:val="18"/>
              </w:rPr>
              <w:t>交易电量、交易时间、交易双</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多</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方</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供电方、售电方、消纳方</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供电方、供电方所在地、发电设施</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能源</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类型</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用电方、用电方所在地、用电周期和用电量</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交易平台相关凭证编号</w:t>
            </w:r>
            <w:r>
              <w:rPr>
                <w:rFonts w:hint="eastAsia" w:cs="Courier New" w:asciiTheme="minorEastAsia" w:hAnsiTheme="minorEastAsia" w:eastAsiaTheme="minorEastAsia"/>
                <w:color w:val="0A0A0A"/>
                <w:kern w:val="0"/>
                <w:sz w:val="18"/>
                <w:szCs w:val="18"/>
              </w:rPr>
              <w:t>；</w:t>
            </w:r>
            <w:r>
              <w:rPr>
                <w:rFonts w:cs="Courier New" w:asciiTheme="minorEastAsia" w:hAnsiTheme="minorEastAsia" w:eastAsiaTheme="minorEastAsia"/>
                <w:color w:val="0A0A0A"/>
                <w:kern w:val="0"/>
                <w:sz w:val="18"/>
                <w:szCs w:val="18"/>
              </w:rPr>
              <w:t>区块链溯源码(</w:t>
            </w:r>
            <w:r>
              <w:rPr>
                <w:rFonts w:hint="eastAsia" w:cs="Courier New" w:asciiTheme="minorEastAsia" w:hAnsiTheme="minorEastAsia" w:eastAsiaTheme="minorEastAsia"/>
                <w:color w:val="0A0A0A"/>
                <w:kern w:val="0"/>
                <w:sz w:val="18"/>
                <w:szCs w:val="18"/>
              </w:rPr>
              <w:t>如</w:t>
            </w:r>
            <w:r>
              <w:rPr>
                <w:rFonts w:cs="Courier New" w:asciiTheme="minorEastAsia" w:hAnsiTheme="minorEastAsia" w:eastAsiaTheme="minorEastAsia"/>
                <w:color w:val="0A0A0A"/>
                <w:kern w:val="0"/>
                <w:sz w:val="18"/>
                <w:szCs w:val="18"/>
              </w:rPr>
              <w:t>有)</w:t>
            </w:r>
          </w:p>
        </w:tc>
      </w:tr>
    </w:tbl>
    <w:p w14:paraId="4AE2278F">
      <w:pPr>
        <w:pStyle w:val="141"/>
        <w:spacing w:line="240" w:lineRule="auto"/>
        <w:jc w:val="center"/>
        <w:rPr>
          <w:rFonts w:hint="eastAsia" w:asciiTheme="minorEastAsia" w:hAnsiTheme="minorEastAsia" w:eastAsiaTheme="minorEastAsia"/>
          <w:sz w:val="21"/>
          <w:szCs w:val="21"/>
        </w:rPr>
      </w:pPr>
    </w:p>
    <w:p w14:paraId="61148345">
      <w:pPr>
        <w:pStyle w:val="141"/>
        <w:spacing w:line="240" w:lineRule="auto"/>
        <w:jc w:val="center"/>
        <w:rPr>
          <w:rFonts w:hint="eastAsia" w:ascii="黑体" w:hAnsi="黑体" w:eastAsia="黑体"/>
          <w:sz w:val="21"/>
          <w:szCs w:val="21"/>
        </w:rPr>
      </w:pPr>
      <w:r>
        <w:rPr>
          <w:rFonts w:hint="eastAsia" w:ascii="黑体" w:hAnsi="黑体" w:eastAsia="黑体"/>
          <w:sz w:val="21"/>
          <w:szCs w:val="21"/>
        </w:rPr>
        <w:t>表4 边际贡献度赋分表</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07"/>
        <w:gridCol w:w="1564"/>
      </w:tblGrid>
      <w:tr w14:paraId="1F543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6AFCE49A">
            <w:pPr>
              <w:pStyle w:val="140"/>
              <w:spacing w:line="240" w:lineRule="auto"/>
              <w:ind w:leftChars="0" w:firstLine="0" w:firstLineChars="0"/>
              <w:rPr>
                <w:rFonts w:hint="eastAsia" w:asciiTheme="minorEastAsia" w:hAnsiTheme="minorEastAsia" w:eastAsiaTheme="minorEastAsia"/>
                <w:sz w:val="18"/>
                <w:szCs w:val="18"/>
              </w:rPr>
            </w:pPr>
            <w:bookmarkStart w:id="187" w:name="_Hlk201318018"/>
            <w:r>
              <w:rPr>
                <w:rFonts w:hint="eastAsia" w:asciiTheme="minorEastAsia" w:hAnsiTheme="minorEastAsia" w:eastAsiaTheme="minorEastAsia"/>
                <w:sz w:val="18"/>
                <w:szCs w:val="18"/>
              </w:rPr>
              <w:t>边际贡献度</w:t>
            </w:r>
            <w:bookmarkEnd w:id="187"/>
          </w:p>
        </w:tc>
        <w:tc>
          <w:tcPr>
            <w:tcW w:w="817" w:type="pct"/>
            <w:vAlign w:val="center"/>
          </w:tcPr>
          <w:p w14:paraId="02DACF6D">
            <w:pPr>
              <w:pStyle w:val="140"/>
              <w:spacing w:line="240" w:lineRule="auto"/>
              <w:ind w:leftChars="0" w:firstLine="0" w:firstLineChars="0"/>
              <w:jc w:val="center"/>
              <w:textAlignment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赋分</w:t>
            </w:r>
          </w:p>
        </w:tc>
      </w:tr>
      <w:tr w14:paraId="2B9C4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7CB140A9">
            <w:pPr>
              <w:pStyle w:val="140"/>
              <w:spacing w:line="240" w:lineRule="auto"/>
              <w:ind w:leftChars="0" w:firstLine="0" w:firstLineChars="0"/>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自发自用（场内）、绿电直连、电力用户与发电方直接签署的多年期购电协议，或电力用户通过售电公司从特定某个（某些）发电方签署多年期购电协议</w:t>
            </w:r>
            <w:r>
              <w:rPr>
                <w:rFonts w:hint="eastAsia" w:asciiTheme="minorEastAsia" w:hAnsiTheme="minorEastAsia" w:eastAsiaTheme="minorEastAsia"/>
                <w:sz w:val="18"/>
                <w:szCs w:val="18"/>
              </w:rPr>
              <w:t>的绿色电力消费量</w:t>
            </w:r>
          </w:p>
        </w:tc>
        <w:tc>
          <w:tcPr>
            <w:tcW w:w="817" w:type="pct"/>
            <w:vAlign w:val="center"/>
          </w:tcPr>
          <w:p w14:paraId="370A9253">
            <w:pPr>
              <w:pStyle w:val="140"/>
              <w:spacing w:line="240" w:lineRule="auto"/>
              <w:ind w:leftChars="0" w:firstLine="0" w:firstLineChars="0"/>
              <w:jc w:val="center"/>
              <w:textAlignment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r>
      <w:tr w14:paraId="7EE3B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259A1C9B">
            <w:pPr>
              <w:pStyle w:val="140"/>
              <w:spacing w:line="240" w:lineRule="auto"/>
              <w:ind w:leftChars="0" w:firstLine="0" w:firstLineChars="0"/>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电力用户通过售电公司从特定某个（某些）发电方签署一年期（及以下）购电协议</w:t>
            </w:r>
            <w:r>
              <w:rPr>
                <w:rFonts w:hint="eastAsia" w:asciiTheme="minorEastAsia" w:hAnsiTheme="minorEastAsia" w:eastAsiaTheme="minorEastAsia"/>
                <w:sz w:val="18"/>
                <w:szCs w:val="18"/>
              </w:rPr>
              <w:t>的绿色电力消费量</w:t>
            </w:r>
          </w:p>
        </w:tc>
        <w:tc>
          <w:tcPr>
            <w:tcW w:w="817" w:type="pct"/>
            <w:vAlign w:val="center"/>
          </w:tcPr>
          <w:p w14:paraId="244825ED">
            <w:pPr>
              <w:pStyle w:val="140"/>
              <w:spacing w:line="240" w:lineRule="auto"/>
              <w:ind w:leftChars="0" w:firstLine="0" w:firstLineChars="0"/>
              <w:jc w:val="center"/>
              <w:textAlignment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r>
      <w:tr w14:paraId="68FC6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000032FB">
            <w:pPr>
              <w:pStyle w:val="140"/>
              <w:spacing w:line="240" w:lineRule="auto"/>
              <w:ind w:leftChars="0" w:firstLine="0" w:firstLineChars="0"/>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电力用户通过售电公司购电，但并未约定由特定发电方供电</w:t>
            </w:r>
            <w:r>
              <w:rPr>
                <w:rFonts w:hint="eastAsia" w:asciiTheme="minorEastAsia" w:hAnsiTheme="minorEastAsia" w:eastAsiaTheme="minorEastAsia"/>
                <w:sz w:val="18"/>
                <w:szCs w:val="18"/>
              </w:rPr>
              <w:t>的绿色电力消费量</w:t>
            </w:r>
          </w:p>
        </w:tc>
        <w:tc>
          <w:tcPr>
            <w:tcW w:w="817" w:type="pct"/>
            <w:vAlign w:val="center"/>
          </w:tcPr>
          <w:p w14:paraId="22B08573">
            <w:pPr>
              <w:pStyle w:val="140"/>
              <w:spacing w:line="240" w:lineRule="auto"/>
              <w:ind w:leftChars="0" w:firstLine="0" w:firstLineChars="0"/>
              <w:jc w:val="center"/>
              <w:textAlignment w:val="center"/>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2</w:t>
            </w:r>
          </w:p>
        </w:tc>
      </w:tr>
      <w:tr w14:paraId="7277B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35A63E9C">
            <w:pPr>
              <w:pStyle w:val="140"/>
              <w:spacing w:line="240" w:lineRule="auto"/>
              <w:ind w:leftChars="0" w:firstLine="0" w:firstLineChars="0"/>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独立购买绿色电力证书</w:t>
            </w:r>
            <w:r>
              <w:rPr>
                <w:rFonts w:hint="eastAsia" w:asciiTheme="minorEastAsia" w:hAnsiTheme="minorEastAsia" w:eastAsiaTheme="minorEastAsia"/>
                <w:sz w:val="18"/>
                <w:szCs w:val="18"/>
              </w:rPr>
              <w:t>的绿色电力消费量</w:t>
            </w:r>
          </w:p>
        </w:tc>
        <w:tc>
          <w:tcPr>
            <w:tcW w:w="817" w:type="pct"/>
            <w:vAlign w:val="center"/>
          </w:tcPr>
          <w:p w14:paraId="45BCAE4E">
            <w:pPr>
              <w:pStyle w:val="140"/>
              <w:spacing w:line="240" w:lineRule="auto"/>
              <w:ind w:leftChars="0" w:firstLine="0" w:firstLineChars="0"/>
              <w:jc w:val="center"/>
              <w:textAlignment w:val="center"/>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1</w:t>
            </w:r>
          </w:p>
        </w:tc>
      </w:tr>
    </w:tbl>
    <w:p w14:paraId="750EE74C">
      <w:pPr>
        <w:pStyle w:val="141"/>
        <w:spacing w:line="240" w:lineRule="auto"/>
        <w:jc w:val="center"/>
        <w:rPr>
          <w:rFonts w:hint="eastAsia" w:asciiTheme="minorEastAsia" w:hAnsiTheme="minorEastAsia" w:eastAsiaTheme="minorEastAsia"/>
          <w:sz w:val="21"/>
          <w:szCs w:val="21"/>
        </w:rPr>
      </w:pPr>
    </w:p>
    <w:p w14:paraId="57CC3509">
      <w:pPr>
        <w:pStyle w:val="141"/>
        <w:spacing w:line="240" w:lineRule="auto"/>
        <w:jc w:val="center"/>
        <w:rPr>
          <w:rFonts w:hint="eastAsia" w:ascii="黑体" w:hAnsi="黑体" w:eastAsia="黑体"/>
          <w:sz w:val="21"/>
          <w:szCs w:val="21"/>
        </w:rPr>
      </w:pPr>
      <w:r>
        <w:rPr>
          <w:rFonts w:hint="eastAsia" w:ascii="黑体" w:hAnsi="黑体" w:eastAsia="黑体"/>
          <w:sz w:val="21"/>
          <w:szCs w:val="21"/>
        </w:rPr>
        <w:t xml:space="preserve">表5 </w:t>
      </w:r>
      <w:bookmarkStart w:id="188" w:name="_Hlk209295750"/>
      <w:r>
        <w:rPr>
          <w:rFonts w:hint="eastAsia" w:ascii="黑体" w:hAnsi="黑体" w:eastAsia="黑体"/>
          <w:sz w:val="21"/>
          <w:szCs w:val="21"/>
        </w:rPr>
        <w:t>购用时序匹配</w:t>
      </w:r>
      <w:bookmarkEnd w:id="188"/>
      <w:r>
        <w:rPr>
          <w:rFonts w:hint="eastAsia" w:ascii="黑体" w:hAnsi="黑体" w:eastAsia="黑体"/>
          <w:sz w:val="21"/>
          <w:szCs w:val="21"/>
        </w:rPr>
        <w:t>度赋分表</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07"/>
        <w:gridCol w:w="1564"/>
      </w:tblGrid>
      <w:tr w14:paraId="5FE7E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501B7FCC">
            <w:pPr>
              <w:pStyle w:val="140"/>
              <w:spacing w:line="240" w:lineRule="auto"/>
              <w:ind w:leftChars="0" w:firstLine="0" w:firstLineChars="0"/>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购用时序匹配度</w:t>
            </w:r>
          </w:p>
        </w:tc>
        <w:tc>
          <w:tcPr>
            <w:tcW w:w="817" w:type="pct"/>
            <w:vAlign w:val="center"/>
          </w:tcPr>
          <w:p w14:paraId="4A0293AB">
            <w:pPr>
              <w:pStyle w:val="140"/>
              <w:spacing w:line="240" w:lineRule="auto"/>
              <w:ind w:leftChars="0" w:firstLine="0" w:firstLineChars="0"/>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赋分</w:t>
            </w:r>
          </w:p>
        </w:tc>
      </w:tr>
      <w:tr w14:paraId="5563C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5F013FC7">
            <w:pPr>
              <w:pStyle w:val="140"/>
              <w:spacing w:line="240" w:lineRule="auto"/>
              <w:ind w:leftChars="0" w:firstLine="0" w:firstLineChars="0"/>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自发自用（场内）的、绿电直连的、协议按照每个小时负荷曲线定价、执行（约定电量带曲线方式（协议分时电量））并与实际负荷曲线相匹配的绿色电力消费量</w:t>
            </w:r>
          </w:p>
        </w:tc>
        <w:tc>
          <w:tcPr>
            <w:tcW w:w="817" w:type="pct"/>
            <w:vAlign w:val="center"/>
          </w:tcPr>
          <w:p w14:paraId="4DF89B1F">
            <w:pPr>
              <w:pStyle w:val="140"/>
              <w:spacing w:line="240" w:lineRule="auto"/>
              <w:ind w:leftChars="0" w:firstLine="0" w:firstLineChars="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r>
      <w:tr w14:paraId="139E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70093713">
            <w:pPr>
              <w:pStyle w:val="140"/>
              <w:spacing w:line="240" w:lineRule="auto"/>
              <w:ind w:leftChars="0" w:firstLine="0" w:firstLineChars="0"/>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协议按照尖峰平谷时段负荷曲线定价、执行（约定分时电量方式），并与实际负荷曲线相匹配</w:t>
            </w:r>
            <w:r>
              <w:rPr>
                <w:rFonts w:hint="eastAsia" w:asciiTheme="minorEastAsia" w:hAnsiTheme="minorEastAsia" w:eastAsiaTheme="minorEastAsia"/>
                <w:sz w:val="18"/>
                <w:szCs w:val="18"/>
              </w:rPr>
              <w:t>的绿色电力消费量</w:t>
            </w:r>
          </w:p>
        </w:tc>
        <w:tc>
          <w:tcPr>
            <w:tcW w:w="817" w:type="pct"/>
            <w:vAlign w:val="center"/>
          </w:tcPr>
          <w:p w14:paraId="2C92B7B5">
            <w:pPr>
              <w:pStyle w:val="140"/>
              <w:spacing w:line="240" w:lineRule="auto"/>
              <w:ind w:leftChars="0" w:firstLine="0" w:firstLineChars="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r>
      <w:tr w14:paraId="604B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409B4083">
            <w:pPr>
              <w:pStyle w:val="140"/>
              <w:spacing w:line="240" w:lineRule="auto"/>
              <w:ind w:leftChars="0" w:firstLine="0" w:firstLineChars="0"/>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协议按照不同季节或月度负荷特征定价、执行，并与季度或月度实际用电需求相匹配</w:t>
            </w:r>
            <w:r>
              <w:rPr>
                <w:rFonts w:hint="eastAsia" w:asciiTheme="minorEastAsia" w:hAnsiTheme="minorEastAsia" w:eastAsiaTheme="minorEastAsia"/>
                <w:sz w:val="18"/>
                <w:szCs w:val="18"/>
              </w:rPr>
              <w:t>的绿色电力消费量</w:t>
            </w:r>
          </w:p>
        </w:tc>
        <w:tc>
          <w:tcPr>
            <w:tcW w:w="817" w:type="pct"/>
            <w:vAlign w:val="center"/>
          </w:tcPr>
          <w:p w14:paraId="1F06BB48">
            <w:pPr>
              <w:pStyle w:val="140"/>
              <w:spacing w:line="240" w:lineRule="auto"/>
              <w:ind w:leftChars="0" w:firstLine="0" w:firstLineChars="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r>
      <w:tr w14:paraId="11BAE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4B031876">
            <w:pPr>
              <w:pStyle w:val="140"/>
              <w:spacing w:line="240" w:lineRule="auto"/>
              <w:ind w:leftChars="0" w:firstLine="0" w:firstLineChars="0"/>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协议按照年度负荷特征定价、执行，并与年度实际用电需求相匹配</w:t>
            </w:r>
            <w:r>
              <w:rPr>
                <w:rFonts w:hint="eastAsia" w:asciiTheme="minorEastAsia" w:hAnsiTheme="minorEastAsia" w:eastAsiaTheme="minorEastAsia"/>
                <w:sz w:val="18"/>
                <w:szCs w:val="18"/>
              </w:rPr>
              <w:t>的绿色电力消费量</w:t>
            </w:r>
          </w:p>
        </w:tc>
        <w:tc>
          <w:tcPr>
            <w:tcW w:w="817" w:type="pct"/>
            <w:vAlign w:val="center"/>
          </w:tcPr>
          <w:p w14:paraId="50CE3458">
            <w:pPr>
              <w:pStyle w:val="140"/>
              <w:spacing w:line="240" w:lineRule="auto"/>
              <w:ind w:leftChars="0" w:firstLine="0" w:firstLineChars="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r>
      <w:tr w14:paraId="38352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3" w:type="pct"/>
          </w:tcPr>
          <w:p w14:paraId="4A33BC07">
            <w:pPr>
              <w:pStyle w:val="140"/>
              <w:spacing w:line="240" w:lineRule="auto"/>
              <w:ind w:leftChars="0" w:firstLine="0" w:firstLineChars="0"/>
              <w:rPr>
                <w:rFonts w:hint="eastAsia" w:asciiTheme="minorEastAsia" w:hAnsiTheme="minorEastAsia" w:eastAsiaTheme="minorEastAsia"/>
                <w:sz w:val="18"/>
                <w:szCs w:val="18"/>
              </w:rPr>
            </w:pPr>
            <w:r>
              <w:rPr>
                <w:rFonts w:hint="eastAsia" w:cs="宋体" w:asciiTheme="minorEastAsia" w:hAnsiTheme="minorEastAsia" w:eastAsiaTheme="minorEastAsia"/>
                <w:kern w:val="0"/>
                <w:sz w:val="18"/>
                <w:szCs w:val="18"/>
              </w:rPr>
              <w:t>完全没有任何时间匹配的要求</w:t>
            </w:r>
            <w:r>
              <w:rPr>
                <w:rFonts w:hint="eastAsia" w:asciiTheme="minorEastAsia" w:hAnsiTheme="minorEastAsia" w:eastAsiaTheme="minorEastAsia"/>
                <w:sz w:val="18"/>
                <w:szCs w:val="18"/>
              </w:rPr>
              <w:t>的绿色电力消费量</w:t>
            </w:r>
          </w:p>
        </w:tc>
        <w:tc>
          <w:tcPr>
            <w:tcW w:w="817" w:type="pct"/>
            <w:vAlign w:val="center"/>
          </w:tcPr>
          <w:p w14:paraId="3DC135AE">
            <w:pPr>
              <w:pStyle w:val="140"/>
              <w:spacing w:line="240" w:lineRule="auto"/>
              <w:ind w:leftChars="0" w:firstLine="0" w:firstLineChars="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r>
    </w:tbl>
    <w:p w14:paraId="69EFA902">
      <w:pPr>
        <w:pStyle w:val="42"/>
        <w:numPr>
          <w:ilvl w:val="0"/>
          <w:numId w:val="0"/>
        </w:numPr>
        <w:spacing w:before="156" w:beforeLines="50" w:after="156" w:afterLines="50"/>
      </w:pPr>
      <w:bookmarkStart w:id="189" w:name="_Toc208330459"/>
      <w:bookmarkStart w:id="190" w:name="_Toc207986513"/>
      <w:bookmarkStart w:id="191" w:name="_Toc209972283"/>
      <w:bookmarkStart w:id="192" w:name="_Toc26548"/>
      <w:r>
        <w:t>6.</w:t>
      </w:r>
      <w:r>
        <w:rPr>
          <w:rFonts w:hint="eastAsia"/>
        </w:rPr>
        <w:t>3评分计算</w:t>
      </w:r>
      <w:bookmarkEnd w:id="189"/>
      <w:bookmarkEnd w:id="190"/>
      <w:bookmarkEnd w:id="191"/>
      <w:bookmarkEnd w:id="192"/>
    </w:p>
    <w:p w14:paraId="2A339070">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绿色电力消费比例得分、追溯可信得分、边际贡献度得分、购用时序匹配度得分可按照公式（1）、（2）、（3）和（4）进行计算。</w:t>
      </w:r>
    </w:p>
    <w:p w14:paraId="1738E2F2">
      <w:pPr>
        <w:pStyle w:val="22"/>
        <w:ind w:firstLine="0" w:firstLineChars="0"/>
        <w:jc w:val="right"/>
      </w:pPr>
      <m:oMath>
        <m:r>
          <m:rPr/>
          <w:rPr>
            <w:rFonts w:ascii="Cambria Math" w:hAnsi="Cambria Math" w:cs="Cambria Math" w:eastAsiaTheme="minorEastAsia"/>
            <w:szCs w:val="21"/>
          </w:rPr>
          <m:t>A</m:t>
        </m:r>
        <m:r>
          <m:rPr/>
          <w:rPr>
            <w:rFonts w:hint="eastAsia" w:ascii="Cambria Math" w:hAnsi="Cambria Math" w:eastAsiaTheme="minorEastAsia"/>
            <w:szCs w:val="21"/>
          </w:rPr>
          <m:t>=</m:t>
        </m:r>
        <m:r>
          <m:rPr/>
          <w:rPr>
            <w:rFonts w:ascii="Cambria Math" w:hAnsi="Cambria Math" w:eastAsiaTheme="minorEastAsia"/>
            <w:szCs w:val="21"/>
          </w:rPr>
          <m:t>m</m:t>
        </m:r>
        <m:r>
          <m:rPr/>
          <w:rPr>
            <w:rFonts w:ascii="Cambria Math" w:hAnsi="Cambria Math" w:cs="Cambria Math" w:eastAsiaTheme="minorEastAsia"/>
            <w:szCs w:val="21"/>
          </w:rPr>
          <m:t>×</m:t>
        </m:r>
        <m:r>
          <m:rPr/>
          <w:rPr>
            <w:rFonts w:ascii="Cambria Math" w:hAnsi="Cambria Math" w:eastAsiaTheme="minorEastAsia"/>
            <w:szCs w:val="21"/>
          </w:rPr>
          <m:t>σ</m:t>
        </m:r>
      </m:oMath>
      <w:r>
        <w:t>……………………………………………………</w:t>
      </w:r>
      <w:r>
        <w:rPr>
          <w:rFonts w:hint="eastAsia"/>
        </w:rPr>
        <w:t>（1）</w:t>
      </w:r>
    </w:p>
    <w:p w14:paraId="7C67119C">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式中：</w:t>
      </w:r>
    </w:p>
    <w:p w14:paraId="191B9A9D">
      <w:pPr>
        <w:pStyle w:val="140"/>
        <w:spacing w:line="240" w:lineRule="auto"/>
        <w:ind w:leftChars="0" w:firstLine="420"/>
        <w:rPr>
          <w:rFonts w:hint="eastAsia" w:cs="Cambria Math" w:asciiTheme="minorEastAsia" w:hAnsiTheme="minorEastAsia" w:eastAsiaTheme="minorEastAsia"/>
          <w:i/>
          <w:iCs/>
          <w:sz w:val="21"/>
          <w:szCs w:val="21"/>
        </w:rPr>
      </w:pPr>
      <w:r>
        <w:rPr>
          <w:rFonts w:hint="eastAsia" w:cs="Cambria Math" w:asciiTheme="minorEastAsia" w:hAnsiTheme="minorEastAsia" w:eastAsiaTheme="minorEastAsia"/>
          <w:i/>
          <w:iCs/>
          <w:sz w:val="21"/>
          <w:szCs w:val="21"/>
        </w:rPr>
        <w:t>m</w:t>
      </w:r>
      <w:r>
        <w:rPr>
          <w:rFonts w:hint="eastAsia" w:cs="Cambria Math" w:asciiTheme="minorEastAsia" w:hAnsiTheme="minorEastAsia" w:eastAsiaTheme="minorEastAsia"/>
          <w:sz w:val="21"/>
          <w:szCs w:val="21"/>
        </w:rPr>
        <w:t>——绿色电力消费比例;</w:t>
      </w:r>
    </w:p>
    <w:p w14:paraId="53074623">
      <w:pPr>
        <w:pStyle w:val="140"/>
        <w:spacing w:line="240" w:lineRule="auto"/>
        <w:ind w:leftChars="0" w:firstLine="420"/>
        <w:rPr>
          <w:rFonts w:hint="eastAsia" w:asciiTheme="minorEastAsia" w:hAnsiTheme="minorEastAsia" w:eastAsiaTheme="minorEastAsia"/>
          <w:sz w:val="21"/>
          <w:szCs w:val="21"/>
        </w:rPr>
      </w:pPr>
      <w:r>
        <w:rPr>
          <w:rFonts w:hint="eastAsia" w:cs="Cambria Math" w:asciiTheme="minorEastAsia" w:hAnsiTheme="minorEastAsia" w:eastAsiaTheme="minorEastAsia"/>
          <w:i/>
          <w:iCs/>
          <w:sz w:val="21"/>
          <w:szCs w:val="21"/>
        </w:rPr>
        <w:t>A——</w:t>
      </w:r>
      <w:r>
        <w:rPr>
          <w:rFonts w:hint="eastAsia" w:asciiTheme="minorEastAsia" w:hAnsiTheme="minorEastAsia" w:eastAsiaTheme="minorEastAsia"/>
          <w:sz w:val="21"/>
          <w:szCs w:val="21"/>
        </w:rPr>
        <w:t>绿色电力消费比例得分；</w:t>
      </w:r>
    </w:p>
    <w:p w14:paraId="591A8308">
      <w:pPr>
        <w:pStyle w:val="140"/>
        <w:spacing w:line="240" w:lineRule="auto"/>
        <w:ind w:leftChars="0" w:firstLine="420"/>
        <w:rPr>
          <w:rFonts w:hint="eastAsia" w:asciiTheme="minorEastAsia" w:hAnsiTheme="minorEastAsia" w:eastAsiaTheme="minorEastAsia"/>
          <w:sz w:val="21"/>
          <w:szCs w:val="21"/>
        </w:rPr>
      </w:pPr>
      <m:oMath>
        <m:r>
          <m:rPr/>
          <w:rPr>
            <w:rFonts w:ascii="Cambria Math" w:hAnsi="Cambria Math" w:eastAsiaTheme="minorEastAsia"/>
            <w:sz w:val="21"/>
            <w:szCs w:val="21"/>
          </w:rPr>
          <m:t>σ</m:t>
        </m:r>
      </m:oMath>
      <w:r>
        <w:rPr>
          <w:rFonts w:hint="eastAsia" w:cs="Cambria Math" w:asciiTheme="minorEastAsia" w:hAnsiTheme="minorEastAsia" w:eastAsiaTheme="minorEastAsia"/>
          <w:i/>
          <w:iCs/>
          <w:sz w:val="21"/>
          <w:szCs w:val="21"/>
        </w:rPr>
        <w:t>——</w:t>
      </w:r>
      <w:r>
        <w:rPr>
          <w:rFonts w:hint="eastAsia" w:asciiTheme="minorEastAsia" w:hAnsiTheme="minorEastAsia" w:eastAsiaTheme="minorEastAsia"/>
          <w:iCs/>
          <w:sz w:val="21"/>
          <w:szCs w:val="21"/>
        </w:rPr>
        <w:t>绿色电力消费比例权重，</w:t>
      </w:r>
      <m:oMath>
        <m:r>
          <m:rPr/>
          <w:rPr>
            <w:rFonts w:ascii="Cambria Math" w:hAnsi="Cambria Math" w:eastAsiaTheme="minorEastAsia"/>
            <w:sz w:val="21"/>
            <w:szCs w:val="21"/>
          </w:rPr>
          <m:t>σ</m:t>
        </m:r>
      </m:oMath>
      <w:r>
        <w:rPr>
          <w:rFonts w:hint="eastAsia" w:asciiTheme="minorEastAsia" w:hAnsiTheme="minorEastAsia" w:eastAsiaTheme="minorEastAsia"/>
          <w:iCs/>
          <w:sz w:val="21"/>
          <w:szCs w:val="21"/>
        </w:rPr>
        <w:t>暂定值为5</w:t>
      </w:r>
      <w:r>
        <w:rPr>
          <w:rFonts w:hint="eastAsia" w:asciiTheme="minorEastAsia" w:hAnsiTheme="minorEastAsia" w:eastAsiaTheme="minorEastAsia"/>
          <w:sz w:val="21"/>
          <w:szCs w:val="21"/>
        </w:rPr>
        <w:t>。</w:t>
      </w:r>
    </w:p>
    <w:p w14:paraId="6921AD55">
      <w:pPr>
        <w:pStyle w:val="22"/>
        <w:jc w:val="right"/>
      </w:pPr>
      <m:oMath>
        <m:r>
          <m:rPr/>
          <w:rPr>
            <w:rFonts w:ascii="Cambria Math" w:hAnsi="Cambria Math" w:cs="Cambria Math" w:eastAsiaTheme="minorEastAsia"/>
            <w:szCs w:val="21"/>
          </w:rPr>
          <m:t>B</m:t>
        </m:r>
        <m:r>
          <m:rPr/>
          <w:rPr>
            <w:rFonts w:ascii="Cambria Math" w:hAnsi="Cambria Math" w:eastAsiaTheme="minorEastAsia"/>
            <w:szCs w:val="21"/>
          </w:rPr>
          <m:t>=</m:t>
        </m:r>
        <m:nary>
          <m:naryPr>
            <m:chr m:val="∑"/>
            <m:limLoc m:val="undOvr"/>
            <m:ctrlPr>
              <w:rPr>
                <w:rFonts w:ascii="Cambria Math" w:hAnsi="Cambria Math" w:eastAsiaTheme="minorEastAsia"/>
                <w:i/>
                <w:iCs/>
                <w:szCs w:val="21"/>
              </w:rPr>
            </m:ctrlPr>
          </m:naryPr>
          <m:sub>
            <m:r>
              <m:rPr/>
              <w:rPr>
                <w:rFonts w:ascii="Cambria Math" w:hAnsi="Cambria Math" w:eastAsiaTheme="minorEastAsia"/>
                <w:szCs w:val="21"/>
              </w:rPr>
              <m:t>i=1</m:t>
            </m:r>
            <m:ctrlPr>
              <w:rPr>
                <w:rFonts w:ascii="Cambria Math" w:hAnsi="Cambria Math" w:eastAsiaTheme="minorEastAsia"/>
                <w:i/>
                <w:iCs/>
                <w:szCs w:val="21"/>
              </w:rPr>
            </m:ctrlPr>
          </m:sub>
          <m:sup>
            <m:r>
              <m:rPr/>
              <w:rPr>
                <w:rFonts w:ascii="Cambria Math" w:hAnsi="Cambria Math" w:eastAsiaTheme="minorEastAsia"/>
                <w:szCs w:val="21"/>
              </w:rPr>
              <m:t>n</m:t>
            </m:r>
            <m:ctrlPr>
              <w:rPr>
                <w:rFonts w:ascii="Cambria Math" w:hAnsi="Cambria Math" w:eastAsiaTheme="minorEastAsia"/>
                <w:i/>
                <w:iCs/>
                <w:szCs w:val="21"/>
              </w:rPr>
            </m:ctrlPr>
          </m:sup>
          <m:e>
            <m:f>
              <m:fPr>
                <m:ctrlPr>
                  <w:rPr>
                    <w:rFonts w:ascii="Cambria Math" w:hAnsi="Cambria Math" w:eastAsiaTheme="minorEastAsia"/>
                    <w:i/>
                    <w:iCs/>
                    <w:szCs w:val="21"/>
                  </w:rPr>
                </m:ctrlPr>
              </m:fPr>
              <m:num>
                <m:sSub>
                  <m:sSubPr>
                    <m:ctrlPr>
                      <w:rPr>
                        <w:rFonts w:ascii="Cambria Math" w:hAnsi="Cambria Math" w:eastAsiaTheme="minorEastAsia"/>
                        <w:i/>
                        <w:iCs/>
                        <w:szCs w:val="21"/>
                      </w:rPr>
                    </m:ctrlPr>
                  </m:sSubPr>
                  <m:e>
                    <m:r>
                      <m:rPr/>
                      <w:rPr>
                        <w:rFonts w:ascii="Cambria Math" w:hAnsi="Cambria Math" w:eastAsiaTheme="minorEastAsia"/>
                        <w:szCs w:val="21"/>
                      </w:rPr>
                      <m:t>b</m:t>
                    </m:r>
                    <m:ctrlPr>
                      <w:rPr>
                        <w:rFonts w:ascii="Cambria Math" w:hAnsi="Cambria Math" w:eastAsiaTheme="minorEastAsia"/>
                        <w:i/>
                        <w:iCs/>
                        <w:szCs w:val="21"/>
                      </w:rPr>
                    </m:ctrlPr>
                  </m:e>
                  <m:sub>
                    <m:r>
                      <m:rPr/>
                      <w:rPr>
                        <w:rFonts w:ascii="Cambria Math" w:hAnsi="Cambria Math" w:eastAsiaTheme="minorEastAsia"/>
                        <w:szCs w:val="21"/>
                      </w:rPr>
                      <m:t>i</m:t>
                    </m:r>
                    <m:ctrlPr>
                      <w:rPr>
                        <w:rFonts w:ascii="Cambria Math" w:hAnsi="Cambria Math" w:eastAsiaTheme="minorEastAsia"/>
                        <w:i/>
                        <w:iCs/>
                        <w:szCs w:val="21"/>
                      </w:rPr>
                    </m:ctrlPr>
                  </m:sub>
                </m:sSub>
                <m:ctrlPr>
                  <w:rPr>
                    <w:rFonts w:ascii="Cambria Math" w:hAnsi="Cambria Math" w:eastAsiaTheme="minorEastAsia"/>
                    <w:i/>
                    <w:iCs/>
                    <w:szCs w:val="21"/>
                  </w:rPr>
                </m:ctrlPr>
              </m:num>
              <m:den>
                <m:r>
                  <m:rPr/>
                  <w:rPr>
                    <w:rFonts w:ascii="Cambria Math" w:hAnsi="Cambria Math" w:eastAsiaTheme="minorEastAsia"/>
                    <w:szCs w:val="21"/>
                  </w:rPr>
                  <m:t>T</m:t>
                </m:r>
                <m:ctrlPr>
                  <w:rPr>
                    <w:rFonts w:ascii="Cambria Math" w:hAnsi="Cambria Math" w:eastAsiaTheme="minorEastAsia"/>
                    <w:i/>
                    <w:iCs/>
                    <w:szCs w:val="21"/>
                  </w:rPr>
                </m:ctrlPr>
              </m:den>
            </m:f>
            <m:r>
              <m:rPr/>
              <w:rPr>
                <w:rFonts w:hint="eastAsia" w:ascii="Cambria Math" w:hAnsi="Cambria Math" w:eastAsiaTheme="minorEastAsia"/>
                <w:szCs w:val="21"/>
              </w:rPr>
              <m:t>×</m:t>
            </m:r>
            <m:sSub>
              <m:sSubPr>
                <m:ctrlPr>
                  <w:rPr>
                    <w:rFonts w:ascii="Cambria Math" w:hAnsi="Cambria Math" w:eastAsiaTheme="minorEastAsia"/>
                    <w:i/>
                    <w:iCs/>
                    <w:szCs w:val="21"/>
                  </w:rPr>
                </m:ctrlPr>
              </m:sSubPr>
              <m:e>
                <m:r>
                  <m:rPr/>
                  <w:rPr>
                    <w:rFonts w:ascii="Cambria Math" w:hAnsi="Cambria Math" w:cs="Cambria Math" w:eastAsiaTheme="minorEastAsia"/>
                    <w:szCs w:val="21"/>
                  </w:rPr>
                  <m:t>ω</m:t>
                </m:r>
                <m:ctrlPr>
                  <w:rPr>
                    <w:rFonts w:ascii="Cambria Math" w:hAnsi="Cambria Math" w:eastAsiaTheme="minorEastAsia"/>
                    <w:i/>
                    <w:iCs/>
                    <w:szCs w:val="21"/>
                  </w:rPr>
                </m:ctrlPr>
              </m:e>
              <m:sub>
                <m:r>
                  <m:rPr/>
                  <w:rPr>
                    <w:rFonts w:ascii="Cambria Math" w:hAnsi="Cambria Math" w:eastAsiaTheme="minorEastAsia"/>
                    <w:szCs w:val="21"/>
                  </w:rPr>
                  <m:t>i</m:t>
                </m:r>
                <m:ctrlPr>
                  <w:rPr>
                    <w:rFonts w:ascii="Cambria Math" w:hAnsi="Cambria Math" w:eastAsiaTheme="minorEastAsia"/>
                    <w:i/>
                    <w:iCs/>
                    <w:szCs w:val="21"/>
                  </w:rPr>
                </m:ctrlPr>
              </m:sub>
            </m:sSub>
            <m:ctrlPr>
              <w:rPr>
                <w:rFonts w:ascii="Cambria Math" w:hAnsi="Cambria Math" w:eastAsiaTheme="minorEastAsia"/>
                <w:i/>
                <w:iCs/>
                <w:szCs w:val="21"/>
              </w:rPr>
            </m:ctrlPr>
          </m:e>
        </m:nary>
      </m:oMath>
      <w:r>
        <w:t>………………………………………………</w:t>
      </w:r>
      <w:r>
        <w:rPr>
          <w:rFonts w:hint="eastAsia"/>
        </w:rPr>
        <w:t>（2）</w:t>
      </w:r>
    </w:p>
    <w:p w14:paraId="4C039781">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式中：</w:t>
      </w:r>
    </w:p>
    <w:p w14:paraId="40D812D8">
      <w:pPr>
        <w:pStyle w:val="140"/>
        <w:spacing w:line="240" w:lineRule="auto"/>
        <w:ind w:leftChars="0" w:firstLine="420"/>
        <w:rPr>
          <w:rFonts w:hint="eastAsia" w:asciiTheme="minorEastAsia" w:hAnsiTheme="minorEastAsia" w:eastAsiaTheme="minorEastAsia"/>
          <w:sz w:val="21"/>
          <w:szCs w:val="21"/>
        </w:rPr>
      </w:pPr>
      <w:r>
        <w:rPr>
          <w:rFonts w:hint="eastAsia" w:cs="Cambria Math" w:asciiTheme="minorEastAsia" w:hAnsiTheme="minorEastAsia" w:eastAsiaTheme="minorEastAsia"/>
          <w:i/>
          <w:iCs/>
          <w:sz w:val="21"/>
          <w:szCs w:val="21"/>
        </w:rPr>
        <w:t>B——</w:t>
      </w:r>
      <w:r>
        <w:rPr>
          <w:rFonts w:hint="eastAsia" w:asciiTheme="minorEastAsia" w:hAnsiTheme="minorEastAsia" w:eastAsiaTheme="minorEastAsia"/>
          <w:sz w:val="21"/>
          <w:szCs w:val="21"/>
        </w:rPr>
        <w:t>追溯精确度得分；</w:t>
      </w:r>
    </w:p>
    <w:p w14:paraId="3C57C049">
      <w:pPr>
        <w:pStyle w:val="140"/>
        <w:spacing w:line="240" w:lineRule="auto"/>
        <w:ind w:leftChars="0" w:firstLine="420"/>
        <w:rPr>
          <w:rFonts w:hint="eastAsia" w:asciiTheme="minorEastAsia" w:hAnsiTheme="minorEastAsia" w:eastAsiaTheme="minorEastAsia"/>
          <w:sz w:val="21"/>
          <w:szCs w:val="21"/>
        </w:rPr>
      </w:pPr>
      <w:r>
        <w:rPr>
          <w:rFonts w:hint="eastAsia" w:cs="Cambria Math" w:asciiTheme="minorEastAsia" w:hAnsiTheme="minorEastAsia" w:eastAsiaTheme="minorEastAsia"/>
          <w:i/>
          <w:iCs/>
          <w:sz w:val="21"/>
          <w:szCs w:val="21"/>
        </w:rPr>
        <w:t>n——</w:t>
      </w:r>
      <w:r>
        <w:rPr>
          <w:rFonts w:hint="eastAsia" w:asciiTheme="minorEastAsia" w:hAnsiTheme="minorEastAsia" w:eastAsiaTheme="minorEastAsia"/>
          <w:sz w:val="21"/>
          <w:szCs w:val="21"/>
        </w:rPr>
        <w:t>追溯精确度的类型数；</w:t>
      </w:r>
    </w:p>
    <w:p w14:paraId="0D7885DE">
      <w:pPr>
        <w:pStyle w:val="140"/>
        <w:spacing w:line="240" w:lineRule="auto"/>
        <w:ind w:leftChars="0" w:firstLine="420"/>
        <w:rPr>
          <w:rFonts w:hint="eastAsia" w:asciiTheme="minorEastAsia" w:hAnsiTheme="minorEastAsia" w:eastAsiaTheme="minorEastAsia"/>
          <w:sz w:val="21"/>
          <w:szCs w:val="21"/>
        </w:rPr>
      </w:pPr>
      <m:oMath>
        <m:sSub>
          <m:sSubPr>
            <m:ctrlPr>
              <w:rPr>
                <w:rFonts w:ascii="Cambria Math" w:hAnsi="Cambria Math" w:eastAsiaTheme="minorEastAsia"/>
                <w:i/>
                <w:iCs/>
                <w:sz w:val="21"/>
                <w:szCs w:val="21"/>
              </w:rPr>
            </m:ctrlPr>
          </m:sSubPr>
          <m:e>
            <m:r>
              <m:rPr/>
              <w:rPr>
                <w:rFonts w:ascii="Cambria Math" w:hAnsi="Cambria Math" w:eastAsiaTheme="minorEastAsia"/>
                <w:sz w:val="21"/>
                <w:szCs w:val="21"/>
              </w:rPr>
              <m:t>b</m:t>
            </m:r>
            <m:ctrlPr>
              <w:rPr>
                <w:rFonts w:ascii="Cambria Math" w:hAnsi="Cambria Math" w:eastAsiaTheme="minorEastAsia"/>
                <w:i/>
                <w:iCs/>
                <w:sz w:val="21"/>
                <w:szCs w:val="21"/>
              </w:rPr>
            </m:ctrlPr>
          </m:e>
          <m:sub>
            <m:r>
              <m:rPr/>
              <w:rPr>
                <w:rFonts w:ascii="Cambria Math" w:hAnsi="Cambria Math" w:eastAsiaTheme="minorEastAsia"/>
                <w:sz w:val="21"/>
                <w:szCs w:val="21"/>
              </w:rPr>
              <m:t>i</m:t>
            </m:r>
            <m:ctrlPr>
              <w:rPr>
                <w:rFonts w:ascii="Cambria Math" w:hAnsi="Cambria Math" w:eastAsiaTheme="minorEastAsia"/>
                <w:i/>
                <w:iCs/>
                <w:sz w:val="21"/>
                <w:szCs w:val="21"/>
              </w:rPr>
            </m:ctrlPr>
          </m:sub>
        </m:sSub>
      </m:oMath>
      <w:r>
        <w:rPr>
          <w:rFonts w:hint="eastAsia" w:cs="Cambria Math" w:asciiTheme="minorEastAsia" w:hAnsiTheme="minorEastAsia" w:eastAsiaTheme="minorEastAsia"/>
          <w:i/>
          <w:iCs/>
          <w:sz w:val="21"/>
          <w:szCs w:val="21"/>
        </w:rPr>
        <w:t>——</w:t>
      </w:r>
      <w:r>
        <w:rPr>
          <w:rFonts w:hint="eastAsia" w:asciiTheme="minorEastAsia" w:hAnsiTheme="minorEastAsia" w:eastAsiaTheme="minorEastAsia"/>
          <w:iCs/>
          <w:sz w:val="21"/>
          <w:szCs w:val="21"/>
        </w:rPr>
        <w:t>不同类型</w:t>
      </w:r>
      <w:r>
        <w:rPr>
          <w:rFonts w:hint="eastAsia" w:asciiTheme="minorEastAsia" w:hAnsiTheme="minorEastAsia" w:eastAsiaTheme="minorEastAsia"/>
          <w:sz w:val="21"/>
          <w:szCs w:val="21"/>
        </w:rPr>
        <w:t>追溯精确度</w:t>
      </w:r>
      <w:r>
        <w:rPr>
          <w:rFonts w:hint="eastAsia" w:asciiTheme="minorEastAsia" w:hAnsiTheme="minorEastAsia" w:eastAsiaTheme="minorEastAsia"/>
          <w:iCs/>
          <w:sz w:val="21"/>
          <w:szCs w:val="21"/>
        </w:rPr>
        <w:t>所对应的</w:t>
      </w:r>
      <w:r>
        <w:rPr>
          <w:rFonts w:hint="eastAsia" w:asciiTheme="minorEastAsia" w:hAnsiTheme="minorEastAsia" w:eastAsiaTheme="minorEastAsia"/>
          <w:sz w:val="21"/>
          <w:szCs w:val="21"/>
        </w:rPr>
        <w:t>绿色电力消费量，单位为兆瓦时</w:t>
      </w:r>
      <w:r>
        <w:rPr>
          <w:rFonts w:asciiTheme="minorEastAsia" w:hAnsiTheme="minorEastAsia" w:eastAsiaTheme="minorEastAsia"/>
          <w:sz w:val="21"/>
          <w:szCs w:val="21"/>
        </w:rPr>
        <w:t>（MWh）</w:t>
      </w:r>
      <w:r>
        <w:rPr>
          <w:rFonts w:hint="eastAsia" w:asciiTheme="minorEastAsia" w:hAnsiTheme="minorEastAsia" w:eastAsiaTheme="minorEastAsia"/>
          <w:sz w:val="21"/>
          <w:szCs w:val="21"/>
        </w:rPr>
        <w:t>；</w:t>
      </w:r>
    </w:p>
    <w:p w14:paraId="63B444DA">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i/>
          <w:iCs/>
          <w:sz w:val="21"/>
          <w:szCs w:val="21"/>
        </w:rPr>
        <w:t>T</w:t>
      </w:r>
      <w:r>
        <w:rPr>
          <w:rFonts w:hint="eastAsia" w:asciiTheme="minorEastAsia" w:hAnsiTheme="minorEastAsia" w:eastAsiaTheme="minorEastAsia"/>
          <w:sz w:val="21"/>
          <w:szCs w:val="21"/>
        </w:rPr>
        <w:t>——报告主体用电量，单位为兆瓦时</w:t>
      </w:r>
      <w:r>
        <w:rPr>
          <w:rFonts w:asciiTheme="minorEastAsia" w:hAnsiTheme="minorEastAsia" w:eastAsiaTheme="minorEastAsia"/>
          <w:sz w:val="21"/>
          <w:szCs w:val="21"/>
        </w:rPr>
        <w:t>（MWh）</w:t>
      </w:r>
      <w:r>
        <w:rPr>
          <w:rFonts w:hint="eastAsia" w:asciiTheme="minorEastAsia" w:hAnsiTheme="minorEastAsia" w:eastAsiaTheme="minorEastAsia"/>
          <w:sz w:val="21"/>
          <w:szCs w:val="21"/>
        </w:rPr>
        <w:t>；</w:t>
      </w:r>
    </w:p>
    <w:p w14:paraId="15C249AC">
      <w:pPr>
        <w:pStyle w:val="140"/>
        <w:spacing w:line="240" w:lineRule="auto"/>
        <w:ind w:leftChars="0" w:firstLine="420"/>
        <w:rPr>
          <w:rFonts w:hint="eastAsia" w:asciiTheme="minorEastAsia" w:hAnsiTheme="minorEastAsia" w:eastAsiaTheme="minorEastAsia"/>
          <w:sz w:val="21"/>
          <w:szCs w:val="21"/>
        </w:rPr>
      </w:pPr>
      <m:oMath>
        <m:sSub>
          <m:sSubPr>
            <m:ctrlPr>
              <w:rPr>
                <w:rFonts w:ascii="Cambria Math" w:hAnsi="Cambria Math" w:eastAsiaTheme="minorEastAsia"/>
                <w:i/>
                <w:iCs/>
                <w:sz w:val="21"/>
                <w:szCs w:val="21"/>
              </w:rPr>
            </m:ctrlPr>
          </m:sSubPr>
          <m:e>
            <m:r>
              <m:rPr/>
              <w:rPr>
                <w:rFonts w:ascii="Cambria Math" w:hAnsi="Cambria Math" w:cs="Cambria Math" w:eastAsiaTheme="minorEastAsia"/>
                <w:sz w:val="21"/>
                <w:szCs w:val="21"/>
              </w:rPr>
              <m:t>ω</m:t>
            </m:r>
            <m:ctrlPr>
              <w:rPr>
                <w:rFonts w:ascii="Cambria Math" w:hAnsi="Cambria Math" w:eastAsiaTheme="minorEastAsia"/>
                <w:i/>
                <w:iCs/>
                <w:sz w:val="21"/>
                <w:szCs w:val="21"/>
              </w:rPr>
            </m:ctrlPr>
          </m:e>
          <m:sub>
            <m:r>
              <m:rPr/>
              <w:rPr>
                <w:rFonts w:ascii="Cambria Math" w:hAnsi="Cambria Math" w:eastAsiaTheme="minorEastAsia"/>
                <w:sz w:val="21"/>
                <w:szCs w:val="21"/>
              </w:rPr>
              <m:t>i</m:t>
            </m:r>
            <m:ctrlPr>
              <w:rPr>
                <w:rFonts w:ascii="Cambria Math" w:hAnsi="Cambria Math" w:eastAsiaTheme="minorEastAsia"/>
                <w:i/>
                <w:iCs/>
                <w:sz w:val="21"/>
                <w:szCs w:val="21"/>
              </w:rPr>
            </m:ctrlPr>
          </m:sub>
        </m:sSub>
      </m:oMath>
      <w:r>
        <w:rPr>
          <w:rFonts w:hint="eastAsia" w:cs="Cambria Math" w:asciiTheme="minorEastAsia" w:hAnsiTheme="minorEastAsia" w:eastAsiaTheme="minorEastAsia"/>
          <w:i/>
          <w:iCs/>
          <w:sz w:val="21"/>
          <w:szCs w:val="21"/>
        </w:rPr>
        <w:t>——</w:t>
      </w:r>
      <w:r>
        <w:rPr>
          <w:rFonts w:hint="eastAsia" w:asciiTheme="minorEastAsia" w:hAnsiTheme="minorEastAsia" w:eastAsiaTheme="minorEastAsia"/>
          <w:iCs/>
          <w:sz w:val="21"/>
          <w:szCs w:val="21"/>
        </w:rPr>
        <w:t>不同类型的</w:t>
      </w:r>
      <w:r>
        <w:rPr>
          <w:rFonts w:hint="eastAsia" w:asciiTheme="minorEastAsia" w:hAnsiTheme="minorEastAsia" w:eastAsiaTheme="minorEastAsia"/>
          <w:sz w:val="21"/>
          <w:szCs w:val="21"/>
        </w:rPr>
        <w:t>追溯精确度赋分。</w:t>
      </w:r>
    </w:p>
    <w:p w14:paraId="5991033B">
      <w:pPr>
        <w:pStyle w:val="22"/>
        <w:jc w:val="right"/>
      </w:pPr>
      <m:oMath>
        <m:r>
          <m:rPr/>
          <w:rPr>
            <w:rFonts w:hint="eastAsia" w:ascii="Cambria Math" w:hAnsi="Cambria Math" w:cs="Cambria Math" w:eastAsiaTheme="minorEastAsia"/>
            <w:szCs w:val="21"/>
          </w:rPr>
          <m:t>C</m:t>
        </m:r>
        <m:r>
          <m:rPr/>
          <w:rPr>
            <w:rFonts w:hint="eastAsia" w:ascii="Cambria Math" w:hAnsi="Cambria Math" w:eastAsiaTheme="minorEastAsia"/>
            <w:szCs w:val="21"/>
          </w:rPr>
          <m:t>=</m:t>
        </m:r>
        <m:nary>
          <m:naryPr>
            <m:chr m:val="∑"/>
            <m:limLoc m:val="undOvr"/>
            <m:ctrlPr>
              <w:rPr>
                <w:rFonts w:ascii="Cambria Math" w:hAnsi="Cambria Math" w:eastAsiaTheme="minorEastAsia"/>
                <w:i/>
                <w:iCs/>
                <w:szCs w:val="21"/>
              </w:rPr>
            </m:ctrlPr>
          </m:naryPr>
          <m:sub>
            <m:r>
              <m:rPr/>
              <w:rPr>
                <w:rFonts w:ascii="Cambria Math" w:hAnsi="Cambria Math" w:eastAsiaTheme="minorEastAsia"/>
                <w:szCs w:val="21"/>
              </w:rPr>
              <m:t>i=1</m:t>
            </m:r>
            <m:ctrlPr>
              <w:rPr>
                <w:rFonts w:ascii="Cambria Math" w:hAnsi="Cambria Math" w:eastAsiaTheme="minorEastAsia"/>
                <w:i/>
                <w:iCs/>
                <w:szCs w:val="21"/>
              </w:rPr>
            </m:ctrlPr>
          </m:sub>
          <m:sup>
            <m:r>
              <m:rPr/>
              <w:rPr>
                <w:rFonts w:ascii="Cambria Math" w:hAnsi="Cambria Math" w:eastAsiaTheme="minorEastAsia"/>
                <w:szCs w:val="21"/>
              </w:rPr>
              <m:t>m</m:t>
            </m:r>
            <m:ctrlPr>
              <w:rPr>
                <w:rFonts w:ascii="Cambria Math" w:hAnsi="Cambria Math" w:eastAsiaTheme="minorEastAsia"/>
                <w:i/>
                <w:iCs/>
                <w:szCs w:val="21"/>
              </w:rPr>
            </m:ctrlPr>
          </m:sup>
          <m:e>
            <m:f>
              <m:fPr>
                <m:ctrlPr>
                  <w:rPr>
                    <w:rFonts w:ascii="Cambria Math" w:hAnsi="Cambria Math" w:eastAsiaTheme="minorEastAsia"/>
                    <w:i/>
                    <w:iCs/>
                    <w:szCs w:val="21"/>
                  </w:rPr>
                </m:ctrlPr>
              </m:fPr>
              <m:num>
                <m:sSub>
                  <m:sSubPr>
                    <m:ctrlPr>
                      <w:rPr>
                        <w:rFonts w:ascii="Cambria Math" w:hAnsi="Cambria Math" w:eastAsiaTheme="minorEastAsia"/>
                        <w:i/>
                        <w:iCs/>
                        <w:szCs w:val="21"/>
                      </w:rPr>
                    </m:ctrlPr>
                  </m:sSubPr>
                  <m:e>
                    <m:r>
                      <m:rPr/>
                      <w:rPr>
                        <w:rFonts w:ascii="Cambria Math" w:hAnsi="Cambria Math" w:eastAsiaTheme="minorEastAsia"/>
                        <w:szCs w:val="21"/>
                      </w:rPr>
                      <m:t>c</m:t>
                    </m:r>
                    <m:ctrlPr>
                      <w:rPr>
                        <w:rFonts w:ascii="Cambria Math" w:hAnsi="Cambria Math" w:eastAsiaTheme="minorEastAsia"/>
                        <w:i/>
                        <w:iCs/>
                        <w:szCs w:val="21"/>
                      </w:rPr>
                    </m:ctrlPr>
                  </m:e>
                  <m:sub>
                    <m:r>
                      <m:rPr/>
                      <w:rPr>
                        <w:rFonts w:ascii="Cambria Math" w:hAnsi="Cambria Math" w:eastAsiaTheme="minorEastAsia"/>
                        <w:szCs w:val="21"/>
                      </w:rPr>
                      <m:t>i</m:t>
                    </m:r>
                    <m:ctrlPr>
                      <w:rPr>
                        <w:rFonts w:ascii="Cambria Math" w:hAnsi="Cambria Math" w:eastAsiaTheme="minorEastAsia"/>
                        <w:i/>
                        <w:iCs/>
                        <w:szCs w:val="21"/>
                      </w:rPr>
                    </m:ctrlPr>
                  </m:sub>
                </m:sSub>
                <m:ctrlPr>
                  <w:rPr>
                    <w:rFonts w:ascii="Cambria Math" w:hAnsi="Cambria Math" w:eastAsiaTheme="minorEastAsia"/>
                    <w:i/>
                    <w:iCs/>
                    <w:szCs w:val="21"/>
                  </w:rPr>
                </m:ctrlPr>
              </m:num>
              <m:den>
                <m:r>
                  <m:rPr/>
                  <w:rPr>
                    <w:rFonts w:hint="eastAsia" w:ascii="Cambria Math" w:hAnsi="Cambria Math" w:eastAsiaTheme="minorEastAsia"/>
                    <w:szCs w:val="21"/>
                  </w:rPr>
                  <m:t>T</m:t>
                </m:r>
                <m:ctrlPr>
                  <w:rPr>
                    <w:rFonts w:ascii="Cambria Math" w:hAnsi="Cambria Math" w:eastAsiaTheme="minorEastAsia"/>
                    <w:i/>
                    <w:iCs/>
                    <w:szCs w:val="21"/>
                  </w:rPr>
                </m:ctrlPr>
              </m:den>
            </m:f>
            <m:r>
              <m:rPr/>
              <w:rPr>
                <w:rFonts w:hint="eastAsia" w:ascii="Cambria Math" w:hAnsi="Cambria Math" w:eastAsiaTheme="minorEastAsia"/>
                <w:szCs w:val="21"/>
              </w:rPr>
              <m:t>×</m:t>
            </m:r>
            <m:sSub>
              <m:sSubPr>
                <m:ctrlPr>
                  <w:rPr>
                    <w:rFonts w:ascii="Cambria Math" w:hAnsi="Cambria Math" w:eastAsiaTheme="minorEastAsia"/>
                    <w:i/>
                    <w:iCs/>
                    <w:szCs w:val="21"/>
                  </w:rPr>
                </m:ctrlPr>
              </m:sSubPr>
              <m:e>
                <m:r>
                  <m:rPr/>
                  <w:rPr>
                    <w:rFonts w:ascii="Cambria Math" w:hAnsi="Cambria Math" w:cs="Cambria Math" w:eastAsiaTheme="minorEastAsia"/>
                    <w:szCs w:val="21"/>
                  </w:rPr>
                  <m:t>θ</m:t>
                </m:r>
                <m:ctrlPr>
                  <w:rPr>
                    <w:rFonts w:ascii="Cambria Math" w:hAnsi="Cambria Math" w:eastAsiaTheme="minorEastAsia"/>
                    <w:i/>
                    <w:iCs/>
                    <w:szCs w:val="21"/>
                  </w:rPr>
                </m:ctrlPr>
              </m:e>
              <m:sub>
                <m:r>
                  <m:rPr/>
                  <w:rPr>
                    <w:rFonts w:ascii="Cambria Math" w:hAnsi="Cambria Math" w:eastAsiaTheme="minorEastAsia"/>
                    <w:szCs w:val="21"/>
                  </w:rPr>
                  <m:t>i</m:t>
                </m:r>
                <m:ctrlPr>
                  <w:rPr>
                    <w:rFonts w:ascii="Cambria Math" w:hAnsi="Cambria Math" w:eastAsiaTheme="minorEastAsia"/>
                    <w:i/>
                    <w:iCs/>
                    <w:szCs w:val="21"/>
                  </w:rPr>
                </m:ctrlPr>
              </m:sub>
            </m:sSub>
            <m:ctrlPr>
              <w:rPr>
                <w:rFonts w:ascii="Cambria Math" w:hAnsi="Cambria Math" w:eastAsiaTheme="minorEastAsia"/>
                <w:i/>
                <w:iCs/>
                <w:szCs w:val="21"/>
              </w:rPr>
            </m:ctrlPr>
          </m:e>
        </m:nary>
      </m:oMath>
      <w:r>
        <w:t>………………………………………………</w:t>
      </w:r>
      <w:r>
        <w:rPr>
          <w:rFonts w:hint="eastAsia"/>
        </w:rPr>
        <w:t>（3）</w:t>
      </w:r>
    </w:p>
    <w:p w14:paraId="2B35CDAB">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式中：</w:t>
      </w:r>
    </w:p>
    <w:p w14:paraId="4A1FEDCA">
      <w:pPr>
        <w:pStyle w:val="140"/>
        <w:spacing w:line="240" w:lineRule="auto"/>
        <w:ind w:leftChars="0" w:firstLine="420"/>
        <w:rPr>
          <w:rFonts w:hint="eastAsia" w:asciiTheme="minorEastAsia" w:hAnsiTheme="minorEastAsia" w:eastAsiaTheme="minorEastAsia"/>
          <w:sz w:val="21"/>
          <w:szCs w:val="21"/>
        </w:rPr>
      </w:pPr>
      <m:oMath>
        <m:r>
          <m:rPr/>
          <w:rPr>
            <w:rFonts w:hint="eastAsia" w:ascii="Cambria Math" w:hAnsi="Cambria Math" w:cs="Cambria Math" w:eastAsiaTheme="minorEastAsia"/>
            <w:sz w:val="21"/>
            <w:szCs w:val="21"/>
          </w:rPr>
          <m:t>C</m:t>
        </m:r>
      </m:oMath>
      <w:r>
        <w:rPr>
          <w:rFonts w:hint="eastAsia" w:cs="Cambria Math" w:asciiTheme="minorEastAsia" w:hAnsiTheme="minorEastAsia" w:eastAsiaTheme="minorEastAsia"/>
          <w:i/>
          <w:iCs/>
          <w:sz w:val="21"/>
          <w:szCs w:val="21"/>
        </w:rPr>
        <w:t>——</w:t>
      </w:r>
      <w:r>
        <w:rPr>
          <w:rFonts w:hint="eastAsia" w:asciiTheme="minorEastAsia" w:hAnsiTheme="minorEastAsia" w:eastAsiaTheme="minorEastAsia"/>
          <w:sz w:val="21"/>
          <w:szCs w:val="21"/>
        </w:rPr>
        <w:t>边际贡献度得分；</w:t>
      </w:r>
    </w:p>
    <w:p w14:paraId="45F241F6">
      <w:pPr>
        <w:pStyle w:val="140"/>
        <w:spacing w:line="240" w:lineRule="auto"/>
        <w:ind w:leftChars="0" w:firstLine="420"/>
        <w:rPr>
          <w:rFonts w:hint="eastAsia" w:asciiTheme="minorEastAsia" w:hAnsiTheme="minorEastAsia" w:eastAsiaTheme="minorEastAsia"/>
          <w:sz w:val="21"/>
          <w:szCs w:val="21"/>
        </w:rPr>
      </w:pPr>
      <w:r>
        <w:rPr>
          <w:rFonts w:hint="eastAsia" w:cs="Cambria Math" w:asciiTheme="minorEastAsia" w:hAnsiTheme="minorEastAsia" w:eastAsiaTheme="minorEastAsia"/>
          <w:i/>
          <w:iCs/>
          <w:sz w:val="21"/>
          <w:szCs w:val="21"/>
        </w:rPr>
        <w:t>m——</w:t>
      </w:r>
      <w:r>
        <w:rPr>
          <w:rFonts w:hint="eastAsia" w:asciiTheme="minorEastAsia" w:hAnsiTheme="minorEastAsia" w:eastAsiaTheme="minorEastAsia"/>
          <w:sz w:val="21"/>
          <w:szCs w:val="21"/>
        </w:rPr>
        <w:t>边际贡献度的类型数；</w:t>
      </w:r>
    </w:p>
    <w:p w14:paraId="79D96390">
      <w:pPr>
        <w:pStyle w:val="140"/>
        <w:spacing w:line="240" w:lineRule="auto"/>
        <w:ind w:leftChars="0" w:firstLine="420"/>
        <w:rPr>
          <w:rFonts w:hint="eastAsia" w:asciiTheme="minorEastAsia" w:hAnsiTheme="minorEastAsia" w:eastAsiaTheme="minorEastAsia"/>
          <w:sz w:val="21"/>
          <w:szCs w:val="21"/>
        </w:rPr>
      </w:pPr>
      <m:oMath>
        <m:sSub>
          <m:sSubPr>
            <m:ctrlPr>
              <w:rPr>
                <w:rFonts w:ascii="Cambria Math" w:hAnsi="Cambria Math" w:eastAsiaTheme="minorEastAsia"/>
                <w:i/>
                <w:iCs/>
                <w:sz w:val="21"/>
                <w:szCs w:val="21"/>
              </w:rPr>
            </m:ctrlPr>
          </m:sSubPr>
          <m:e>
            <m:r>
              <m:rPr/>
              <w:rPr>
                <w:rFonts w:ascii="Cambria Math" w:hAnsi="Cambria Math" w:eastAsiaTheme="minorEastAsia"/>
                <w:sz w:val="21"/>
                <w:szCs w:val="21"/>
              </w:rPr>
              <m:t>c</m:t>
            </m:r>
            <m:ctrlPr>
              <w:rPr>
                <w:rFonts w:ascii="Cambria Math" w:hAnsi="Cambria Math" w:eastAsiaTheme="minorEastAsia"/>
                <w:i/>
                <w:iCs/>
                <w:sz w:val="21"/>
                <w:szCs w:val="21"/>
              </w:rPr>
            </m:ctrlPr>
          </m:e>
          <m:sub>
            <m:r>
              <m:rPr/>
              <w:rPr>
                <w:rFonts w:ascii="Cambria Math" w:hAnsi="Cambria Math" w:eastAsiaTheme="minorEastAsia"/>
                <w:sz w:val="21"/>
                <w:szCs w:val="21"/>
              </w:rPr>
              <m:t>i</m:t>
            </m:r>
            <m:ctrlPr>
              <w:rPr>
                <w:rFonts w:ascii="Cambria Math" w:hAnsi="Cambria Math" w:eastAsiaTheme="minorEastAsia"/>
                <w:i/>
                <w:iCs/>
                <w:sz w:val="21"/>
                <w:szCs w:val="21"/>
              </w:rPr>
            </m:ctrlPr>
          </m:sub>
        </m:sSub>
      </m:oMath>
      <w:r>
        <w:rPr>
          <w:rFonts w:hint="eastAsia" w:cs="Cambria Math" w:asciiTheme="minorEastAsia" w:hAnsiTheme="minorEastAsia" w:eastAsiaTheme="minorEastAsia"/>
          <w:i/>
          <w:iCs/>
          <w:sz w:val="21"/>
          <w:szCs w:val="21"/>
        </w:rPr>
        <w:t>——</w:t>
      </w:r>
      <w:r>
        <w:rPr>
          <w:rFonts w:hint="eastAsia" w:asciiTheme="minorEastAsia" w:hAnsiTheme="minorEastAsia" w:eastAsiaTheme="minorEastAsia"/>
          <w:iCs/>
          <w:sz w:val="21"/>
          <w:szCs w:val="21"/>
        </w:rPr>
        <w:t>不同类型</w:t>
      </w:r>
      <w:r>
        <w:rPr>
          <w:rFonts w:hint="eastAsia" w:asciiTheme="minorEastAsia" w:hAnsiTheme="minorEastAsia" w:eastAsiaTheme="minorEastAsia"/>
          <w:sz w:val="21"/>
          <w:szCs w:val="21"/>
        </w:rPr>
        <w:t>边际贡献度</w:t>
      </w:r>
      <w:r>
        <w:rPr>
          <w:rFonts w:hint="eastAsia" w:asciiTheme="minorEastAsia" w:hAnsiTheme="minorEastAsia" w:eastAsiaTheme="minorEastAsia"/>
          <w:iCs/>
          <w:sz w:val="21"/>
          <w:szCs w:val="21"/>
        </w:rPr>
        <w:t>所对应的</w:t>
      </w:r>
      <w:r>
        <w:rPr>
          <w:rFonts w:hint="eastAsia" w:asciiTheme="minorEastAsia" w:hAnsiTheme="minorEastAsia" w:eastAsiaTheme="minorEastAsia"/>
          <w:sz w:val="21"/>
          <w:szCs w:val="21"/>
        </w:rPr>
        <w:t>绿色电力消费量，单位为兆瓦时</w:t>
      </w:r>
      <w:r>
        <w:rPr>
          <w:rFonts w:asciiTheme="minorEastAsia" w:hAnsiTheme="minorEastAsia" w:eastAsiaTheme="minorEastAsia"/>
          <w:sz w:val="21"/>
          <w:szCs w:val="21"/>
        </w:rPr>
        <w:t>（MWh）</w:t>
      </w:r>
      <w:r>
        <w:rPr>
          <w:rFonts w:hint="eastAsia" w:asciiTheme="minorEastAsia" w:hAnsiTheme="minorEastAsia" w:eastAsiaTheme="minorEastAsia"/>
          <w:sz w:val="21"/>
          <w:szCs w:val="21"/>
        </w:rPr>
        <w:t>；</w:t>
      </w:r>
    </w:p>
    <w:p w14:paraId="23CD8C6A">
      <w:pPr>
        <w:pStyle w:val="140"/>
        <w:spacing w:line="240" w:lineRule="auto"/>
        <w:ind w:leftChars="0" w:firstLine="420"/>
        <w:rPr>
          <w:rFonts w:hint="eastAsia" w:asciiTheme="minorEastAsia" w:hAnsiTheme="minorEastAsia" w:eastAsiaTheme="minorEastAsia"/>
          <w:sz w:val="21"/>
          <w:szCs w:val="21"/>
        </w:rPr>
      </w:pPr>
      <m:oMath>
        <m:sSub>
          <m:sSubPr>
            <m:ctrlPr>
              <w:rPr>
                <w:rFonts w:ascii="Cambria Math" w:hAnsi="Cambria Math" w:eastAsiaTheme="minorEastAsia"/>
                <w:i/>
                <w:iCs/>
                <w:sz w:val="21"/>
                <w:szCs w:val="21"/>
              </w:rPr>
            </m:ctrlPr>
          </m:sSubPr>
          <m:e>
            <m:r>
              <m:rPr/>
              <w:rPr>
                <w:rFonts w:ascii="Cambria Math" w:hAnsi="Cambria Math" w:cs="Cambria Math" w:eastAsiaTheme="minorEastAsia"/>
                <w:sz w:val="21"/>
                <w:szCs w:val="21"/>
              </w:rPr>
              <m:t>θ</m:t>
            </m:r>
            <m:ctrlPr>
              <w:rPr>
                <w:rFonts w:ascii="Cambria Math" w:hAnsi="Cambria Math" w:eastAsiaTheme="minorEastAsia"/>
                <w:i/>
                <w:iCs/>
                <w:sz w:val="21"/>
                <w:szCs w:val="21"/>
              </w:rPr>
            </m:ctrlPr>
          </m:e>
          <m:sub>
            <m:r>
              <m:rPr/>
              <w:rPr>
                <w:rFonts w:ascii="Cambria Math" w:hAnsi="Cambria Math" w:eastAsiaTheme="minorEastAsia"/>
                <w:sz w:val="21"/>
                <w:szCs w:val="21"/>
              </w:rPr>
              <m:t>i</m:t>
            </m:r>
            <m:ctrlPr>
              <w:rPr>
                <w:rFonts w:ascii="Cambria Math" w:hAnsi="Cambria Math" w:eastAsiaTheme="minorEastAsia"/>
                <w:i/>
                <w:iCs/>
                <w:sz w:val="21"/>
                <w:szCs w:val="21"/>
              </w:rPr>
            </m:ctrlPr>
          </m:sub>
        </m:sSub>
      </m:oMath>
      <w:r>
        <w:rPr>
          <w:rFonts w:hint="eastAsia" w:asciiTheme="minorEastAsia" w:hAnsiTheme="minorEastAsia" w:eastAsiaTheme="minorEastAsia"/>
          <w:sz w:val="21"/>
          <w:szCs w:val="21"/>
        </w:rPr>
        <w:t>——</w:t>
      </w:r>
      <w:r>
        <w:rPr>
          <w:rFonts w:hint="eastAsia" w:asciiTheme="minorEastAsia" w:hAnsiTheme="minorEastAsia" w:eastAsiaTheme="minorEastAsia"/>
          <w:iCs/>
          <w:sz w:val="21"/>
          <w:szCs w:val="21"/>
        </w:rPr>
        <w:t>为不同类型的</w:t>
      </w:r>
      <w:r>
        <w:rPr>
          <w:rFonts w:hint="eastAsia" w:asciiTheme="minorEastAsia" w:hAnsiTheme="minorEastAsia" w:eastAsiaTheme="minorEastAsia"/>
          <w:sz w:val="21"/>
          <w:szCs w:val="21"/>
        </w:rPr>
        <w:t>边际贡献度赋分。</w:t>
      </w:r>
    </w:p>
    <w:p w14:paraId="1F909726">
      <w:pPr>
        <w:pStyle w:val="22"/>
        <w:jc w:val="right"/>
      </w:pPr>
      <m:oMath>
        <m:r>
          <m:rPr/>
          <w:rPr>
            <w:rFonts w:hint="eastAsia" w:ascii="Cambria Math" w:hAnsi="Cambria Math" w:cs="Cambria Math" w:eastAsiaTheme="minorEastAsia"/>
            <w:szCs w:val="21"/>
          </w:rPr>
          <m:t>D</m:t>
        </m:r>
        <m:r>
          <m:rPr/>
          <w:rPr>
            <w:rFonts w:hint="eastAsia" w:ascii="Cambria Math" w:hAnsi="Cambria Math" w:eastAsiaTheme="minorEastAsia"/>
            <w:szCs w:val="21"/>
          </w:rPr>
          <m:t>=</m:t>
        </m:r>
        <m:nary>
          <m:naryPr>
            <m:chr m:val="∑"/>
            <m:limLoc m:val="undOvr"/>
            <m:ctrlPr>
              <w:rPr>
                <w:rFonts w:ascii="Cambria Math" w:hAnsi="Cambria Math" w:eastAsiaTheme="minorEastAsia"/>
                <w:i/>
                <w:iCs/>
                <w:szCs w:val="21"/>
              </w:rPr>
            </m:ctrlPr>
          </m:naryPr>
          <m:sub>
            <m:r>
              <m:rPr/>
              <w:rPr>
                <w:rFonts w:ascii="Cambria Math" w:hAnsi="Cambria Math" w:eastAsiaTheme="minorEastAsia"/>
                <w:szCs w:val="21"/>
              </w:rPr>
              <m:t>i=1</m:t>
            </m:r>
            <m:ctrlPr>
              <w:rPr>
                <w:rFonts w:ascii="Cambria Math" w:hAnsi="Cambria Math" w:eastAsiaTheme="minorEastAsia"/>
                <w:i/>
                <w:iCs/>
                <w:szCs w:val="21"/>
              </w:rPr>
            </m:ctrlPr>
          </m:sub>
          <m:sup>
            <m:r>
              <m:rPr/>
              <w:rPr>
                <w:rFonts w:ascii="Cambria Math" w:hAnsi="Cambria Math" w:eastAsiaTheme="minorEastAsia"/>
                <w:szCs w:val="21"/>
              </w:rPr>
              <m:t>o</m:t>
            </m:r>
            <m:ctrlPr>
              <w:rPr>
                <w:rFonts w:ascii="Cambria Math" w:hAnsi="Cambria Math" w:eastAsiaTheme="minorEastAsia"/>
                <w:i/>
                <w:iCs/>
                <w:szCs w:val="21"/>
              </w:rPr>
            </m:ctrlPr>
          </m:sup>
          <m:e>
            <m:f>
              <m:fPr>
                <m:ctrlPr>
                  <w:rPr>
                    <w:rFonts w:ascii="Cambria Math" w:hAnsi="Cambria Math" w:eastAsiaTheme="minorEastAsia"/>
                    <w:i/>
                    <w:iCs/>
                    <w:szCs w:val="21"/>
                  </w:rPr>
                </m:ctrlPr>
              </m:fPr>
              <m:num>
                <m:sSub>
                  <m:sSubPr>
                    <m:ctrlPr>
                      <w:rPr>
                        <w:rFonts w:ascii="Cambria Math" w:hAnsi="Cambria Math" w:eastAsiaTheme="minorEastAsia"/>
                        <w:i/>
                        <w:iCs/>
                        <w:szCs w:val="21"/>
                      </w:rPr>
                    </m:ctrlPr>
                  </m:sSubPr>
                  <m:e>
                    <m:r>
                      <m:rPr/>
                      <w:rPr>
                        <w:rFonts w:ascii="Cambria Math" w:hAnsi="Cambria Math" w:eastAsiaTheme="minorEastAsia"/>
                        <w:szCs w:val="21"/>
                      </w:rPr>
                      <m:t>d</m:t>
                    </m:r>
                    <m:ctrlPr>
                      <w:rPr>
                        <w:rFonts w:ascii="Cambria Math" w:hAnsi="Cambria Math" w:eastAsiaTheme="minorEastAsia"/>
                        <w:i/>
                        <w:iCs/>
                        <w:szCs w:val="21"/>
                      </w:rPr>
                    </m:ctrlPr>
                  </m:e>
                  <m:sub>
                    <m:r>
                      <m:rPr/>
                      <w:rPr>
                        <w:rFonts w:ascii="Cambria Math" w:hAnsi="Cambria Math" w:eastAsiaTheme="minorEastAsia"/>
                        <w:szCs w:val="21"/>
                      </w:rPr>
                      <m:t>i</m:t>
                    </m:r>
                    <m:ctrlPr>
                      <w:rPr>
                        <w:rFonts w:ascii="Cambria Math" w:hAnsi="Cambria Math" w:eastAsiaTheme="minorEastAsia"/>
                        <w:i/>
                        <w:iCs/>
                        <w:szCs w:val="21"/>
                      </w:rPr>
                    </m:ctrlPr>
                  </m:sub>
                </m:sSub>
                <m:ctrlPr>
                  <w:rPr>
                    <w:rFonts w:ascii="Cambria Math" w:hAnsi="Cambria Math" w:eastAsiaTheme="minorEastAsia"/>
                    <w:i/>
                    <w:iCs/>
                    <w:szCs w:val="21"/>
                  </w:rPr>
                </m:ctrlPr>
              </m:num>
              <m:den>
                <m:r>
                  <m:rPr/>
                  <w:rPr>
                    <w:rFonts w:hint="eastAsia" w:ascii="Cambria Math" w:hAnsi="Cambria Math" w:eastAsiaTheme="minorEastAsia"/>
                    <w:szCs w:val="21"/>
                  </w:rPr>
                  <m:t>T</m:t>
                </m:r>
                <m:ctrlPr>
                  <w:rPr>
                    <w:rFonts w:ascii="Cambria Math" w:hAnsi="Cambria Math" w:eastAsiaTheme="minorEastAsia"/>
                    <w:i/>
                    <w:iCs/>
                    <w:szCs w:val="21"/>
                  </w:rPr>
                </m:ctrlPr>
              </m:den>
            </m:f>
            <m:r>
              <m:rPr/>
              <w:rPr>
                <w:rFonts w:hint="eastAsia" w:ascii="Cambria Math" w:hAnsi="Cambria Math" w:eastAsiaTheme="minorEastAsia"/>
                <w:szCs w:val="21"/>
              </w:rPr>
              <m:t>×</m:t>
            </m:r>
            <m:sSub>
              <m:sSubPr>
                <m:ctrlPr>
                  <w:rPr>
                    <w:rFonts w:ascii="Cambria Math" w:hAnsi="Cambria Math" w:eastAsiaTheme="minorEastAsia"/>
                    <w:i/>
                    <w:iCs/>
                    <w:szCs w:val="21"/>
                  </w:rPr>
                </m:ctrlPr>
              </m:sSubPr>
              <m:e>
                <m:r>
                  <m:rPr/>
                  <w:rPr>
                    <w:rFonts w:ascii="Cambria Math" w:hAnsi="Cambria Math" w:cs="Cambria Math" w:eastAsiaTheme="minorEastAsia"/>
                    <w:szCs w:val="21"/>
                  </w:rPr>
                  <m:t>φ</m:t>
                </m:r>
                <m:ctrlPr>
                  <w:rPr>
                    <w:rFonts w:ascii="Cambria Math" w:hAnsi="Cambria Math" w:eastAsiaTheme="minorEastAsia"/>
                    <w:i/>
                    <w:iCs/>
                    <w:szCs w:val="21"/>
                  </w:rPr>
                </m:ctrlPr>
              </m:e>
              <m:sub>
                <m:r>
                  <m:rPr/>
                  <w:rPr>
                    <w:rFonts w:ascii="Cambria Math" w:hAnsi="Cambria Math" w:eastAsiaTheme="minorEastAsia"/>
                    <w:szCs w:val="21"/>
                  </w:rPr>
                  <m:t>i</m:t>
                </m:r>
                <m:ctrlPr>
                  <w:rPr>
                    <w:rFonts w:ascii="Cambria Math" w:hAnsi="Cambria Math" w:eastAsiaTheme="minorEastAsia"/>
                    <w:i/>
                    <w:iCs/>
                    <w:szCs w:val="21"/>
                  </w:rPr>
                </m:ctrlPr>
              </m:sub>
            </m:sSub>
            <m:ctrlPr>
              <w:rPr>
                <w:rFonts w:ascii="Cambria Math" w:hAnsi="Cambria Math" w:eastAsiaTheme="minorEastAsia"/>
                <w:i/>
                <w:iCs/>
                <w:szCs w:val="21"/>
              </w:rPr>
            </m:ctrlPr>
          </m:e>
        </m:nary>
      </m:oMath>
      <w:r>
        <w:t>………………………………………………</w:t>
      </w:r>
      <w:r>
        <w:rPr>
          <w:rFonts w:hint="eastAsia"/>
        </w:rPr>
        <w:t>（4）</w:t>
      </w:r>
    </w:p>
    <w:p w14:paraId="09036214">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式中：</w:t>
      </w:r>
    </w:p>
    <w:p w14:paraId="61D64180">
      <w:pPr>
        <w:pStyle w:val="140"/>
        <w:spacing w:line="240" w:lineRule="auto"/>
        <w:ind w:leftChars="0" w:firstLine="420"/>
        <w:rPr>
          <w:rFonts w:hint="eastAsia" w:asciiTheme="minorEastAsia" w:hAnsiTheme="minorEastAsia" w:eastAsiaTheme="minorEastAsia"/>
          <w:sz w:val="21"/>
          <w:szCs w:val="21"/>
        </w:rPr>
      </w:pPr>
      <w:r>
        <w:rPr>
          <w:rFonts w:hint="eastAsia" w:cs="Cambria Math" w:asciiTheme="minorEastAsia" w:hAnsiTheme="minorEastAsia" w:eastAsiaTheme="minorEastAsia"/>
          <w:i/>
          <w:iCs/>
          <w:sz w:val="21"/>
          <w:szCs w:val="21"/>
        </w:rPr>
        <w:t>D</w:t>
      </w:r>
      <w:r>
        <w:rPr>
          <w:rFonts w:hint="eastAsia" w:asciiTheme="minorEastAsia" w:hAnsiTheme="minorEastAsia" w:eastAsiaTheme="minorEastAsia"/>
          <w:sz w:val="21"/>
          <w:szCs w:val="21"/>
        </w:rPr>
        <w:t>——购用时序匹配度得分；</w:t>
      </w:r>
    </w:p>
    <w:p w14:paraId="739BBA17">
      <w:pPr>
        <w:pStyle w:val="140"/>
        <w:spacing w:line="240" w:lineRule="auto"/>
        <w:ind w:leftChars="0" w:firstLine="420"/>
        <w:rPr>
          <w:rFonts w:hint="eastAsia" w:asciiTheme="minorEastAsia" w:hAnsiTheme="minorEastAsia" w:eastAsiaTheme="minorEastAsia"/>
          <w:sz w:val="21"/>
          <w:szCs w:val="21"/>
        </w:rPr>
      </w:pPr>
      <w:r>
        <w:rPr>
          <w:rFonts w:hint="eastAsia" w:cs="Cambria Math" w:asciiTheme="minorEastAsia" w:hAnsiTheme="minorEastAsia" w:eastAsiaTheme="minorEastAsia"/>
          <w:i/>
          <w:iCs/>
          <w:sz w:val="21"/>
          <w:szCs w:val="21"/>
        </w:rPr>
        <w:t>o</w:t>
      </w:r>
      <w:r>
        <w:rPr>
          <w:rFonts w:hint="eastAsia" w:asciiTheme="minorEastAsia" w:hAnsiTheme="minorEastAsia" w:eastAsiaTheme="minorEastAsia"/>
          <w:sz w:val="21"/>
          <w:szCs w:val="21"/>
        </w:rPr>
        <w:t>——购用时序匹配度的类型数；</w:t>
      </w:r>
    </w:p>
    <w:p w14:paraId="383F0874">
      <w:pPr>
        <w:pStyle w:val="140"/>
        <w:spacing w:line="240" w:lineRule="auto"/>
        <w:ind w:leftChars="0" w:firstLine="420"/>
        <w:rPr>
          <w:rFonts w:hint="eastAsia" w:asciiTheme="minorEastAsia" w:hAnsiTheme="minorEastAsia" w:eastAsiaTheme="minorEastAsia"/>
          <w:sz w:val="21"/>
          <w:szCs w:val="21"/>
        </w:rPr>
      </w:pPr>
      <m:oMath>
        <m:sSub>
          <m:sSubPr>
            <m:ctrlPr>
              <w:rPr>
                <w:rFonts w:ascii="Cambria Math" w:hAnsi="Cambria Math" w:eastAsiaTheme="minorEastAsia"/>
                <w:i/>
                <w:iCs/>
                <w:sz w:val="21"/>
                <w:szCs w:val="21"/>
              </w:rPr>
            </m:ctrlPr>
          </m:sSubPr>
          <m:e>
            <m:r>
              <m:rPr/>
              <w:rPr>
                <w:rFonts w:ascii="Cambria Math" w:hAnsi="Cambria Math" w:eastAsiaTheme="minorEastAsia"/>
                <w:sz w:val="21"/>
                <w:szCs w:val="21"/>
              </w:rPr>
              <m:t>d</m:t>
            </m:r>
            <m:ctrlPr>
              <w:rPr>
                <w:rFonts w:ascii="Cambria Math" w:hAnsi="Cambria Math" w:eastAsiaTheme="minorEastAsia"/>
                <w:i/>
                <w:iCs/>
                <w:sz w:val="21"/>
                <w:szCs w:val="21"/>
              </w:rPr>
            </m:ctrlPr>
          </m:e>
          <m:sub>
            <m:r>
              <m:rPr/>
              <w:rPr>
                <w:rFonts w:ascii="Cambria Math" w:hAnsi="Cambria Math" w:eastAsiaTheme="minorEastAsia"/>
                <w:sz w:val="21"/>
                <w:szCs w:val="21"/>
              </w:rPr>
              <m:t>i</m:t>
            </m:r>
            <m:ctrlPr>
              <w:rPr>
                <w:rFonts w:ascii="Cambria Math" w:hAnsi="Cambria Math" w:eastAsiaTheme="minorEastAsia"/>
                <w:i/>
                <w:iCs/>
                <w:sz w:val="21"/>
                <w:szCs w:val="21"/>
              </w:rPr>
            </m:ctrlPr>
          </m:sub>
        </m:sSub>
      </m:oMath>
      <w:r>
        <w:rPr>
          <w:rFonts w:hint="eastAsia" w:asciiTheme="minorEastAsia" w:hAnsiTheme="minorEastAsia" w:eastAsiaTheme="minorEastAsia"/>
          <w:sz w:val="21"/>
          <w:szCs w:val="21"/>
        </w:rPr>
        <w:t>——</w:t>
      </w:r>
      <w:r>
        <w:rPr>
          <w:rFonts w:hint="eastAsia" w:asciiTheme="minorEastAsia" w:hAnsiTheme="minorEastAsia" w:eastAsiaTheme="minorEastAsia"/>
          <w:iCs/>
          <w:sz w:val="21"/>
          <w:szCs w:val="21"/>
        </w:rPr>
        <w:t>不同类型</w:t>
      </w:r>
      <w:r>
        <w:rPr>
          <w:rFonts w:hint="eastAsia" w:asciiTheme="minorEastAsia" w:hAnsiTheme="minorEastAsia" w:eastAsiaTheme="minorEastAsia"/>
          <w:sz w:val="21"/>
          <w:szCs w:val="21"/>
        </w:rPr>
        <w:t>购用时序匹配度</w:t>
      </w:r>
      <w:r>
        <w:rPr>
          <w:rFonts w:hint="eastAsia" w:asciiTheme="minorEastAsia" w:hAnsiTheme="minorEastAsia" w:eastAsiaTheme="minorEastAsia"/>
          <w:iCs/>
          <w:sz w:val="21"/>
          <w:szCs w:val="21"/>
        </w:rPr>
        <w:t>所对应的</w:t>
      </w:r>
      <w:r>
        <w:rPr>
          <w:rFonts w:hint="eastAsia" w:asciiTheme="minorEastAsia" w:hAnsiTheme="minorEastAsia" w:eastAsiaTheme="minorEastAsia"/>
          <w:sz w:val="21"/>
          <w:szCs w:val="21"/>
        </w:rPr>
        <w:t>绿色电力消费量，单位为兆瓦时</w:t>
      </w:r>
      <w:r>
        <w:rPr>
          <w:rFonts w:asciiTheme="minorEastAsia" w:hAnsiTheme="minorEastAsia" w:eastAsiaTheme="minorEastAsia"/>
          <w:sz w:val="21"/>
          <w:szCs w:val="21"/>
        </w:rPr>
        <w:t>（MWh）</w:t>
      </w:r>
      <w:r>
        <w:rPr>
          <w:rFonts w:hint="eastAsia" w:asciiTheme="minorEastAsia" w:hAnsiTheme="minorEastAsia" w:eastAsiaTheme="minorEastAsia"/>
          <w:sz w:val="21"/>
          <w:szCs w:val="21"/>
        </w:rPr>
        <w:t>；</w:t>
      </w:r>
    </w:p>
    <w:p w14:paraId="65342CF8">
      <w:pPr>
        <w:pStyle w:val="140"/>
        <w:spacing w:line="240" w:lineRule="auto"/>
        <w:ind w:leftChars="0" w:firstLine="420"/>
        <w:rPr>
          <w:rFonts w:hint="eastAsia" w:asciiTheme="minorEastAsia" w:hAnsiTheme="minorEastAsia" w:eastAsiaTheme="minorEastAsia"/>
          <w:sz w:val="21"/>
          <w:szCs w:val="21"/>
        </w:rPr>
      </w:pPr>
      <m:oMath>
        <m:sSub>
          <m:sSubPr>
            <m:ctrlPr>
              <w:rPr>
                <w:rFonts w:ascii="Cambria Math" w:hAnsi="Cambria Math" w:eastAsiaTheme="minorEastAsia"/>
                <w:i/>
                <w:iCs/>
                <w:sz w:val="21"/>
                <w:szCs w:val="21"/>
              </w:rPr>
            </m:ctrlPr>
          </m:sSubPr>
          <m:e>
            <m:r>
              <m:rPr/>
              <w:rPr>
                <w:rFonts w:ascii="Cambria Math" w:hAnsi="Cambria Math" w:cs="Cambria Math" w:eastAsiaTheme="minorEastAsia"/>
                <w:sz w:val="21"/>
                <w:szCs w:val="21"/>
              </w:rPr>
              <m:t>φ</m:t>
            </m:r>
            <m:ctrlPr>
              <w:rPr>
                <w:rFonts w:ascii="Cambria Math" w:hAnsi="Cambria Math" w:eastAsiaTheme="minorEastAsia"/>
                <w:i/>
                <w:iCs/>
                <w:sz w:val="21"/>
                <w:szCs w:val="21"/>
              </w:rPr>
            </m:ctrlPr>
          </m:e>
          <m:sub>
            <m:r>
              <m:rPr/>
              <w:rPr>
                <w:rFonts w:ascii="Cambria Math" w:hAnsi="Cambria Math" w:eastAsiaTheme="minorEastAsia"/>
                <w:sz w:val="21"/>
                <w:szCs w:val="21"/>
              </w:rPr>
              <m:t>i</m:t>
            </m:r>
            <m:ctrlPr>
              <w:rPr>
                <w:rFonts w:ascii="Cambria Math" w:hAnsi="Cambria Math" w:eastAsiaTheme="minorEastAsia"/>
                <w:i/>
                <w:iCs/>
                <w:sz w:val="21"/>
                <w:szCs w:val="21"/>
              </w:rPr>
            </m:ctrlPr>
          </m:sub>
        </m:sSub>
      </m:oMath>
      <w:r>
        <w:rPr>
          <w:rFonts w:hint="eastAsia" w:asciiTheme="minorEastAsia" w:hAnsiTheme="minorEastAsia" w:eastAsiaTheme="minorEastAsia"/>
          <w:sz w:val="21"/>
          <w:szCs w:val="21"/>
        </w:rPr>
        <w:t>——</w:t>
      </w:r>
      <w:r>
        <w:rPr>
          <w:rFonts w:hint="eastAsia" w:asciiTheme="minorEastAsia" w:hAnsiTheme="minorEastAsia" w:eastAsiaTheme="minorEastAsia"/>
          <w:iCs/>
          <w:sz w:val="21"/>
          <w:szCs w:val="21"/>
        </w:rPr>
        <w:t>为不同类型的</w:t>
      </w:r>
      <w:r>
        <w:rPr>
          <w:rFonts w:hint="eastAsia" w:asciiTheme="minorEastAsia" w:hAnsiTheme="minorEastAsia" w:eastAsiaTheme="minorEastAsia"/>
          <w:sz w:val="21"/>
          <w:szCs w:val="21"/>
        </w:rPr>
        <w:t>购用时序匹配度赋分。</w:t>
      </w:r>
    </w:p>
    <w:p w14:paraId="1DAE1657">
      <w:pPr>
        <w:pStyle w:val="140"/>
        <w:spacing w:line="240" w:lineRule="auto"/>
        <w:ind w:leftChars="0" w:firstLine="420"/>
        <w:textAlignment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绿色电力消费评价得分</w:t>
      </w:r>
      <m:oMath>
        <m:r>
          <m:rPr/>
          <w:rPr>
            <w:rFonts w:hint="eastAsia" w:ascii="Cambria Math" w:hAnsi="Cambria Math" w:cs="Cambria Math" w:eastAsiaTheme="minorEastAsia"/>
            <w:sz w:val="21"/>
            <w:szCs w:val="21"/>
          </w:rPr>
          <m:t>G</m:t>
        </m:r>
      </m:oMath>
      <w:r>
        <w:rPr>
          <w:rFonts w:hint="eastAsia" w:asciiTheme="minorEastAsia" w:hAnsiTheme="minorEastAsia" w:eastAsiaTheme="minorEastAsia"/>
          <w:sz w:val="21"/>
          <w:szCs w:val="21"/>
        </w:rPr>
        <w:t>可按照公式（5）进行计算得到。</w:t>
      </w:r>
    </w:p>
    <w:p w14:paraId="3A9BBED4">
      <w:pPr>
        <w:pStyle w:val="22"/>
        <w:jc w:val="right"/>
      </w:pPr>
      <m:oMath>
        <m:r>
          <m:rPr/>
          <w:rPr>
            <w:rFonts w:hint="eastAsia" w:ascii="Cambria Math" w:hAnsi="Cambria Math" w:cs="Cambria Math" w:eastAsiaTheme="minorEastAsia"/>
            <w:szCs w:val="21"/>
          </w:rPr>
          <m:t>G</m:t>
        </m:r>
        <m:r>
          <m:rPr/>
          <w:rPr>
            <w:rFonts w:hint="eastAsia" w:ascii="Cambria Math" w:hAnsi="Cambria Math" w:eastAsiaTheme="minorEastAsia"/>
            <w:szCs w:val="21"/>
          </w:rPr>
          <m:t>=A</m:t>
        </m:r>
        <m:r>
          <m:rPr/>
          <w:rPr>
            <w:rFonts w:ascii="Cambria Math" w:hAnsi="Cambria Math" w:eastAsiaTheme="minorEastAsia"/>
            <w:szCs w:val="21"/>
          </w:rPr>
          <m:t>+B+C+D</m:t>
        </m:r>
      </m:oMath>
      <w:r>
        <w:t>…………………………………………</w:t>
      </w:r>
      <w:r>
        <w:rPr>
          <w:rFonts w:hint="eastAsia"/>
        </w:rPr>
        <w:t>（5）</w:t>
      </w:r>
    </w:p>
    <w:p w14:paraId="03F49FD7">
      <w:pPr>
        <w:pStyle w:val="42"/>
        <w:spacing w:before="312" w:after="312"/>
      </w:pPr>
      <w:bookmarkStart w:id="193" w:name="_Toc10367"/>
      <w:r>
        <w:t>评价等级</w:t>
      </w:r>
      <w:r>
        <w:rPr>
          <w:rFonts w:hint="eastAsia"/>
        </w:rPr>
        <w:t>划分和</w:t>
      </w:r>
      <w:r>
        <w:t>标识</w:t>
      </w:r>
      <w:bookmarkEnd w:id="193"/>
    </w:p>
    <w:p w14:paraId="5AA49FE5">
      <w:pPr>
        <w:pStyle w:val="42"/>
        <w:numPr>
          <w:ilvl w:val="0"/>
          <w:numId w:val="0"/>
        </w:numPr>
        <w:spacing w:before="156" w:beforeLines="50" w:after="156" w:afterLines="50"/>
      </w:pPr>
      <w:bookmarkStart w:id="194" w:name="_Toc28939"/>
      <w:bookmarkStart w:id="195" w:name="_Toc209972285"/>
      <w:r>
        <w:t xml:space="preserve">7.1 </w:t>
      </w:r>
      <w:bookmarkStart w:id="196" w:name="_Toc192687899"/>
      <w:bookmarkStart w:id="197" w:name="_Toc208330461"/>
      <w:bookmarkStart w:id="198" w:name="_Toc207986515"/>
      <w:r>
        <w:t>等级划分</w:t>
      </w:r>
      <w:bookmarkEnd w:id="194"/>
      <w:bookmarkEnd w:id="195"/>
      <w:bookmarkEnd w:id="196"/>
      <w:bookmarkEnd w:id="197"/>
      <w:bookmarkEnd w:id="198"/>
    </w:p>
    <w:p w14:paraId="7896F525">
      <w:pPr>
        <w:pStyle w:val="140"/>
        <w:spacing w:line="240" w:lineRule="auto"/>
        <w:ind w:leftChars="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评价等级标识等级计算按照表6执行。</w:t>
      </w:r>
    </w:p>
    <w:p w14:paraId="52478E4B">
      <w:pPr>
        <w:pStyle w:val="140"/>
        <w:spacing w:line="240" w:lineRule="auto"/>
        <w:ind w:leftChars="0" w:firstLine="420"/>
        <w:rPr>
          <w:rFonts w:hint="eastAsia" w:asciiTheme="minorEastAsia" w:hAnsiTheme="minorEastAsia" w:eastAsiaTheme="minorEastAsia"/>
          <w:sz w:val="21"/>
          <w:szCs w:val="21"/>
        </w:rPr>
      </w:pPr>
    </w:p>
    <w:p w14:paraId="1E2AA4D8">
      <w:pPr>
        <w:pStyle w:val="141"/>
        <w:spacing w:line="240" w:lineRule="auto"/>
        <w:jc w:val="center"/>
        <w:rPr>
          <w:rFonts w:hint="eastAsia" w:ascii="黑体" w:hAnsi="黑体" w:eastAsia="黑体"/>
          <w:sz w:val="21"/>
          <w:szCs w:val="21"/>
        </w:rPr>
      </w:pPr>
      <w:r>
        <w:rPr>
          <w:rFonts w:hint="eastAsia" w:ascii="黑体" w:hAnsi="黑体" w:eastAsia="黑体"/>
          <w:sz w:val="21"/>
          <w:szCs w:val="21"/>
        </w:rPr>
        <w:t>表6 标识等级计算表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11"/>
        <w:gridCol w:w="4719"/>
        <w:gridCol w:w="2715"/>
      </w:tblGrid>
      <w:tr w14:paraId="5172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186" w:type="pct"/>
            <w:noWrap/>
            <w:tcMar>
              <w:top w:w="90" w:type="dxa"/>
              <w:left w:w="195" w:type="dxa"/>
              <w:bottom w:w="90" w:type="dxa"/>
              <w:right w:w="195" w:type="dxa"/>
            </w:tcMar>
            <w:vAlign w:val="center"/>
          </w:tcPr>
          <w:p w14:paraId="6502C4E3">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等级标识</w:t>
            </w:r>
          </w:p>
        </w:tc>
        <w:tc>
          <w:tcPr>
            <w:tcW w:w="2421" w:type="pct"/>
            <w:noWrap/>
            <w:tcMar>
              <w:top w:w="90" w:type="dxa"/>
              <w:left w:w="195" w:type="dxa"/>
              <w:bottom w:w="90" w:type="dxa"/>
              <w:right w:w="195" w:type="dxa"/>
            </w:tcMar>
            <w:vAlign w:val="center"/>
          </w:tcPr>
          <w:p w14:paraId="3648312D">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绿色电力消费评价得分</w:t>
            </w:r>
          </w:p>
        </w:tc>
        <w:tc>
          <w:tcPr>
            <w:tcW w:w="1393" w:type="pct"/>
            <w:noWrap/>
            <w:tcMar>
              <w:top w:w="90" w:type="dxa"/>
              <w:left w:w="195" w:type="dxa"/>
              <w:bottom w:w="90" w:type="dxa"/>
              <w:right w:w="195" w:type="dxa"/>
            </w:tcMar>
            <w:vAlign w:val="center"/>
          </w:tcPr>
          <w:p w14:paraId="0A9356BB">
            <w:pPr>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标识有效期</w:t>
            </w:r>
          </w:p>
        </w:tc>
      </w:tr>
      <w:tr w14:paraId="47A7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6" w:type="pct"/>
            <w:tcMar>
              <w:top w:w="90" w:type="dxa"/>
              <w:left w:w="195" w:type="dxa"/>
              <w:bottom w:w="90" w:type="dxa"/>
              <w:right w:w="195" w:type="dxa"/>
            </w:tcMar>
            <w:vAlign w:val="center"/>
          </w:tcPr>
          <w:p w14:paraId="40FD9AAA">
            <w:pPr>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卓越</w:t>
            </w:r>
          </w:p>
        </w:tc>
        <w:tc>
          <w:tcPr>
            <w:tcW w:w="2421" w:type="pct"/>
            <w:tcMar>
              <w:top w:w="90" w:type="dxa"/>
              <w:left w:w="195" w:type="dxa"/>
              <w:bottom w:w="90" w:type="dxa"/>
              <w:right w:w="195" w:type="dxa"/>
            </w:tcMar>
            <w:vAlign w:val="center"/>
          </w:tcPr>
          <w:p w14:paraId="5C233E67">
            <w:pPr>
              <w:jc w:val="center"/>
              <w:rPr>
                <w:rFonts w:hint="eastAsia" w:asciiTheme="minorEastAsia" w:hAnsiTheme="minorEastAsia" w:eastAsiaTheme="minorEastAsia"/>
                <w:sz w:val="18"/>
                <w:szCs w:val="18"/>
              </w:rPr>
            </w:pPr>
            <m:oMath>
              <m:r>
                <m:rPr/>
                <w:rPr>
                  <w:rFonts w:hint="eastAsia" w:ascii="Cambria Math" w:hAnsi="Cambria Math" w:cs="Cambria Math" w:eastAsiaTheme="minorEastAsia"/>
                  <w:sz w:val="18"/>
                  <w:szCs w:val="18"/>
                </w:rPr>
                <m:t>G</m:t>
              </m:r>
            </m:oMath>
            <w:r>
              <w:rPr>
                <w:rFonts w:asciiTheme="minorEastAsia" w:hAnsiTheme="minorEastAsia" w:eastAsiaTheme="minorEastAsia"/>
                <w:sz w:val="18"/>
                <w:szCs w:val="18"/>
              </w:rPr>
              <w:t>≥</w:t>
            </w:r>
            <w:r>
              <w:rPr>
                <w:rFonts w:hint="eastAsia" w:asciiTheme="minorEastAsia" w:hAnsiTheme="minorEastAsia" w:eastAsiaTheme="minorEastAsia"/>
                <w:sz w:val="18"/>
                <w:szCs w:val="18"/>
              </w:rPr>
              <w:t>13</w:t>
            </w:r>
          </w:p>
        </w:tc>
        <w:tc>
          <w:tcPr>
            <w:tcW w:w="1393" w:type="pct"/>
            <w:tcMar>
              <w:top w:w="90" w:type="dxa"/>
              <w:left w:w="195" w:type="dxa"/>
              <w:bottom w:w="90" w:type="dxa"/>
              <w:right w:w="195" w:type="dxa"/>
            </w:tcMar>
            <w:vAlign w:val="center"/>
          </w:tcPr>
          <w:p w14:paraId="4F1DDCAB">
            <w:pPr>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1年</w:t>
            </w:r>
          </w:p>
        </w:tc>
      </w:tr>
      <w:tr w14:paraId="4088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6" w:type="pct"/>
            <w:tcMar>
              <w:top w:w="90" w:type="dxa"/>
              <w:left w:w="195" w:type="dxa"/>
              <w:bottom w:w="90" w:type="dxa"/>
              <w:right w:w="195" w:type="dxa"/>
            </w:tcMar>
            <w:vAlign w:val="center"/>
          </w:tcPr>
          <w:p w14:paraId="7DBA0C1F">
            <w:pPr>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优秀</w:t>
            </w:r>
          </w:p>
        </w:tc>
        <w:tc>
          <w:tcPr>
            <w:tcW w:w="2421" w:type="pct"/>
            <w:tcMar>
              <w:top w:w="90" w:type="dxa"/>
              <w:left w:w="195" w:type="dxa"/>
              <w:bottom w:w="90" w:type="dxa"/>
              <w:right w:w="195" w:type="dxa"/>
            </w:tcMar>
            <w:vAlign w:val="center"/>
          </w:tcPr>
          <w:p w14:paraId="656FEC2F">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m:oMath>
              <m:r>
                <m:rPr/>
                <w:rPr>
                  <w:rFonts w:hint="eastAsia" w:ascii="Cambria Math" w:hAnsi="Cambria Math" w:cs="Cambria Math" w:eastAsiaTheme="minorEastAsia"/>
                  <w:sz w:val="18"/>
                  <w:szCs w:val="18"/>
                </w:rPr>
                <m:t>G</m:t>
              </m:r>
            </m:oMath>
            <w:r>
              <w:rPr>
                <w:rFonts w:asciiTheme="minorEastAsia" w:hAnsiTheme="minorEastAsia" w:eastAsiaTheme="minorEastAsia"/>
                <w:sz w:val="18"/>
                <w:szCs w:val="18"/>
              </w:rPr>
              <w:t>≥</w:t>
            </w:r>
            <w:r>
              <w:rPr>
                <w:rFonts w:hint="eastAsia" w:asciiTheme="minorEastAsia" w:hAnsiTheme="minorEastAsia" w:eastAsiaTheme="minorEastAsia"/>
                <w:sz w:val="18"/>
                <w:szCs w:val="18"/>
              </w:rPr>
              <w:t>10</w:t>
            </w:r>
          </w:p>
        </w:tc>
        <w:tc>
          <w:tcPr>
            <w:tcW w:w="1393" w:type="pct"/>
            <w:tcMar>
              <w:top w:w="90" w:type="dxa"/>
              <w:left w:w="195" w:type="dxa"/>
              <w:bottom w:w="90" w:type="dxa"/>
              <w:right w:w="195" w:type="dxa"/>
            </w:tcMar>
            <w:vAlign w:val="center"/>
          </w:tcPr>
          <w:p w14:paraId="11C4A8B5">
            <w:pPr>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1年</w:t>
            </w:r>
          </w:p>
        </w:tc>
      </w:tr>
      <w:tr w14:paraId="6927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6" w:type="pct"/>
            <w:tcMar>
              <w:top w:w="90" w:type="dxa"/>
              <w:left w:w="195" w:type="dxa"/>
              <w:bottom w:w="90" w:type="dxa"/>
              <w:right w:w="195" w:type="dxa"/>
            </w:tcMar>
            <w:vAlign w:val="center"/>
          </w:tcPr>
          <w:p w14:paraId="6134AB3A">
            <w:pPr>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良好</w:t>
            </w:r>
          </w:p>
        </w:tc>
        <w:tc>
          <w:tcPr>
            <w:tcW w:w="2421" w:type="pct"/>
            <w:tcMar>
              <w:top w:w="90" w:type="dxa"/>
              <w:left w:w="195" w:type="dxa"/>
              <w:bottom w:w="90" w:type="dxa"/>
              <w:right w:w="195" w:type="dxa"/>
            </w:tcMar>
            <w:vAlign w:val="center"/>
          </w:tcPr>
          <w:p w14:paraId="3C99C542">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m:oMath>
              <m:r>
                <m:rPr/>
                <w:rPr>
                  <w:rFonts w:hint="eastAsia" w:ascii="Cambria Math" w:hAnsi="Cambria Math" w:cs="Cambria Math" w:eastAsiaTheme="minorEastAsia"/>
                  <w:sz w:val="18"/>
                  <w:szCs w:val="18"/>
                </w:rPr>
                <m:t>G</m:t>
              </m:r>
            </m:oMath>
            <w:r>
              <w:rPr>
                <w:rFonts w:asciiTheme="minorEastAsia" w:hAnsiTheme="minorEastAsia" w:eastAsiaTheme="minorEastAsia"/>
                <w:sz w:val="18"/>
                <w:szCs w:val="18"/>
              </w:rPr>
              <w:t>≥</w:t>
            </w:r>
            <w:r>
              <w:rPr>
                <w:rFonts w:hint="eastAsia" w:asciiTheme="minorEastAsia" w:hAnsiTheme="minorEastAsia" w:eastAsiaTheme="minorEastAsia"/>
                <w:sz w:val="18"/>
                <w:szCs w:val="18"/>
              </w:rPr>
              <w:t>8</w:t>
            </w:r>
          </w:p>
        </w:tc>
        <w:tc>
          <w:tcPr>
            <w:tcW w:w="1393" w:type="pct"/>
            <w:tcMar>
              <w:top w:w="90" w:type="dxa"/>
              <w:left w:w="195" w:type="dxa"/>
              <w:bottom w:w="90" w:type="dxa"/>
              <w:right w:w="195" w:type="dxa"/>
            </w:tcMar>
            <w:vAlign w:val="center"/>
          </w:tcPr>
          <w:p w14:paraId="7231521C">
            <w:pPr>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1年</w:t>
            </w:r>
          </w:p>
        </w:tc>
      </w:tr>
      <w:tr w14:paraId="661D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 w:hRule="atLeast"/>
          <w:jc w:val="center"/>
        </w:trPr>
        <w:tc>
          <w:tcPr>
            <w:tcW w:w="1186" w:type="pct"/>
            <w:tcMar>
              <w:top w:w="90" w:type="dxa"/>
              <w:left w:w="195" w:type="dxa"/>
              <w:bottom w:w="90" w:type="dxa"/>
              <w:right w:w="195" w:type="dxa"/>
            </w:tcMar>
            <w:vAlign w:val="center"/>
          </w:tcPr>
          <w:p w14:paraId="3CC4EF50">
            <w:pPr>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达标</w:t>
            </w:r>
          </w:p>
        </w:tc>
        <w:tc>
          <w:tcPr>
            <w:tcW w:w="2421" w:type="pct"/>
            <w:tcMar>
              <w:top w:w="90" w:type="dxa"/>
              <w:left w:w="195" w:type="dxa"/>
              <w:bottom w:w="90" w:type="dxa"/>
              <w:right w:w="195" w:type="dxa"/>
            </w:tcMar>
            <w:vAlign w:val="center"/>
          </w:tcPr>
          <w:p w14:paraId="6A1D9658">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m:oMath>
              <m:r>
                <m:rPr/>
                <w:rPr>
                  <w:rFonts w:hint="eastAsia" w:ascii="Cambria Math" w:hAnsi="Cambria Math" w:cs="Cambria Math" w:eastAsiaTheme="minorEastAsia"/>
                  <w:sz w:val="18"/>
                  <w:szCs w:val="18"/>
                </w:rPr>
                <m:t>G</m:t>
              </m:r>
            </m:oMath>
            <w:r>
              <w:rPr>
                <w:rFonts w:asciiTheme="minorEastAsia" w:hAnsiTheme="minorEastAsia" w:eastAsiaTheme="minorEastAsia"/>
                <w:sz w:val="18"/>
                <w:szCs w:val="18"/>
              </w:rPr>
              <w:t>≥</w:t>
            </w:r>
            <w:r>
              <w:rPr>
                <w:rFonts w:hint="eastAsia" w:asciiTheme="minorEastAsia" w:hAnsiTheme="minorEastAsia" w:eastAsiaTheme="minorEastAsia"/>
                <w:sz w:val="18"/>
                <w:szCs w:val="18"/>
              </w:rPr>
              <w:t>6</w:t>
            </w:r>
          </w:p>
        </w:tc>
        <w:tc>
          <w:tcPr>
            <w:tcW w:w="1393" w:type="pct"/>
            <w:tcMar>
              <w:top w:w="90" w:type="dxa"/>
              <w:left w:w="195" w:type="dxa"/>
              <w:bottom w:w="90" w:type="dxa"/>
              <w:right w:w="195" w:type="dxa"/>
            </w:tcMar>
            <w:vAlign w:val="center"/>
          </w:tcPr>
          <w:p w14:paraId="0C1D9659">
            <w:pPr>
              <w:jc w:val="center"/>
              <w:rPr>
                <w:rFonts w:hint="eastAsia" w:asciiTheme="minorEastAsia" w:hAnsiTheme="minorEastAsia" w:eastAsiaTheme="minorEastAsia"/>
                <w:sz w:val="18"/>
                <w:szCs w:val="18"/>
              </w:rPr>
            </w:pPr>
            <w:r>
              <w:rPr>
                <w:rFonts w:asciiTheme="minorEastAsia" w:hAnsiTheme="minorEastAsia" w:eastAsiaTheme="minorEastAsia"/>
                <w:sz w:val="18"/>
                <w:szCs w:val="18"/>
              </w:rPr>
              <w:t>1年</w:t>
            </w:r>
          </w:p>
        </w:tc>
      </w:tr>
    </w:tbl>
    <w:p w14:paraId="16154031">
      <w:pPr>
        <w:pStyle w:val="42"/>
        <w:numPr>
          <w:ilvl w:val="0"/>
          <w:numId w:val="0"/>
        </w:numPr>
        <w:spacing w:before="156" w:beforeLines="50" w:after="156" w:afterLines="50"/>
      </w:pPr>
      <w:bookmarkStart w:id="199" w:name="_Toc30612"/>
      <w:bookmarkStart w:id="200" w:name="_Toc207986516"/>
      <w:bookmarkStart w:id="201" w:name="_Toc192687900"/>
      <w:bookmarkStart w:id="202" w:name="_Toc208330462"/>
      <w:bookmarkStart w:id="203" w:name="_Toc209972286"/>
      <w:r>
        <w:t xml:space="preserve">7.2 </w:t>
      </w:r>
      <w:r>
        <w:rPr>
          <w:rFonts w:hint="eastAsia"/>
        </w:rPr>
        <w:t>等级标识</w:t>
      </w:r>
      <w:r>
        <w:t>生成与管理</w:t>
      </w:r>
      <w:bookmarkEnd w:id="199"/>
      <w:bookmarkEnd w:id="200"/>
      <w:bookmarkEnd w:id="201"/>
      <w:bookmarkEnd w:id="202"/>
      <w:bookmarkEnd w:id="203"/>
    </w:p>
    <w:p w14:paraId="484C61FB">
      <w:pPr>
        <w:pStyle w:val="22"/>
        <w:ind w:firstLine="0" w:firstLineChars="0"/>
      </w:pPr>
      <w:r>
        <w:rPr>
          <w:rFonts w:hint="eastAsia" w:ascii="黑体" w:hAnsi="黑体" w:eastAsia="黑体"/>
        </w:rPr>
        <w:t>7.2.1</w:t>
      </w:r>
      <w:r>
        <w:rPr>
          <w:rFonts w:hint="eastAsia"/>
        </w:rPr>
        <w:t xml:space="preserve"> 等级标识应包含唯一编码、等级信息及二维码。</w:t>
      </w:r>
    </w:p>
    <w:p w14:paraId="3557AD48">
      <w:pPr>
        <w:pStyle w:val="22"/>
        <w:ind w:firstLine="0" w:firstLineChars="0"/>
      </w:pPr>
      <w:r>
        <w:rPr>
          <w:rFonts w:hint="eastAsia" w:ascii="黑体" w:hAnsi="黑体" w:eastAsia="黑体"/>
        </w:rPr>
        <w:t xml:space="preserve">7.2.2 </w:t>
      </w:r>
      <w:r>
        <w:rPr>
          <w:rFonts w:hint="eastAsia"/>
        </w:rPr>
        <w:t>等级标识有效期与评价周期一致，逾期自动失效。</w:t>
      </w:r>
    </w:p>
    <w:p w14:paraId="7F9F677D">
      <w:pPr>
        <w:pStyle w:val="22"/>
        <w:ind w:firstLine="0" w:firstLineChars="0"/>
        <w:rPr>
          <w:rFonts w:hint="eastAsia" w:asciiTheme="minorEastAsia" w:hAnsiTheme="minorEastAsia" w:eastAsiaTheme="minorEastAsia"/>
          <w:szCs w:val="21"/>
        </w:rPr>
      </w:pPr>
      <w:r>
        <w:rPr>
          <w:rFonts w:hint="eastAsia" w:ascii="黑体" w:hAnsi="黑体" w:eastAsia="黑体"/>
        </w:rPr>
        <w:t xml:space="preserve">7.2.3 </w:t>
      </w:r>
      <w:r>
        <w:rPr>
          <w:rFonts w:hint="eastAsia"/>
        </w:rPr>
        <w:t>等级标识</w:t>
      </w:r>
      <w:r>
        <w:rPr>
          <w:rFonts w:asciiTheme="minorEastAsia" w:hAnsiTheme="minorEastAsia" w:eastAsiaTheme="minorEastAsia"/>
          <w:szCs w:val="21"/>
        </w:rPr>
        <w:t>动态降级机制</w:t>
      </w:r>
    </w:p>
    <w:p w14:paraId="2152196D">
      <w:pPr>
        <w:pStyle w:val="140"/>
        <w:numPr>
          <w:ilvl w:val="0"/>
          <w:numId w:val="27"/>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报告主体当抽查</w:t>
      </w:r>
      <w:r>
        <w:rPr>
          <w:rFonts w:asciiTheme="minorEastAsia" w:hAnsiTheme="minorEastAsia" w:eastAsiaTheme="minorEastAsia"/>
          <w:sz w:val="21"/>
          <w:szCs w:val="21"/>
        </w:rPr>
        <w:t>未达当前等级标准，标识降级</w:t>
      </w:r>
      <w:r>
        <w:rPr>
          <w:rFonts w:hint="eastAsia" w:asciiTheme="minorEastAsia" w:hAnsiTheme="minorEastAsia" w:eastAsiaTheme="minorEastAsia"/>
          <w:sz w:val="21"/>
          <w:szCs w:val="21"/>
        </w:rPr>
        <w:t>至相应等级；</w:t>
      </w:r>
    </w:p>
    <w:p w14:paraId="65A63D8B">
      <w:pPr>
        <w:pStyle w:val="140"/>
        <w:numPr>
          <w:ilvl w:val="0"/>
          <w:numId w:val="27"/>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报告主体连续两次未达当前等级标准，暂停标识使用并取消下一年度标识申请资格。</w:t>
      </w:r>
    </w:p>
    <w:p w14:paraId="3593DA42">
      <w:pPr>
        <w:pStyle w:val="22"/>
        <w:ind w:firstLine="0" w:firstLineChars="0"/>
      </w:pPr>
      <w:r>
        <w:rPr>
          <w:rFonts w:hint="eastAsia" w:ascii="黑体" w:hAnsi="黑体" w:eastAsia="黑体"/>
        </w:rPr>
        <w:t xml:space="preserve">7.2.4 </w:t>
      </w:r>
      <w:r>
        <w:rPr>
          <w:rFonts w:hint="eastAsia"/>
        </w:rPr>
        <w:t>等级标识激励机制</w:t>
      </w:r>
    </w:p>
    <w:p w14:paraId="0428EAE0">
      <w:pPr>
        <w:pStyle w:val="22"/>
      </w:pPr>
      <w:r>
        <w:rPr>
          <w:rFonts w:hint="eastAsia"/>
        </w:rPr>
        <w:t>报告主体连续两年维持当前等级或升级，可申请在不改变标识有效期情况下缩短相应的评价周期。</w:t>
      </w:r>
    </w:p>
    <w:p w14:paraId="30C73F22">
      <w:pPr>
        <w:pStyle w:val="42"/>
        <w:spacing w:before="312" w:after="312"/>
      </w:pPr>
      <w:bookmarkStart w:id="204" w:name="_Toc160"/>
      <w:r>
        <w:t>评价流程</w:t>
      </w:r>
      <w:bookmarkEnd w:id="204"/>
    </w:p>
    <w:p w14:paraId="66CDD830">
      <w:pPr>
        <w:pStyle w:val="39"/>
        <w:spacing w:before="156" w:after="156"/>
      </w:pPr>
      <w:bookmarkStart w:id="205" w:name="_Toc208330464"/>
      <w:bookmarkStart w:id="206" w:name="_Toc6132"/>
      <w:bookmarkStart w:id="207" w:name="_Toc192687902"/>
      <w:bookmarkStart w:id="208" w:name="_Toc209972288"/>
      <w:bookmarkStart w:id="209" w:name="_Toc207986518"/>
      <w:r>
        <w:t>全流程步骤</w:t>
      </w:r>
      <w:bookmarkEnd w:id="205"/>
      <w:bookmarkEnd w:id="206"/>
      <w:bookmarkEnd w:id="207"/>
      <w:bookmarkEnd w:id="208"/>
      <w:bookmarkEnd w:id="209"/>
    </w:p>
    <w:p w14:paraId="01EB854E">
      <w:pPr>
        <w:pStyle w:val="22"/>
      </w:pPr>
      <w:r>
        <w:rPr>
          <w:rFonts w:hint="eastAsia"/>
        </w:rPr>
        <w:t>等级标识评价全流程包括数据申报、核算验证、等级评定、标识办法和动态管理与更新。</w:t>
      </w:r>
    </w:p>
    <w:p w14:paraId="4365A8F9">
      <w:pPr>
        <w:pStyle w:val="140"/>
        <w:numPr>
          <w:ilvl w:val="0"/>
          <w:numId w:val="28"/>
        </w:numPr>
        <w:spacing w:line="240" w:lineRule="auto"/>
        <w:ind w:leftChars="0" w:firstLineChars="0"/>
        <w:rPr>
          <w:rFonts w:hint="eastAsia" w:asciiTheme="minorEastAsia" w:hAnsiTheme="minorEastAsia" w:eastAsiaTheme="minorEastAsia"/>
          <w:sz w:val="21"/>
          <w:szCs w:val="21"/>
        </w:rPr>
      </w:pPr>
      <w:bookmarkStart w:id="210" w:name="_Hlk208388972"/>
      <w:r>
        <w:rPr>
          <w:rFonts w:asciiTheme="minorEastAsia" w:hAnsiTheme="minorEastAsia" w:eastAsiaTheme="minorEastAsia"/>
          <w:sz w:val="21"/>
          <w:szCs w:val="21"/>
        </w:rPr>
        <w:t>数据申报</w:t>
      </w:r>
      <w:bookmarkEnd w:id="210"/>
      <w:r>
        <w:rPr>
          <w:rFonts w:hint="eastAsia" w:asciiTheme="minorEastAsia" w:hAnsiTheme="minorEastAsia" w:eastAsiaTheme="minorEastAsia"/>
          <w:sz w:val="21"/>
          <w:szCs w:val="21"/>
        </w:rPr>
        <w:t>。报告主体提交计算绿色电力消费评价相应材料，包括但不限于：</w:t>
      </w:r>
    </w:p>
    <w:p w14:paraId="2E1035AC">
      <w:pPr>
        <w:pStyle w:val="140"/>
        <w:numPr>
          <w:ilvl w:val="0"/>
          <w:numId w:val="29"/>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国家绿色电力证书核发交易平台出具的绿色电力证书核销凭证（含绿色电力证书编号、核销时间、对应电量及项目建档立卡信息）；</w:t>
      </w:r>
    </w:p>
    <w:p w14:paraId="3EE7D077">
      <w:pPr>
        <w:pStyle w:val="140"/>
        <w:numPr>
          <w:ilvl w:val="0"/>
          <w:numId w:val="29"/>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电力交易机构出具的绿电交易凭证（含分时段电量、交易类型、存证链接）；</w:t>
      </w:r>
    </w:p>
    <w:p w14:paraId="5E353BEC">
      <w:pPr>
        <w:pStyle w:val="140"/>
        <w:numPr>
          <w:ilvl w:val="0"/>
          <w:numId w:val="29"/>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能源计量系统实测的自发自用绿电数据，并附：法定计量机构出具的校准证书，和存证平台生成的数据溯源链接（含发电量、上网电量、消纳量匹配记录）；</w:t>
      </w:r>
    </w:p>
    <w:p w14:paraId="3B48ACA5">
      <w:pPr>
        <w:pStyle w:val="140"/>
        <w:numPr>
          <w:ilvl w:val="0"/>
          <w:numId w:val="29"/>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电力交易机构出具的绿色电力消费核算清单（含总用电量、直接消费绿电量、间接消费绿电量）。</w:t>
      </w:r>
    </w:p>
    <w:p w14:paraId="6E13FC99">
      <w:pPr>
        <w:pStyle w:val="140"/>
        <w:numPr>
          <w:ilvl w:val="0"/>
          <w:numId w:val="28"/>
        </w:numPr>
        <w:spacing w:line="240" w:lineRule="auto"/>
        <w:ind w:leftChars="0" w:firstLineChars="0"/>
        <w:rPr>
          <w:rFonts w:hint="eastAsia" w:asciiTheme="minorEastAsia" w:hAnsiTheme="minorEastAsia" w:eastAsiaTheme="minorEastAsia"/>
          <w:sz w:val="21"/>
          <w:szCs w:val="21"/>
        </w:rPr>
      </w:pPr>
      <w:bookmarkStart w:id="211" w:name="_Hlk208388942"/>
      <w:r>
        <w:rPr>
          <w:rFonts w:asciiTheme="minorEastAsia" w:hAnsiTheme="minorEastAsia" w:eastAsiaTheme="minorEastAsia"/>
          <w:sz w:val="21"/>
          <w:szCs w:val="21"/>
        </w:rPr>
        <w:t>核算验证</w:t>
      </w:r>
      <w:r>
        <w:rPr>
          <w:rFonts w:hint="eastAsia" w:asciiTheme="minorEastAsia" w:hAnsiTheme="minorEastAsia" w:eastAsiaTheme="minorEastAsia"/>
          <w:sz w:val="21"/>
          <w:szCs w:val="21"/>
        </w:rPr>
        <w:t>。</w:t>
      </w:r>
      <w:bookmarkEnd w:id="211"/>
      <w:r>
        <w:rPr>
          <w:rFonts w:hint="eastAsia" w:asciiTheme="minorEastAsia" w:hAnsiTheme="minorEastAsia" w:eastAsiaTheme="minorEastAsia"/>
          <w:sz w:val="21"/>
          <w:szCs w:val="21"/>
        </w:rPr>
        <w:t>评价机构需执行以下核验：</w:t>
      </w:r>
    </w:p>
    <w:p w14:paraId="0FCE5E70">
      <w:pPr>
        <w:pStyle w:val="140"/>
        <w:numPr>
          <w:ilvl w:val="0"/>
          <w:numId w:val="3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交叉核验：检验</w:t>
      </w:r>
      <w:bookmarkStart w:id="212" w:name="_Hlk201672286"/>
      <w:r>
        <w:rPr>
          <w:rFonts w:hint="eastAsia" w:asciiTheme="minorEastAsia" w:hAnsiTheme="minorEastAsia" w:eastAsiaTheme="minorEastAsia"/>
          <w:sz w:val="21"/>
          <w:szCs w:val="21"/>
        </w:rPr>
        <w:t>报告主体提交信息</w:t>
      </w:r>
      <w:bookmarkEnd w:id="212"/>
      <w:r>
        <w:rPr>
          <w:rFonts w:hint="eastAsia" w:asciiTheme="minorEastAsia" w:hAnsiTheme="minorEastAsia" w:eastAsiaTheme="minorEastAsia"/>
          <w:sz w:val="21"/>
          <w:szCs w:val="21"/>
        </w:rPr>
        <w:t>的真实性，包括但不限于比对绿色电力证书核销记录与绿电交易平台数据一致性，核查绿色电力证书编号、核销时间及电量匹配性；</w:t>
      </w:r>
    </w:p>
    <w:p w14:paraId="7B09B50B">
      <w:pPr>
        <w:pStyle w:val="140"/>
        <w:numPr>
          <w:ilvl w:val="0"/>
          <w:numId w:val="3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数据溯源：通过查询和技术验证报告主体提交信息全生命周期可追溯；</w:t>
      </w:r>
    </w:p>
    <w:p w14:paraId="3E735657">
      <w:pPr>
        <w:pStyle w:val="140"/>
        <w:numPr>
          <w:ilvl w:val="0"/>
          <w:numId w:val="3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边际贡献：通过查询和技术验证报告主体提交信息中绿色电力消费的边际贡献；</w:t>
      </w:r>
    </w:p>
    <w:p w14:paraId="69C41E72">
      <w:pPr>
        <w:pStyle w:val="140"/>
        <w:numPr>
          <w:ilvl w:val="0"/>
          <w:numId w:val="3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购用时序匹配：通过查询和技术验证报告主体提交信息中绿色电力消费的购用时序匹配；</w:t>
      </w:r>
    </w:p>
    <w:p w14:paraId="23D0E943">
      <w:pPr>
        <w:pStyle w:val="140"/>
        <w:numPr>
          <w:ilvl w:val="0"/>
          <w:numId w:val="3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现场抽查：对异常数据（如自发自用电量突增、绿色电力证书核销与用电量不匹配）启动现场调查；</w:t>
      </w:r>
    </w:p>
    <w:p w14:paraId="20916DC2">
      <w:pPr>
        <w:pStyle w:val="140"/>
        <w:numPr>
          <w:ilvl w:val="0"/>
          <w:numId w:val="3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计算绿色电力消费评价得分：根据报告主体提交信息、核验结果和现场抽查，计算报告主体绿色电力消费评价得分；</w:t>
      </w:r>
    </w:p>
    <w:p w14:paraId="062C6AB8">
      <w:pPr>
        <w:pStyle w:val="140"/>
        <w:numPr>
          <w:ilvl w:val="0"/>
          <w:numId w:val="30"/>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核验结果形成绿色电力消费评价数据核验报告，同步上传至北京市绿电绿证消费服务平台。</w:t>
      </w:r>
    </w:p>
    <w:p w14:paraId="7106D401">
      <w:pPr>
        <w:pStyle w:val="140"/>
        <w:numPr>
          <w:ilvl w:val="0"/>
          <w:numId w:val="28"/>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等级评定</w:t>
      </w:r>
    </w:p>
    <w:p w14:paraId="2E002F4A">
      <w:pPr>
        <w:pStyle w:val="140"/>
        <w:spacing w:line="240" w:lineRule="auto"/>
        <w:ind w:left="860" w:leftChars="0"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评价机构计算绿色电力消费评价得分，生成初评等级。</w:t>
      </w:r>
    </w:p>
    <w:p w14:paraId="5822E659">
      <w:pPr>
        <w:pStyle w:val="140"/>
        <w:numPr>
          <w:ilvl w:val="0"/>
          <w:numId w:val="28"/>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等级标识颁发</w:t>
      </w:r>
    </w:p>
    <w:p w14:paraId="4DEBD493">
      <w:pPr>
        <w:pStyle w:val="140"/>
        <w:spacing w:line="240" w:lineRule="auto"/>
        <w:ind w:left="860" w:leftChars="0"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终评报告经公示无异议后，颁发电子标识（含唯一编码及二维码）。</w:t>
      </w:r>
    </w:p>
    <w:p w14:paraId="6B46E8FC">
      <w:pPr>
        <w:pStyle w:val="140"/>
        <w:numPr>
          <w:ilvl w:val="0"/>
          <w:numId w:val="28"/>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动态管理与更新</w:t>
      </w:r>
    </w:p>
    <w:p w14:paraId="1A6506BB">
      <w:pPr>
        <w:numPr>
          <w:ilvl w:val="0"/>
          <w:numId w:val="31"/>
        </w:numPr>
        <w:rPr>
          <w:rFonts w:hint="eastAsia" w:asciiTheme="minorEastAsia" w:hAnsiTheme="minorEastAsia" w:eastAsiaTheme="minorEastAsia"/>
          <w:szCs w:val="21"/>
        </w:rPr>
      </w:pPr>
      <w:r>
        <w:rPr>
          <w:rFonts w:hint="eastAsia" w:asciiTheme="minorEastAsia" w:hAnsiTheme="minorEastAsia" w:eastAsiaTheme="minorEastAsia" w:cstheme="minorBidi"/>
          <w:color w:val="000000"/>
          <w:szCs w:val="21"/>
        </w:rPr>
        <w:t>动态更新：更新数据需通过评价机构复核，复核应与初审执行一致核查和检验以保证数据的真实性；评价机构复核应将《评价更新报告》和更新后的《绿色电力消费评价报告》上传平台进行复审，若复审未通过，维持原评价等级不变</w:t>
      </w:r>
      <w:r>
        <w:rPr>
          <w:rFonts w:hint="eastAsia" w:asciiTheme="minorEastAsia" w:hAnsiTheme="minorEastAsia" w:eastAsiaTheme="minorEastAsia"/>
          <w:szCs w:val="21"/>
        </w:rPr>
        <w:t>；</w:t>
      </w:r>
    </w:p>
    <w:p w14:paraId="30BFFF17">
      <w:pPr>
        <w:pStyle w:val="140"/>
        <w:numPr>
          <w:ilvl w:val="0"/>
          <w:numId w:val="31"/>
        </w:numPr>
        <w:spacing w:line="240" w:lineRule="auto"/>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年度复核：评价周期满1年后，报告主体需重新提交全量数据，更新标识有效期；若连续两年维持或升级等级，可申请在不改变标识有效期情况下缩短相应的评价周期；</w:t>
      </w:r>
    </w:p>
    <w:p w14:paraId="50A9CFF3">
      <w:pPr>
        <w:pStyle w:val="140"/>
        <w:numPr>
          <w:ilvl w:val="0"/>
          <w:numId w:val="31"/>
        </w:numPr>
        <w:ind w:leftChars="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降级机制：报告主体当抽查未达当前等级标准，标识降级至相应等级；报告主体连续两次未达当前等级标准，暂停标识使用并取消下一年度标识申请资格。</w:t>
      </w:r>
    </w:p>
    <w:p w14:paraId="1D9B78C4">
      <w:pPr>
        <w:pStyle w:val="68"/>
      </w:pPr>
      <w:bookmarkStart w:id="213" w:name="_Toc17878131"/>
      <w:bookmarkStart w:id="214" w:name="BKCKWX"/>
      <w:bookmarkStart w:id="215" w:name="_Toc24890"/>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213"/>
      <w:bookmarkEnd w:id="214"/>
      <w:bookmarkEnd w:id="215"/>
    </w:p>
    <w:p w14:paraId="7074C8B9">
      <w:pPr>
        <w:pStyle w:val="22"/>
      </w:pPr>
      <w:r>
        <w:rPr>
          <w:rFonts w:hint="eastAsia"/>
        </w:rPr>
        <w:t>[1]《绿色电力消费信息披露与评价指引》（DB4403/T 572—2024）</w:t>
      </w:r>
    </w:p>
    <w:p w14:paraId="4B455306">
      <w:pPr>
        <w:pStyle w:val="22"/>
      </w:pPr>
      <w:r>
        <w:rPr>
          <w:rFonts w:hint="eastAsia"/>
        </w:rPr>
        <w:t>[2]《绿色电力应用评价方法》（DB15/T 2748—2022）</w:t>
      </w:r>
    </w:p>
    <w:p w14:paraId="3D8EE3B9">
      <w:pPr>
        <w:pStyle w:val="22"/>
      </w:pPr>
      <w:r>
        <w:rPr>
          <w:rFonts w:hint="eastAsia"/>
        </w:rPr>
        <w:t>[3]《电力交易用户绿色用电溯源方法》（DB53/T 1203—2023）</w:t>
      </w:r>
    </w:p>
    <w:p w14:paraId="2DC3022E">
      <w:pPr>
        <w:pStyle w:val="22"/>
      </w:pPr>
      <w:r>
        <w:rPr>
          <w:rFonts w:hint="eastAsia"/>
        </w:rPr>
        <w:t>[4]《电力交易平台术语》（</w:t>
      </w:r>
      <w:r>
        <w:t>Q/GDW 10821—2021</w:t>
      </w:r>
      <w:r>
        <w:rPr>
          <w:rFonts w:hint="eastAsia"/>
        </w:rPr>
        <w:t>）</w:t>
      </w:r>
    </w:p>
    <w:p w14:paraId="2D376D9D">
      <w:pPr>
        <w:pStyle w:val="22"/>
      </w:pPr>
      <w:r>
        <w:rPr>
          <w:rFonts w:hint="eastAsia"/>
        </w:rPr>
        <w:t>[5]《“十四五”可再生能源发展规划》（发改能源〔2021〕1445号）</w:t>
      </w:r>
    </w:p>
    <w:p w14:paraId="4274DDC7">
      <w:pPr>
        <w:pStyle w:val="22"/>
      </w:pPr>
      <w:r>
        <w:rPr>
          <w:rFonts w:hint="eastAsia"/>
        </w:rPr>
        <w:t>[6]《国家发展改革委 国家能源局关于加快建设全国统一电力市场体系的指导意见》（发改体改〔2022〕118号）</w:t>
      </w:r>
    </w:p>
    <w:p w14:paraId="186CE88C">
      <w:pPr>
        <w:pStyle w:val="22"/>
      </w:pPr>
      <w:r>
        <w:rPr>
          <w:rFonts w:hint="eastAsia"/>
        </w:rPr>
        <w:t>[7]《关于完善能源绿色低碳转型体制机制和政策措施的意见》（发改能源〔2022〕206号）</w:t>
      </w:r>
    </w:p>
    <w:p w14:paraId="252200C1">
      <w:pPr>
        <w:pStyle w:val="22"/>
      </w:pPr>
      <w:r>
        <w:rPr>
          <w:rFonts w:hint="eastAsia"/>
        </w:rPr>
        <w:t>[8]《促进绿色消费实施方案》（发改就业〔2022〕107号）</w:t>
      </w:r>
    </w:p>
    <w:p w14:paraId="2483A0F1">
      <w:pPr>
        <w:pStyle w:val="22"/>
      </w:pPr>
      <w:r>
        <w:rPr>
          <w:rFonts w:hint="eastAsia"/>
        </w:rPr>
        <w:t>[9]《电力中长期交易基本规则》（发改能源规〔2020〕889号）</w:t>
      </w:r>
    </w:p>
    <w:p w14:paraId="68C1F333">
      <w:pPr>
        <w:pStyle w:val="22"/>
      </w:pPr>
      <w:r>
        <w:rPr>
          <w:rFonts w:hint="eastAsia"/>
        </w:rPr>
        <w:t>[10]《北京电力交易中心跨区跨省电力中长期交易实施细则（2024年修订稿）》（京电交市〔2024〕38号）</w:t>
      </w:r>
    </w:p>
    <w:p w14:paraId="739BC776">
      <w:pPr>
        <w:pStyle w:val="22"/>
      </w:pPr>
      <w:r>
        <w:rPr>
          <w:rFonts w:hint="eastAsia"/>
        </w:rPr>
        <w:t>[11]《关于有序推进绿色电力交易有关事项的通知》（发改办体改〔2022〕821号）</w:t>
      </w:r>
    </w:p>
    <w:p w14:paraId="3A3FF533">
      <w:pPr>
        <w:pStyle w:val="22"/>
      </w:pPr>
      <w:r>
        <w:rPr>
          <w:rFonts w:hint="eastAsia"/>
        </w:rPr>
        <w:t>[12]《关于做好可再生能源绿色电力证书全覆盖工作促进可再生能源电力消费的通知》（发改能源〔2023〕1044号）</w:t>
      </w:r>
    </w:p>
    <w:p w14:paraId="42AE7EC4">
      <w:pPr>
        <w:pStyle w:val="22"/>
      </w:pPr>
      <w:r>
        <w:rPr>
          <w:rFonts w:hint="eastAsia"/>
        </w:rPr>
        <w:t>[13]《关于享受中央政府补贴的绿电项目参与绿电交易有关事项的通知》（发改体改〔2023〕75号）</w:t>
      </w:r>
    </w:p>
    <w:p w14:paraId="3B420BDB">
      <w:pPr>
        <w:pStyle w:val="22"/>
      </w:pPr>
      <w:r>
        <w:rPr>
          <w:rFonts w:hint="eastAsia"/>
        </w:rPr>
        <w:t>[14]《关于完善绿电交易机制推动京津唐电网平价新能源项目入市的通知》（华北能监市场〔2023〕46号）</w:t>
      </w:r>
    </w:p>
    <w:p w14:paraId="6FCDA48D">
      <w:pPr>
        <w:pStyle w:val="22"/>
      </w:pPr>
      <w:r>
        <w:rPr>
          <w:rFonts w:hint="eastAsia"/>
        </w:rPr>
        <w:t>[15]《北京电力交易中心绿色电力交易实施细则（2024年修订稿）》（京电交市〔2024〕59号）</w:t>
      </w:r>
    </w:p>
    <w:p w14:paraId="3F2EA6D0">
      <w:pPr>
        <w:pStyle w:val="22"/>
      </w:pPr>
      <w:r>
        <w:rPr>
          <w:rFonts w:hint="eastAsia"/>
        </w:rPr>
        <w:t>[16]《关于有序推动绿电直连发展有关事项的通知》（发改能源〔2025〕650号）</w:t>
      </w:r>
    </w:p>
    <w:p w14:paraId="7BC2617C">
      <w:pPr>
        <w:pStyle w:val="22"/>
      </w:pPr>
      <w:r>
        <w:rPr>
          <w:rFonts w:hint="eastAsia"/>
        </w:rPr>
        <w:t>[17]《电力中长期交易基本规则—绿色电力交易专章》（发改能源〔2024〕1123号）</w:t>
      </w:r>
    </w:p>
    <w:p w14:paraId="3F4FABC9">
      <w:pPr>
        <w:pStyle w:val="123"/>
      </w:pPr>
      <w:r>
        <w:t>_________________________________</w:t>
      </w:r>
    </w:p>
    <w:sectPr>
      <w:headerReference r:id="rId7" w:type="default"/>
      <w:footerReference r:id="rId9" w:type="default"/>
      <w:headerReference r:id="rId8" w:type="even"/>
      <w:footerReference r:id="rId10" w:type="even"/>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4675">
    <w:pPr>
      <w:pStyle w:val="65"/>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FC50">
    <w:pPr>
      <w:pStyle w:val="40"/>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EAAA">
    <w:pPr>
      <w:pStyle w:val="40"/>
    </w:pPr>
    <w:r>
      <w:fldChar w:fldCharType="begin"/>
    </w:r>
    <w:r>
      <w:instrText xml:space="preserve"> PAGE  \* MERGEFORMAT </w:instrText>
    </w:r>
    <w:r>
      <w:fldChar w:fldCharType="separate"/>
    </w:r>
    <w: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1F41">
    <w:pPr>
      <w:pStyle w:val="65"/>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B42C">
    <w:pPr>
      <w:pStyle w:val="66"/>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A978">
    <w:pPr>
      <w:pStyle w:val="41"/>
      <w:rPr>
        <w:rFonts w:hint="eastAsia" w:hAnsi="黑体"/>
      </w:rPr>
    </w:pPr>
    <w:r>
      <w:rPr>
        <w:rFonts w:hAnsi="黑体"/>
      </w:rP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DA8C">
    <w:pPr>
      <w:pStyle w:val="41"/>
    </w:pPr>
    <w:r>
      <w:t>DB11/T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7234">
    <w:pPr>
      <w:pStyle w:val="66"/>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766552"/>
    <w:multiLevelType w:val="multilevel"/>
    <w:tmpl w:val="0F766552"/>
    <w:lvl w:ilvl="0" w:tentative="0">
      <w:start w:val="1"/>
      <w:numFmt w:val="lowerLetter"/>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
    <w:nsid w:val="0F805D97"/>
    <w:multiLevelType w:val="multilevel"/>
    <w:tmpl w:val="0F805D97"/>
    <w:lvl w:ilvl="0" w:tentative="0">
      <w:start w:val="1"/>
      <w:numFmt w:val="none"/>
      <w:pStyle w:val="5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144003EF"/>
    <w:multiLevelType w:val="multilevel"/>
    <w:tmpl w:val="144003EF"/>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4">
    <w:nsid w:val="1FC91163"/>
    <w:multiLevelType w:val="multilevel"/>
    <w:tmpl w:val="1FC91163"/>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43"/>
      <w:suff w:val="nothing"/>
      <w:lvlText w:val="%1.%2.%3　"/>
      <w:lvlJc w:val="left"/>
      <w:pPr>
        <w:ind w:left="0" w:firstLine="0"/>
      </w:pPr>
      <w:rPr>
        <w:rFonts w:hint="eastAsia" w:ascii="黑体" w:hAnsi="Times New Roman" w:eastAsia="黑体"/>
        <w:b w:val="0"/>
        <w:i w:val="0"/>
        <w:sz w:val="21"/>
      </w:rPr>
    </w:lvl>
    <w:lvl w:ilvl="3" w:tentative="0">
      <w:start w:val="1"/>
      <w:numFmt w:val="decimal"/>
      <w:pStyle w:val="48"/>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417488C"/>
    <w:multiLevelType w:val="multilevel"/>
    <w:tmpl w:val="2417488C"/>
    <w:lvl w:ilvl="0" w:tentative="0">
      <w:start w:val="1"/>
      <w:numFmt w:val="lowerLetter"/>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6">
    <w:nsid w:val="24B435DB"/>
    <w:multiLevelType w:val="multilevel"/>
    <w:tmpl w:val="24B435DB"/>
    <w:lvl w:ilvl="0" w:tentative="0">
      <w:start w:val="1"/>
      <w:numFmt w:val="lowerLetter"/>
      <w:pStyle w:val="11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29707437"/>
    <w:multiLevelType w:val="multilevel"/>
    <w:tmpl w:val="29707437"/>
    <w:lvl w:ilvl="0" w:tentative="0">
      <w:start w:val="1"/>
      <w:numFmt w:val="none"/>
      <w:pStyle w:val="61"/>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2A8F7113"/>
    <w:multiLevelType w:val="multilevel"/>
    <w:tmpl w:val="2A8F7113"/>
    <w:lvl w:ilvl="0" w:tentative="0">
      <w:start w:val="1"/>
      <w:numFmt w:val="upperLetter"/>
      <w:pStyle w:val="93"/>
      <w:suff w:val="space"/>
      <w:lvlText w:val="%1"/>
      <w:lvlJc w:val="left"/>
      <w:pPr>
        <w:ind w:left="623" w:hanging="425"/>
      </w:pPr>
      <w:rPr>
        <w:rFonts w:hint="eastAsia"/>
      </w:rPr>
    </w:lvl>
    <w:lvl w:ilvl="1" w:tentative="0">
      <w:start w:val="1"/>
      <w:numFmt w:val="decimal"/>
      <w:pStyle w:val="9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5"/>
      <w:suff w:val="nothing"/>
      <w:lvlText w:val="%1——"/>
      <w:lvlJc w:val="left"/>
      <w:pPr>
        <w:ind w:left="833" w:hanging="408"/>
      </w:pPr>
      <w:rPr>
        <w:rFonts w:hint="eastAsia"/>
      </w:rPr>
    </w:lvl>
    <w:lvl w:ilvl="1" w:tentative="0">
      <w:start w:val="1"/>
      <w:numFmt w:val="bullet"/>
      <w:pStyle w:val="46"/>
      <w:lvlText w:val=""/>
      <w:lvlJc w:val="left"/>
      <w:pPr>
        <w:tabs>
          <w:tab w:val="left" w:pos="760"/>
        </w:tabs>
        <w:ind w:left="1264" w:hanging="413"/>
      </w:pPr>
      <w:rPr>
        <w:rFonts w:hint="default" w:ascii="Symbol" w:hAnsi="Symbol"/>
        <w:color w:val="auto"/>
      </w:rPr>
    </w:lvl>
    <w:lvl w:ilvl="2" w:tentative="0">
      <w:start w:val="1"/>
      <w:numFmt w:val="bullet"/>
      <w:pStyle w:val="5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52C166B"/>
    <w:multiLevelType w:val="multilevel"/>
    <w:tmpl w:val="352C166B"/>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11">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5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1"/>
      <w:lvlText w:val="%2)"/>
      <w:lvlJc w:val="left"/>
      <w:pPr>
        <w:tabs>
          <w:tab w:val="left" w:pos="1260"/>
        </w:tabs>
        <w:ind w:left="1259" w:hanging="419"/>
      </w:pPr>
      <w:rPr>
        <w:rFonts w:hint="eastAsia"/>
      </w:rPr>
    </w:lvl>
    <w:lvl w:ilvl="2" w:tentative="0">
      <w:start w:val="1"/>
      <w:numFmt w:val="decimal"/>
      <w:pStyle w:val="5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4F065C8"/>
    <w:multiLevelType w:val="multilevel"/>
    <w:tmpl w:val="44F065C8"/>
    <w:lvl w:ilvl="0" w:tentative="0">
      <w:start w:val="1"/>
      <w:numFmt w:val="lowerLetter"/>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4">
    <w:nsid w:val="469F06F5"/>
    <w:multiLevelType w:val="multilevel"/>
    <w:tmpl w:val="469F06F5"/>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15">
    <w:nsid w:val="4BA6523A"/>
    <w:multiLevelType w:val="multilevel"/>
    <w:tmpl w:val="4BA6523A"/>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16">
    <w:nsid w:val="4EF41DF0"/>
    <w:multiLevelType w:val="multilevel"/>
    <w:tmpl w:val="4EF41DF0"/>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17">
    <w:nsid w:val="520F62E9"/>
    <w:multiLevelType w:val="multilevel"/>
    <w:tmpl w:val="520F62E9"/>
    <w:lvl w:ilvl="0" w:tentative="0">
      <w:start w:val="1"/>
      <w:numFmt w:val="decimal"/>
      <w:pStyle w:val="122"/>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48B189C"/>
    <w:multiLevelType w:val="multilevel"/>
    <w:tmpl w:val="548B189C"/>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19">
    <w:nsid w:val="5D5B37C4"/>
    <w:multiLevelType w:val="multilevel"/>
    <w:tmpl w:val="5D5B37C4"/>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20">
    <w:nsid w:val="5E63562F"/>
    <w:multiLevelType w:val="multilevel"/>
    <w:tmpl w:val="5E63562F"/>
    <w:lvl w:ilvl="0" w:tentative="0">
      <w:start w:val="1"/>
      <w:numFmt w:val="decimal"/>
      <w:pStyle w:val="5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1">
    <w:nsid w:val="60B55DC2"/>
    <w:multiLevelType w:val="multilevel"/>
    <w:tmpl w:val="60B55DC2"/>
    <w:lvl w:ilvl="0" w:tentative="0">
      <w:start w:val="1"/>
      <w:numFmt w:val="upperLetter"/>
      <w:pStyle w:val="82"/>
      <w:lvlText w:val="%1"/>
      <w:lvlJc w:val="left"/>
      <w:pPr>
        <w:tabs>
          <w:tab w:val="left" w:pos="0"/>
        </w:tabs>
        <w:ind w:left="0" w:hanging="425"/>
      </w:pPr>
      <w:rPr>
        <w:rFonts w:hint="eastAsia"/>
      </w:rPr>
    </w:lvl>
    <w:lvl w:ilvl="1" w:tentative="0">
      <w:start w:val="1"/>
      <w:numFmt w:val="decimal"/>
      <w:pStyle w:val="83"/>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3404DBE"/>
    <w:multiLevelType w:val="multilevel"/>
    <w:tmpl w:val="63404DBE"/>
    <w:lvl w:ilvl="0" w:tentative="0">
      <w:start w:val="1"/>
      <w:numFmt w:val="none"/>
      <w:pStyle w:val="4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3">
    <w:nsid w:val="63AF7EBF"/>
    <w:multiLevelType w:val="multilevel"/>
    <w:tmpl w:val="63AF7EBF"/>
    <w:lvl w:ilvl="0" w:tentative="0">
      <w:start w:val="1"/>
      <w:numFmt w:val="decimal"/>
      <w:pStyle w:val="120"/>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657D3FBC"/>
    <w:multiLevelType w:val="multilevel"/>
    <w:tmpl w:val="657D3FBC"/>
    <w:lvl w:ilvl="0" w:tentative="0">
      <w:start w:val="1"/>
      <w:numFmt w:val="upperLetter"/>
      <w:pStyle w:val="8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7"/>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98"/>
      <w:suff w:val="nothing"/>
      <w:lvlText w:val="%1.%2.%3　"/>
      <w:lvlJc w:val="left"/>
      <w:pPr>
        <w:ind w:left="0" w:firstLine="0"/>
      </w:pPr>
      <w:rPr>
        <w:rFonts w:hint="eastAsia" w:ascii="黑体" w:hAnsi="Times New Roman" w:eastAsia="黑体"/>
        <w:b w:val="0"/>
        <w:i w:val="0"/>
        <w:sz w:val="21"/>
      </w:rPr>
    </w:lvl>
    <w:lvl w:ilvl="3" w:tentative="0">
      <w:start w:val="1"/>
      <w:numFmt w:val="decimal"/>
      <w:pStyle w:val="84"/>
      <w:suff w:val="nothing"/>
      <w:lvlText w:val="%1.%2.%3.%4　"/>
      <w:lvlJc w:val="left"/>
      <w:pPr>
        <w:ind w:left="0" w:firstLine="0"/>
      </w:pPr>
      <w:rPr>
        <w:rFonts w:hint="eastAsia" w:ascii="黑体" w:hAnsi="Times New Roman" w:eastAsia="黑体"/>
        <w:b w:val="0"/>
        <w:i w:val="0"/>
        <w:sz w:val="21"/>
      </w:rPr>
    </w:lvl>
    <w:lvl w:ilvl="4" w:tentative="0">
      <w:start w:val="1"/>
      <w:numFmt w:val="decimal"/>
      <w:pStyle w:val="88"/>
      <w:suff w:val="nothing"/>
      <w:lvlText w:val="%1.%2.%3.%4.%5　"/>
      <w:lvlJc w:val="left"/>
      <w:pPr>
        <w:ind w:left="0" w:firstLine="0"/>
      </w:pPr>
      <w:rPr>
        <w:rFonts w:hint="eastAsia" w:ascii="黑体" w:hAnsi="Times New Roman" w:eastAsia="黑体"/>
        <w:b w:val="0"/>
        <w:i w:val="0"/>
        <w:sz w:val="21"/>
      </w:rPr>
    </w:lvl>
    <w:lvl w:ilvl="5" w:tentative="0">
      <w:start w:val="1"/>
      <w:numFmt w:val="decimal"/>
      <w:pStyle w:val="91"/>
      <w:suff w:val="nothing"/>
      <w:lvlText w:val="%1.%2.%3.%4.%5.%6　"/>
      <w:lvlJc w:val="left"/>
      <w:pPr>
        <w:ind w:left="0" w:firstLine="0"/>
      </w:pPr>
      <w:rPr>
        <w:rFonts w:hint="eastAsia" w:ascii="黑体" w:hAnsi="Times New Roman" w:eastAsia="黑体"/>
        <w:b w:val="0"/>
        <w:i w:val="0"/>
        <w:sz w:val="21"/>
      </w:rPr>
    </w:lvl>
    <w:lvl w:ilvl="6" w:tentative="0">
      <w:start w:val="1"/>
      <w:numFmt w:val="decimal"/>
      <w:pStyle w:val="9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AB870ED"/>
    <w:multiLevelType w:val="multilevel"/>
    <w:tmpl w:val="6AB870ED"/>
    <w:lvl w:ilvl="0" w:tentative="0">
      <w:start w:val="1"/>
      <w:numFmt w:val="decimal"/>
      <w:pStyle w:val="59"/>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6">
    <w:nsid w:val="6BB36D7A"/>
    <w:multiLevelType w:val="multilevel"/>
    <w:tmpl w:val="6BB36D7A"/>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27">
    <w:nsid w:val="6D6C07CD"/>
    <w:multiLevelType w:val="multilevel"/>
    <w:tmpl w:val="6D6C07CD"/>
    <w:lvl w:ilvl="0" w:tentative="0">
      <w:start w:val="1"/>
      <w:numFmt w:val="lowerLetter"/>
      <w:pStyle w:val="100"/>
      <w:lvlText w:val="%1)"/>
      <w:lvlJc w:val="left"/>
      <w:pPr>
        <w:tabs>
          <w:tab w:val="left" w:pos="839"/>
        </w:tabs>
        <w:ind w:left="839" w:hanging="419"/>
      </w:pPr>
      <w:rPr>
        <w:rFonts w:hint="eastAsia" w:ascii="宋体" w:eastAsia="宋体"/>
        <w:b w:val="0"/>
        <w:i w:val="0"/>
        <w:sz w:val="21"/>
      </w:rPr>
    </w:lvl>
    <w:lvl w:ilvl="1" w:tentative="0">
      <w:start w:val="1"/>
      <w:numFmt w:val="decimal"/>
      <w:pStyle w:val="9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8">
    <w:nsid w:val="708165E3"/>
    <w:multiLevelType w:val="multilevel"/>
    <w:tmpl w:val="708165E3"/>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29">
    <w:nsid w:val="7BFB2955"/>
    <w:multiLevelType w:val="multilevel"/>
    <w:tmpl w:val="7BFB2955"/>
    <w:lvl w:ilvl="0" w:tentative="0">
      <w:start w:val="1"/>
      <w:numFmt w:val="lowerLetter"/>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0">
    <w:nsid w:val="7C0E05E3"/>
    <w:multiLevelType w:val="multilevel"/>
    <w:tmpl w:val="7C0E05E3"/>
    <w:lvl w:ilvl="0" w:tentative="0">
      <w:start w:val="1"/>
      <w:numFmt w:val="decimal"/>
      <w:lvlText w:val="%1)"/>
      <w:lvlJc w:val="left"/>
      <w:pPr>
        <w:ind w:left="1220" w:hanging="360"/>
      </w:pPr>
      <w:rPr>
        <w:rFonts w:hint="default"/>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num w:numId="1">
    <w:abstractNumId w:val="11"/>
  </w:num>
  <w:num w:numId="2">
    <w:abstractNumId w:val="4"/>
  </w:num>
  <w:num w:numId="3">
    <w:abstractNumId w:val="9"/>
  </w:num>
  <w:num w:numId="4">
    <w:abstractNumId w:val="22"/>
  </w:num>
  <w:num w:numId="5">
    <w:abstractNumId w:val="12"/>
  </w:num>
  <w:num w:numId="6">
    <w:abstractNumId w:val="2"/>
  </w:num>
  <w:num w:numId="7">
    <w:abstractNumId w:val="20"/>
  </w:num>
  <w:num w:numId="8">
    <w:abstractNumId w:val="25"/>
  </w:num>
  <w:num w:numId="9">
    <w:abstractNumId w:val="7"/>
  </w:num>
  <w:num w:numId="10">
    <w:abstractNumId w:val="0"/>
  </w:num>
  <w:num w:numId="11">
    <w:abstractNumId w:val="24"/>
  </w:num>
  <w:num w:numId="12">
    <w:abstractNumId w:val="21"/>
  </w:num>
  <w:num w:numId="13">
    <w:abstractNumId w:val="27"/>
  </w:num>
  <w:num w:numId="14">
    <w:abstractNumId w:val="8"/>
  </w:num>
  <w:num w:numId="15">
    <w:abstractNumId w:val="6"/>
  </w:num>
  <w:num w:numId="16">
    <w:abstractNumId w:val="23"/>
  </w:num>
  <w:num w:numId="17">
    <w:abstractNumId w:val="17"/>
  </w:num>
  <w:num w:numId="18">
    <w:abstractNumId w:val="1"/>
  </w:num>
  <w:num w:numId="19">
    <w:abstractNumId w:val="14"/>
  </w:num>
  <w:num w:numId="20">
    <w:abstractNumId w:val="30"/>
  </w:num>
  <w:num w:numId="21">
    <w:abstractNumId w:val="3"/>
  </w:num>
  <w:num w:numId="22">
    <w:abstractNumId w:val="29"/>
  </w:num>
  <w:num w:numId="23">
    <w:abstractNumId w:val="26"/>
  </w:num>
  <w:num w:numId="24">
    <w:abstractNumId w:val="16"/>
  </w:num>
  <w:num w:numId="25">
    <w:abstractNumId w:val="28"/>
  </w:num>
  <w:num w:numId="26">
    <w:abstractNumId w:val="10"/>
  </w:num>
  <w:num w:numId="27">
    <w:abstractNumId w:val="13"/>
  </w:num>
  <w:num w:numId="28">
    <w:abstractNumId w:val="5"/>
  </w:num>
  <w:num w:numId="29">
    <w:abstractNumId w:val="19"/>
  </w:num>
  <w:num w:numId="30">
    <w:abstractNumId w:val="1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NmVhMmYyMmJjN2VhYzFhNDE2NDFlNWYzNGVjZDgifQ=="/>
  </w:docVars>
  <w:rsids>
    <w:rsidRoot w:val="00035925"/>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2835"/>
    <w:rsid w:val="00044D1D"/>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090E"/>
    <w:rsid w:val="001124C0"/>
    <w:rsid w:val="00117A25"/>
    <w:rsid w:val="0012053B"/>
    <w:rsid w:val="00121293"/>
    <w:rsid w:val="0013175F"/>
    <w:rsid w:val="00132283"/>
    <w:rsid w:val="0013364D"/>
    <w:rsid w:val="001343BB"/>
    <w:rsid w:val="00143E03"/>
    <w:rsid w:val="001512B4"/>
    <w:rsid w:val="00153A26"/>
    <w:rsid w:val="00155C90"/>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0F0C"/>
    <w:rsid w:val="00191258"/>
    <w:rsid w:val="00192680"/>
    <w:rsid w:val="00193037"/>
    <w:rsid w:val="00193375"/>
    <w:rsid w:val="00193A2C"/>
    <w:rsid w:val="001A288E"/>
    <w:rsid w:val="001B36ED"/>
    <w:rsid w:val="001B4613"/>
    <w:rsid w:val="001B6DC2"/>
    <w:rsid w:val="001B754B"/>
    <w:rsid w:val="001C149C"/>
    <w:rsid w:val="001C21AC"/>
    <w:rsid w:val="001C2FA4"/>
    <w:rsid w:val="001C3689"/>
    <w:rsid w:val="001C47BA"/>
    <w:rsid w:val="001C59EA"/>
    <w:rsid w:val="001D3556"/>
    <w:rsid w:val="001D406C"/>
    <w:rsid w:val="001D41EE"/>
    <w:rsid w:val="001D4BEB"/>
    <w:rsid w:val="001D71E6"/>
    <w:rsid w:val="001E02B5"/>
    <w:rsid w:val="001E0380"/>
    <w:rsid w:val="001E0B1B"/>
    <w:rsid w:val="001E13B1"/>
    <w:rsid w:val="001E1E6E"/>
    <w:rsid w:val="001E2153"/>
    <w:rsid w:val="001F389D"/>
    <w:rsid w:val="001F3A19"/>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0054"/>
    <w:rsid w:val="002622C0"/>
    <w:rsid w:val="002778AE"/>
    <w:rsid w:val="0028269A"/>
    <w:rsid w:val="00283590"/>
    <w:rsid w:val="0028488E"/>
    <w:rsid w:val="00286973"/>
    <w:rsid w:val="00287674"/>
    <w:rsid w:val="002938A4"/>
    <w:rsid w:val="00294E70"/>
    <w:rsid w:val="002954B8"/>
    <w:rsid w:val="002967B2"/>
    <w:rsid w:val="002A1924"/>
    <w:rsid w:val="002A7409"/>
    <w:rsid w:val="002A7420"/>
    <w:rsid w:val="002A7A7E"/>
    <w:rsid w:val="002B0F12"/>
    <w:rsid w:val="002B1308"/>
    <w:rsid w:val="002B4554"/>
    <w:rsid w:val="002B707C"/>
    <w:rsid w:val="002C124B"/>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1F39"/>
    <w:rsid w:val="00302A3F"/>
    <w:rsid w:val="00303D27"/>
    <w:rsid w:val="00305BEE"/>
    <w:rsid w:val="00313962"/>
    <w:rsid w:val="003234E0"/>
    <w:rsid w:val="00325926"/>
    <w:rsid w:val="00327A8A"/>
    <w:rsid w:val="003339A3"/>
    <w:rsid w:val="00336610"/>
    <w:rsid w:val="00341F5C"/>
    <w:rsid w:val="00343D23"/>
    <w:rsid w:val="00343F73"/>
    <w:rsid w:val="00344591"/>
    <w:rsid w:val="00345060"/>
    <w:rsid w:val="003451FB"/>
    <w:rsid w:val="00352629"/>
    <w:rsid w:val="0035323B"/>
    <w:rsid w:val="00353D19"/>
    <w:rsid w:val="0035785A"/>
    <w:rsid w:val="003609D2"/>
    <w:rsid w:val="00363F22"/>
    <w:rsid w:val="00364813"/>
    <w:rsid w:val="00364940"/>
    <w:rsid w:val="00375564"/>
    <w:rsid w:val="00376489"/>
    <w:rsid w:val="00383191"/>
    <w:rsid w:val="00386DED"/>
    <w:rsid w:val="003912E7"/>
    <w:rsid w:val="00393947"/>
    <w:rsid w:val="00395141"/>
    <w:rsid w:val="003A0E27"/>
    <w:rsid w:val="003A2275"/>
    <w:rsid w:val="003A4469"/>
    <w:rsid w:val="003A6A4F"/>
    <w:rsid w:val="003A7088"/>
    <w:rsid w:val="003B00DF"/>
    <w:rsid w:val="003B1275"/>
    <w:rsid w:val="003B1778"/>
    <w:rsid w:val="003B1E8E"/>
    <w:rsid w:val="003C11CB"/>
    <w:rsid w:val="003C3017"/>
    <w:rsid w:val="003C31E0"/>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04BCC"/>
    <w:rsid w:val="004200D9"/>
    <w:rsid w:val="00425082"/>
    <w:rsid w:val="00431DEB"/>
    <w:rsid w:val="00434AFB"/>
    <w:rsid w:val="0044259D"/>
    <w:rsid w:val="004439D9"/>
    <w:rsid w:val="004444E6"/>
    <w:rsid w:val="00446B29"/>
    <w:rsid w:val="004524BE"/>
    <w:rsid w:val="00453F9A"/>
    <w:rsid w:val="00454CC3"/>
    <w:rsid w:val="00464903"/>
    <w:rsid w:val="00471E91"/>
    <w:rsid w:val="00474079"/>
    <w:rsid w:val="00474675"/>
    <w:rsid w:val="0047470C"/>
    <w:rsid w:val="004826C0"/>
    <w:rsid w:val="00484C88"/>
    <w:rsid w:val="004A203E"/>
    <w:rsid w:val="004A35F9"/>
    <w:rsid w:val="004A4662"/>
    <w:rsid w:val="004A6537"/>
    <w:rsid w:val="004A7E02"/>
    <w:rsid w:val="004B157A"/>
    <w:rsid w:val="004B24C1"/>
    <w:rsid w:val="004B3092"/>
    <w:rsid w:val="004B49B1"/>
    <w:rsid w:val="004B557C"/>
    <w:rsid w:val="004C292F"/>
    <w:rsid w:val="004C657F"/>
    <w:rsid w:val="004D306F"/>
    <w:rsid w:val="004D4B02"/>
    <w:rsid w:val="004D4F76"/>
    <w:rsid w:val="004E4B13"/>
    <w:rsid w:val="004E4B8C"/>
    <w:rsid w:val="004E5A47"/>
    <w:rsid w:val="004F2EF3"/>
    <w:rsid w:val="005036E2"/>
    <w:rsid w:val="00503892"/>
    <w:rsid w:val="00510280"/>
    <w:rsid w:val="00513D73"/>
    <w:rsid w:val="005148B3"/>
    <w:rsid w:val="00514A43"/>
    <w:rsid w:val="00515E9C"/>
    <w:rsid w:val="005174E5"/>
    <w:rsid w:val="00520898"/>
    <w:rsid w:val="005211E6"/>
    <w:rsid w:val="00522393"/>
    <w:rsid w:val="00522620"/>
    <w:rsid w:val="00525656"/>
    <w:rsid w:val="00525BF3"/>
    <w:rsid w:val="00534C02"/>
    <w:rsid w:val="0054044C"/>
    <w:rsid w:val="0054264B"/>
    <w:rsid w:val="00543786"/>
    <w:rsid w:val="00545A49"/>
    <w:rsid w:val="005463CC"/>
    <w:rsid w:val="00546D0D"/>
    <w:rsid w:val="0055099B"/>
    <w:rsid w:val="0055153A"/>
    <w:rsid w:val="005533D7"/>
    <w:rsid w:val="00554B63"/>
    <w:rsid w:val="00562CF6"/>
    <w:rsid w:val="0056544B"/>
    <w:rsid w:val="00567177"/>
    <w:rsid w:val="005703DE"/>
    <w:rsid w:val="005710BC"/>
    <w:rsid w:val="005755F1"/>
    <w:rsid w:val="00577AE9"/>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21C5"/>
    <w:rsid w:val="005D3077"/>
    <w:rsid w:val="005D3842"/>
    <w:rsid w:val="005E140F"/>
    <w:rsid w:val="005E19E7"/>
    <w:rsid w:val="005E2392"/>
    <w:rsid w:val="005F3CD8"/>
    <w:rsid w:val="0060073E"/>
    <w:rsid w:val="00601622"/>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E6D31"/>
    <w:rsid w:val="006F0967"/>
    <w:rsid w:val="006F2274"/>
    <w:rsid w:val="006F64A0"/>
    <w:rsid w:val="0070038F"/>
    <w:rsid w:val="007027B1"/>
    <w:rsid w:val="0070286C"/>
    <w:rsid w:val="00704DF6"/>
    <w:rsid w:val="0070641D"/>
    <w:rsid w:val="0070651C"/>
    <w:rsid w:val="007132A3"/>
    <w:rsid w:val="007157FD"/>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913AB"/>
    <w:rsid w:val="007914F7"/>
    <w:rsid w:val="00795C73"/>
    <w:rsid w:val="007A4809"/>
    <w:rsid w:val="007B1625"/>
    <w:rsid w:val="007B5223"/>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6744"/>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422EF"/>
    <w:rsid w:val="008504A8"/>
    <w:rsid w:val="008518FA"/>
    <w:rsid w:val="00851B58"/>
    <w:rsid w:val="0085282E"/>
    <w:rsid w:val="00867088"/>
    <w:rsid w:val="0087198C"/>
    <w:rsid w:val="00872C1F"/>
    <w:rsid w:val="00873B42"/>
    <w:rsid w:val="00877CB0"/>
    <w:rsid w:val="008805AC"/>
    <w:rsid w:val="00880D1A"/>
    <w:rsid w:val="008833B6"/>
    <w:rsid w:val="00884468"/>
    <w:rsid w:val="008856D8"/>
    <w:rsid w:val="00892E82"/>
    <w:rsid w:val="00893277"/>
    <w:rsid w:val="00895FA9"/>
    <w:rsid w:val="008A1035"/>
    <w:rsid w:val="008A2A0E"/>
    <w:rsid w:val="008A6E08"/>
    <w:rsid w:val="008B70BD"/>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75"/>
    <w:rsid w:val="009040DD"/>
    <w:rsid w:val="00905B47"/>
    <w:rsid w:val="0090690F"/>
    <w:rsid w:val="00910CE9"/>
    <w:rsid w:val="00911391"/>
    <w:rsid w:val="0091331C"/>
    <w:rsid w:val="009137BD"/>
    <w:rsid w:val="0091503D"/>
    <w:rsid w:val="00915DA9"/>
    <w:rsid w:val="00920839"/>
    <w:rsid w:val="00923BEB"/>
    <w:rsid w:val="00925D64"/>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4F83"/>
    <w:rsid w:val="009877D3"/>
    <w:rsid w:val="00987E80"/>
    <w:rsid w:val="00994E8F"/>
    <w:rsid w:val="009951DC"/>
    <w:rsid w:val="009959BB"/>
    <w:rsid w:val="00997158"/>
    <w:rsid w:val="009A0827"/>
    <w:rsid w:val="009A3A7C"/>
    <w:rsid w:val="009A5D33"/>
    <w:rsid w:val="009A7D84"/>
    <w:rsid w:val="009B2323"/>
    <w:rsid w:val="009B2ADB"/>
    <w:rsid w:val="009B603A"/>
    <w:rsid w:val="009C2D0E"/>
    <w:rsid w:val="009C3018"/>
    <w:rsid w:val="009C3DAC"/>
    <w:rsid w:val="009C42E0"/>
    <w:rsid w:val="009D3230"/>
    <w:rsid w:val="009D5362"/>
    <w:rsid w:val="009E1415"/>
    <w:rsid w:val="009E3EDD"/>
    <w:rsid w:val="009E6116"/>
    <w:rsid w:val="009E7E25"/>
    <w:rsid w:val="00A02E43"/>
    <w:rsid w:val="00A05368"/>
    <w:rsid w:val="00A065F9"/>
    <w:rsid w:val="00A07011"/>
    <w:rsid w:val="00A07F34"/>
    <w:rsid w:val="00A22154"/>
    <w:rsid w:val="00A24058"/>
    <w:rsid w:val="00A25C38"/>
    <w:rsid w:val="00A26108"/>
    <w:rsid w:val="00A35824"/>
    <w:rsid w:val="00A36BBE"/>
    <w:rsid w:val="00A37C20"/>
    <w:rsid w:val="00A40D9E"/>
    <w:rsid w:val="00A41DF7"/>
    <w:rsid w:val="00A420B1"/>
    <w:rsid w:val="00A42ECA"/>
    <w:rsid w:val="00A4307A"/>
    <w:rsid w:val="00A46DEF"/>
    <w:rsid w:val="00A47EBB"/>
    <w:rsid w:val="00A51CDD"/>
    <w:rsid w:val="00A563F8"/>
    <w:rsid w:val="00A56BBA"/>
    <w:rsid w:val="00A57635"/>
    <w:rsid w:val="00A6730D"/>
    <w:rsid w:val="00A71625"/>
    <w:rsid w:val="00A71B9B"/>
    <w:rsid w:val="00A751C7"/>
    <w:rsid w:val="00A80008"/>
    <w:rsid w:val="00A84CE5"/>
    <w:rsid w:val="00A87844"/>
    <w:rsid w:val="00A9227B"/>
    <w:rsid w:val="00A97A55"/>
    <w:rsid w:val="00AA038C"/>
    <w:rsid w:val="00AA69AF"/>
    <w:rsid w:val="00AA7A09"/>
    <w:rsid w:val="00AB3B50"/>
    <w:rsid w:val="00AC05B1"/>
    <w:rsid w:val="00AC450C"/>
    <w:rsid w:val="00AD1CAB"/>
    <w:rsid w:val="00AD340B"/>
    <w:rsid w:val="00AD356C"/>
    <w:rsid w:val="00AE2914"/>
    <w:rsid w:val="00AE2C40"/>
    <w:rsid w:val="00AE6D15"/>
    <w:rsid w:val="00AE7023"/>
    <w:rsid w:val="00AE78AA"/>
    <w:rsid w:val="00AF0EF3"/>
    <w:rsid w:val="00AF1F49"/>
    <w:rsid w:val="00AF2D81"/>
    <w:rsid w:val="00AF52BE"/>
    <w:rsid w:val="00B0161B"/>
    <w:rsid w:val="00B04182"/>
    <w:rsid w:val="00B05ECF"/>
    <w:rsid w:val="00B07AE3"/>
    <w:rsid w:val="00B11430"/>
    <w:rsid w:val="00B12A5D"/>
    <w:rsid w:val="00B14BF6"/>
    <w:rsid w:val="00B242F4"/>
    <w:rsid w:val="00B2477A"/>
    <w:rsid w:val="00B24D1C"/>
    <w:rsid w:val="00B30072"/>
    <w:rsid w:val="00B30481"/>
    <w:rsid w:val="00B3312F"/>
    <w:rsid w:val="00B353EB"/>
    <w:rsid w:val="00B4016F"/>
    <w:rsid w:val="00B407AC"/>
    <w:rsid w:val="00B439C4"/>
    <w:rsid w:val="00B44C68"/>
    <w:rsid w:val="00B4535E"/>
    <w:rsid w:val="00B52093"/>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261C"/>
    <w:rsid w:val="00B9397A"/>
    <w:rsid w:val="00B9633D"/>
    <w:rsid w:val="00B967D5"/>
    <w:rsid w:val="00BA2EBE"/>
    <w:rsid w:val="00BB0F28"/>
    <w:rsid w:val="00BB458A"/>
    <w:rsid w:val="00BB693F"/>
    <w:rsid w:val="00BB6C11"/>
    <w:rsid w:val="00BC5953"/>
    <w:rsid w:val="00BD00D3"/>
    <w:rsid w:val="00BD0C9D"/>
    <w:rsid w:val="00BD1659"/>
    <w:rsid w:val="00BD2E1D"/>
    <w:rsid w:val="00BD3AA9"/>
    <w:rsid w:val="00BD4A18"/>
    <w:rsid w:val="00BD6DB2"/>
    <w:rsid w:val="00BD73A1"/>
    <w:rsid w:val="00BE11CF"/>
    <w:rsid w:val="00BE21AB"/>
    <w:rsid w:val="00BE55CB"/>
    <w:rsid w:val="00BE7067"/>
    <w:rsid w:val="00BE7A50"/>
    <w:rsid w:val="00BF3BB2"/>
    <w:rsid w:val="00BF617A"/>
    <w:rsid w:val="00C0379D"/>
    <w:rsid w:val="00C03931"/>
    <w:rsid w:val="00C05FE3"/>
    <w:rsid w:val="00C11DA9"/>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166B"/>
    <w:rsid w:val="00C65BCC"/>
    <w:rsid w:val="00C66970"/>
    <w:rsid w:val="00C71F4D"/>
    <w:rsid w:val="00C77588"/>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D76B1"/>
    <w:rsid w:val="00CF1E15"/>
    <w:rsid w:val="00CF772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3C6F"/>
    <w:rsid w:val="00D84271"/>
    <w:rsid w:val="00D847FE"/>
    <w:rsid w:val="00D86B9C"/>
    <w:rsid w:val="00D86CDA"/>
    <w:rsid w:val="00D900CD"/>
    <w:rsid w:val="00D90A39"/>
    <w:rsid w:val="00D91872"/>
    <w:rsid w:val="00D964EA"/>
    <w:rsid w:val="00D966D0"/>
    <w:rsid w:val="00DA0C59"/>
    <w:rsid w:val="00DA3991"/>
    <w:rsid w:val="00DA72A1"/>
    <w:rsid w:val="00DA7F95"/>
    <w:rsid w:val="00DB01F1"/>
    <w:rsid w:val="00DB3222"/>
    <w:rsid w:val="00DB7E6C"/>
    <w:rsid w:val="00DC4F68"/>
    <w:rsid w:val="00DC5E64"/>
    <w:rsid w:val="00DC64B0"/>
    <w:rsid w:val="00DC6B1E"/>
    <w:rsid w:val="00DD252A"/>
    <w:rsid w:val="00DD3D00"/>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0DF"/>
    <w:rsid w:val="00E21A65"/>
    <w:rsid w:val="00E21B55"/>
    <w:rsid w:val="00E221D3"/>
    <w:rsid w:val="00E226B0"/>
    <w:rsid w:val="00E24EB4"/>
    <w:rsid w:val="00E30635"/>
    <w:rsid w:val="00E320ED"/>
    <w:rsid w:val="00E33AFB"/>
    <w:rsid w:val="00E34218"/>
    <w:rsid w:val="00E4008C"/>
    <w:rsid w:val="00E4555B"/>
    <w:rsid w:val="00E46282"/>
    <w:rsid w:val="00E5216E"/>
    <w:rsid w:val="00E5529C"/>
    <w:rsid w:val="00E657C6"/>
    <w:rsid w:val="00E75D40"/>
    <w:rsid w:val="00E81965"/>
    <w:rsid w:val="00E81A88"/>
    <w:rsid w:val="00E82344"/>
    <w:rsid w:val="00E84C82"/>
    <w:rsid w:val="00E84D64"/>
    <w:rsid w:val="00E856C8"/>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DC8"/>
    <w:rsid w:val="00F05D60"/>
    <w:rsid w:val="00F07224"/>
    <w:rsid w:val="00F07FD3"/>
    <w:rsid w:val="00F11BB5"/>
    <w:rsid w:val="00F1296C"/>
    <w:rsid w:val="00F1417B"/>
    <w:rsid w:val="00F14A99"/>
    <w:rsid w:val="00F1712D"/>
    <w:rsid w:val="00F17A17"/>
    <w:rsid w:val="00F208A0"/>
    <w:rsid w:val="00F2115E"/>
    <w:rsid w:val="00F25DD8"/>
    <w:rsid w:val="00F27B3D"/>
    <w:rsid w:val="00F30ABD"/>
    <w:rsid w:val="00F34B99"/>
    <w:rsid w:val="00F40B02"/>
    <w:rsid w:val="00F41E81"/>
    <w:rsid w:val="00F508D5"/>
    <w:rsid w:val="00F51720"/>
    <w:rsid w:val="00F51CF2"/>
    <w:rsid w:val="00F52DAB"/>
    <w:rsid w:val="00F543F0"/>
    <w:rsid w:val="00F55E3E"/>
    <w:rsid w:val="00F57601"/>
    <w:rsid w:val="00F66940"/>
    <w:rsid w:val="00F7028B"/>
    <w:rsid w:val="00F73F99"/>
    <w:rsid w:val="00F75F80"/>
    <w:rsid w:val="00F81D29"/>
    <w:rsid w:val="00F863C8"/>
    <w:rsid w:val="00F90BE5"/>
    <w:rsid w:val="00F91C4D"/>
    <w:rsid w:val="00F92FD9"/>
    <w:rsid w:val="00FA37B1"/>
    <w:rsid w:val="00FA3E0B"/>
    <w:rsid w:val="00FA5C60"/>
    <w:rsid w:val="00FA5EF7"/>
    <w:rsid w:val="00FA6684"/>
    <w:rsid w:val="00FA731E"/>
    <w:rsid w:val="00FA7BD0"/>
    <w:rsid w:val="00FB0E6D"/>
    <w:rsid w:val="00FB1DCF"/>
    <w:rsid w:val="00FB2B38"/>
    <w:rsid w:val="00FB61CE"/>
    <w:rsid w:val="00FB7A07"/>
    <w:rsid w:val="00FC04CC"/>
    <w:rsid w:val="00FC1C08"/>
    <w:rsid w:val="00FC2066"/>
    <w:rsid w:val="00FC6358"/>
    <w:rsid w:val="00FD1381"/>
    <w:rsid w:val="00FD320D"/>
    <w:rsid w:val="00FE1B98"/>
    <w:rsid w:val="00FE23DE"/>
    <w:rsid w:val="00FF1801"/>
    <w:rsid w:val="00FF6842"/>
    <w:rsid w:val="32CC47FF"/>
    <w:rsid w:val="38D064F5"/>
    <w:rsid w:val="420513C7"/>
    <w:rsid w:val="6B463189"/>
    <w:rsid w:val="F76B2518"/>
    <w:rsid w:val="FFFA7C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autoRedefine/>
    <w:unhideWhenUsed/>
    <w:qFormat/>
    <w:uiPriority w:val="1"/>
  </w:style>
  <w:style w:type="table" w:default="1" w:styleId="31">
    <w:name w:val="Normal Table"/>
    <w:autoRedefine/>
    <w:unhideWhenUsed/>
    <w:qFormat/>
    <w:uiPriority w:val="99"/>
    <w:tblPr>
      <w:tblCellMar>
        <w:top w:w="0" w:type="dxa"/>
        <w:left w:w="108" w:type="dxa"/>
        <w:bottom w:w="0" w:type="dxa"/>
        <w:right w:w="108" w:type="dxa"/>
      </w:tblCellMar>
    </w:tblPr>
  </w:style>
  <w:style w:type="paragraph" w:styleId="2">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caption"/>
    <w:basedOn w:val="1"/>
    <w:next w:val="1"/>
    <w:autoRedefine/>
    <w:qFormat/>
    <w:uiPriority w:val="0"/>
    <w:pPr>
      <w:spacing w:before="152" w:after="160"/>
    </w:pPr>
    <w:rPr>
      <w:rFonts w:ascii="Arial" w:hAnsi="Arial" w:eastAsia="黑体" w:cs="Arial"/>
      <w:sz w:val="20"/>
      <w:szCs w:val="20"/>
    </w:rPr>
  </w:style>
  <w:style w:type="paragraph" w:styleId="5">
    <w:name w:val="index 5"/>
    <w:basedOn w:val="1"/>
    <w:next w:val="1"/>
    <w:autoRedefine/>
    <w:qFormat/>
    <w:uiPriority w:val="0"/>
    <w:pPr>
      <w:ind w:left="1050" w:hanging="210"/>
      <w:jc w:val="left"/>
    </w:pPr>
    <w:rPr>
      <w:rFonts w:ascii="Calibri" w:hAnsi="Calibri"/>
      <w:sz w:val="20"/>
      <w:szCs w:val="20"/>
    </w:rPr>
  </w:style>
  <w:style w:type="paragraph" w:styleId="6">
    <w:name w:val="Document Map"/>
    <w:basedOn w:val="1"/>
    <w:autoRedefine/>
    <w:semiHidden/>
    <w:qFormat/>
    <w:uiPriority w:val="0"/>
    <w:pPr>
      <w:shd w:val="clear" w:color="auto" w:fill="000080"/>
    </w:pPr>
  </w:style>
  <w:style w:type="paragraph" w:styleId="7">
    <w:name w:val="index 6"/>
    <w:basedOn w:val="1"/>
    <w:next w:val="1"/>
    <w:autoRedefine/>
    <w:qFormat/>
    <w:uiPriority w:val="0"/>
    <w:pPr>
      <w:ind w:left="1260" w:hanging="210"/>
      <w:jc w:val="left"/>
    </w:pPr>
    <w:rPr>
      <w:rFonts w:ascii="Calibri" w:hAnsi="Calibri"/>
      <w:sz w:val="20"/>
      <w:szCs w:val="20"/>
    </w:rPr>
  </w:style>
  <w:style w:type="paragraph" w:styleId="8">
    <w:name w:val="Body Text Indent"/>
    <w:basedOn w:val="1"/>
    <w:semiHidden/>
    <w:unhideWhenUsed/>
    <w:qFormat/>
    <w:uiPriority w:val="0"/>
    <w:pPr>
      <w:spacing w:after="120"/>
      <w:ind w:left="420" w:leftChars="200"/>
    </w:pPr>
  </w:style>
  <w:style w:type="paragraph" w:styleId="9">
    <w:name w:val="index 4"/>
    <w:basedOn w:val="1"/>
    <w:next w:val="1"/>
    <w:autoRedefine/>
    <w:qFormat/>
    <w:uiPriority w:val="0"/>
    <w:pPr>
      <w:ind w:left="840" w:hanging="210"/>
      <w:jc w:val="left"/>
    </w:pPr>
    <w:rPr>
      <w:rFonts w:ascii="Calibri" w:hAnsi="Calibri"/>
      <w:sz w:val="20"/>
      <w:szCs w:val="20"/>
    </w:rPr>
  </w:style>
  <w:style w:type="paragraph" w:styleId="10">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1">
    <w:name w:val="toc 3"/>
    <w:basedOn w:val="1"/>
    <w:next w:val="1"/>
    <w:autoRedefine/>
    <w:semiHidden/>
    <w:qFormat/>
    <w:uiPriority w:val="0"/>
    <w:pPr>
      <w:tabs>
        <w:tab w:val="right" w:leader="dot" w:pos="9241"/>
      </w:tabs>
      <w:ind w:firstLine="102" w:firstLineChars="100"/>
      <w:jc w:val="left"/>
    </w:pPr>
    <w:rPr>
      <w:rFonts w:ascii="宋体"/>
      <w:szCs w:val="21"/>
    </w:rPr>
  </w:style>
  <w:style w:type="paragraph" w:styleId="12">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3">
    <w:name w:val="index 3"/>
    <w:basedOn w:val="1"/>
    <w:next w:val="1"/>
    <w:autoRedefine/>
    <w:qFormat/>
    <w:uiPriority w:val="0"/>
    <w:pPr>
      <w:ind w:left="630" w:hanging="210"/>
      <w:jc w:val="left"/>
    </w:pPr>
    <w:rPr>
      <w:rFonts w:ascii="Calibri" w:hAnsi="Calibri"/>
      <w:sz w:val="20"/>
      <w:szCs w:val="20"/>
    </w:rPr>
  </w:style>
  <w:style w:type="paragraph" w:styleId="14">
    <w:name w:val="endnote text"/>
    <w:basedOn w:val="1"/>
    <w:autoRedefine/>
    <w:semiHidden/>
    <w:qFormat/>
    <w:uiPriority w:val="0"/>
    <w:pPr>
      <w:snapToGrid w:val="0"/>
      <w:jc w:val="left"/>
    </w:pPr>
  </w:style>
  <w:style w:type="paragraph" w:styleId="15">
    <w:name w:val="Balloon Text"/>
    <w:basedOn w:val="1"/>
    <w:link w:val="139"/>
    <w:autoRedefine/>
    <w:qFormat/>
    <w:uiPriority w:val="0"/>
    <w:rPr>
      <w:sz w:val="18"/>
      <w:szCs w:val="18"/>
    </w:rPr>
  </w:style>
  <w:style w:type="paragraph" w:styleId="16">
    <w:name w:val="footer"/>
    <w:basedOn w:val="1"/>
    <w:autoRedefine/>
    <w:qFormat/>
    <w:uiPriority w:val="0"/>
    <w:pPr>
      <w:snapToGrid w:val="0"/>
      <w:ind w:right="210" w:rightChars="100"/>
      <w:jc w:val="right"/>
    </w:pPr>
    <w:rPr>
      <w:sz w:val="18"/>
      <w:szCs w:val="18"/>
    </w:rPr>
  </w:style>
  <w:style w:type="paragraph" w:styleId="17">
    <w:name w:val="header"/>
    <w:basedOn w:val="1"/>
    <w:autoRedefine/>
    <w:qFormat/>
    <w:uiPriority w:val="0"/>
    <w:pPr>
      <w:snapToGrid w:val="0"/>
      <w:jc w:val="left"/>
    </w:pPr>
    <w:rPr>
      <w:sz w:val="18"/>
      <w:szCs w:val="18"/>
    </w:rPr>
  </w:style>
  <w:style w:type="paragraph" w:styleId="18">
    <w:name w:val="toc 1"/>
    <w:basedOn w:val="1"/>
    <w:next w:val="1"/>
    <w:autoRedefine/>
    <w:qFormat/>
    <w:uiPriority w:val="39"/>
    <w:pPr>
      <w:tabs>
        <w:tab w:val="right" w:leader="dot" w:pos="9241"/>
      </w:tabs>
      <w:spacing w:beforeLines="25" w:afterLines="25"/>
      <w:jc w:val="left"/>
    </w:pPr>
    <w:rPr>
      <w:rFonts w:ascii="宋体"/>
      <w:szCs w:val="21"/>
    </w:rPr>
  </w:style>
  <w:style w:type="paragraph" w:styleId="19">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autoRedefine/>
    <w:qFormat/>
    <w:uiPriority w:val="0"/>
    <w:pPr>
      <w:spacing w:before="120" w:after="120"/>
      <w:jc w:val="center"/>
    </w:pPr>
    <w:rPr>
      <w:rFonts w:ascii="Calibri" w:hAnsi="Calibri"/>
      <w:b/>
      <w:bCs/>
      <w:iCs/>
      <w:szCs w:val="20"/>
    </w:rPr>
  </w:style>
  <w:style w:type="paragraph" w:styleId="21">
    <w:name w:val="index 1"/>
    <w:basedOn w:val="1"/>
    <w:next w:val="22"/>
    <w:autoRedefine/>
    <w:qFormat/>
    <w:uiPriority w:val="0"/>
    <w:pPr>
      <w:tabs>
        <w:tab w:val="right" w:leader="dot" w:pos="9299"/>
      </w:tabs>
      <w:jc w:val="left"/>
    </w:pPr>
    <w:rPr>
      <w:rFonts w:ascii="宋体"/>
      <w:szCs w:val="21"/>
    </w:rPr>
  </w:style>
  <w:style w:type="paragraph" w:customStyle="1" w:styleId="22">
    <w:name w:val="段"/>
    <w:link w:val="13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autoRedefine/>
    <w:qFormat/>
    <w:uiPriority w:val="0"/>
    <w:pPr>
      <w:numPr>
        <w:ilvl w:val="0"/>
        <w:numId w:val="1"/>
      </w:numPr>
      <w:snapToGrid w:val="0"/>
      <w:jc w:val="left"/>
    </w:pPr>
    <w:rPr>
      <w:rFonts w:ascii="宋体"/>
      <w:sz w:val="18"/>
      <w:szCs w:val="18"/>
    </w:rPr>
  </w:style>
  <w:style w:type="paragraph" w:styleId="24">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25">
    <w:name w:val="index 7"/>
    <w:basedOn w:val="1"/>
    <w:next w:val="1"/>
    <w:autoRedefine/>
    <w:qFormat/>
    <w:uiPriority w:val="0"/>
    <w:pPr>
      <w:ind w:left="1470" w:hanging="210"/>
      <w:jc w:val="left"/>
    </w:pPr>
    <w:rPr>
      <w:rFonts w:ascii="Calibri" w:hAnsi="Calibri"/>
      <w:sz w:val="20"/>
      <w:szCs w:val="20"/>
    </w:rPr>
  </w:style>
  <w:style w:type="paragraph" w:styleId="26">
    <w:name w:val="index 9"/>
    <w:basedOn w:val="1"/>
    <w:next w:val="1"/>
    <w:autoRedefine/>
    <w:qFormat/>
    <w:uiPriority w:val="0"/>
    <w:pPr>
      <w:ind w:left="1890" w:hanging="210"/>
      <w:jc w:val="left"/>
    </w:pPr>
    <w:rPr>
      <w:rFonts w:ascii="Calibri" w:hAnsi="Calibri"/>
      <w:sz w:val="20"/>
      <w:szCs w:val="20"/>
    </w:rPr>
  </w:style>
  <w:style w:type="paragraph" w:styleId="27">
    <w:name w:val="toc 2"/>
    <w:basedOn w:val="1"/>
    <w:next w:val="1"/>
    <w:autoRedefine/>
    <w:semiHidden/>
    <w:qFormat/>
    <w:uiPriority w:val="0"/>
    <w:pPr>
      <w:tabs>
        <w:tab w:val="right" w:leader="dot" w:pos="9241"/>
      </w:tabs>
    </w:pPr>
    <w:rPr>
      <w:rFonts w:ascii="宋体"/>
      <w:szCs w:val="21"/>
    </w:rPr>
  </w:style>
  <w:style w:type="paragraph" w:styleId="28">
    <w:name w:val="toc 9"/>
    <w:basedOn w:val="1"/>
    <w:next w:val="1"/>
    <w:autoRedefine/>
    <w:semiHidden/>
    <w:qFormat/>
    <w:uiPriority w:val="0"/>
    <w:pPr>
      <w:ind w:left="1470"/>
      <w:jc w:val="left"/>
    </w:pPr>
    <w:rPr>
      <w:sz w:val="20"/>
      <w:szCs w:val="20"/>
    </w:rPr>
  </w:style>
  <w:style w:type="paragraph" w:styleId="29">
    <w:name w:val="index 2"/>
    <w:basedOn w:val="1"/>
    <w:next w:val="1"/>
    <w:autoRedefine/>
    <w:qFormat/>
    <w:uiPriority w:val="0"/>
    <w:pPr>
      <w:ind w:left="420" w:hanging="210"/>
      <w:jc w:val="left"/>
    </w:pPr>
    <w:rPr>
      <w:rFonts w:ascii="Calibri" w:hAnsi="Calibri"/>
      <w:sz w:val="20"/>
      <w:szCs w:val="20"/>
    </w:rPr>
  </w:style>
  <w:style w:type="paragraph" w:styleId="30">
    <w:name w:val="Body Text First Indent 2"/>
    <w:basedOn w:val="8"/>
    <w:semiHidden/>
    <w:unhideWhenUsed/>
    <w:qFormat/>
    <w:uiPriority w:val="0"/>
    <w:pPr>
      <w:ind w:firstLine="420" w:firstLineChars="200"/>
    </w:pPr>
  </w:style>
  <w:style w:type="table" w:styleId="32">
    <w:name w:val="Table Grid"/>
    <w:basedOn w:val="3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autoRedefine/>
    <w:semiHidden/>
    <w:qFormat/>
    <w:uiPriority w:val="0"/>
    <w:rPr>
      <w:vertAlign w:val="superscript"/>
    </w:rPr>
  </w:style>
  <w:style w:type="character" w:styleId="35">
    <w:name w:val="page number"/>
    <w:autoRedefine/>
    <w:qFormat/>
    <w:uiPriority w:val="0"/>
    <w:rPr>
      <w:rFonts w:ascii="Times New Roman" w:hAnsi="Times New Roman" w:eastAsia="宋体"/>
      <w:sz w:val="18"/>
    </w:rPr>
  </w:style>
  <w:style w:type="character" w:styleId="36">
    <w:name w:val="FollowedHyperlink"/>
    <w:autoRedefine/>
    <w:qFormat/>
    <w:uiPriority w:val="0"/>
    <w:rPr>
      <w:color w:val="800080"/>
      <w:u w:val="single"/>
    </w:rPr>
  </w:style>
  <w:style w:type="character" w:styleId="37">
    <w:name w:val="Hyperlink"/>
    <w:autoRedefine/>
    <w:qFormat/>
    <w:uiPriority w:val="99"/>
    <w:rPr>
      <w:color w:val="0000FF"/>
      <w:spacing w:val="0"/>
      <w:w w:val="100"/>
      <w:szCs w:val="21"/>
      <w:u w:val="single"/>
    </w:rPr>
  </w:style>
  <w:style w:type="character" w:styleId="38">
    <w:name w:val="footnote reference"/>
    <w:autoRedefine/>
    <w:semiHidden/>
    <w:qFormat/>
    <w:uiPriority w:val="0"/>
    <w:rPr>
      <w:vertAlign w:val="superscript"/>
    </w:rPr>
  </w:style>
  <w:style w:type="paragraph" w:customStyle="1" w:styleId="39">
    <w:name w:val="一级条标题"/>
    <w:next w:val="22"/>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2">
    <w:name w:val="章标题"/>
    <w:next w:val="22"/>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二级条标题"/>
    <w:basedOn w:val="39"/>
    <w:next w:val="22"/>
    <w:autoRedefine/>
    <w:qFormat/>
    <w:uiPriority w:val="0"/>
    <w:pPr>
      <w:numPr>
        <w:ilvl w:val="2"/>
        <w:numId w:val="2"/>
      </w:numPr>
      <w:spacing w:before="50" w:after="50"/>
      <w:outlineLvl w:val="3"/>
    </w:pPr>
  </w:style>
  <w:style w:type="paragraph" w:customStyle="1" w:styleId="44">
    <w:name w:val="封面标准号2"/>
    <w:autoRedefine/>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5">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6">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7">
    <w:name w:val="目次、标准名称标题"/>
    <w:basedOn w:val="1"/>
    <w:next w:val="22"/>
    <w:link w:val="137"/>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8">
    <w:name w:val="三级条标题"/>
    <w:basedOn w:val="43"/>
    <w:next w:val="22"/>
    <w:autoRedefine/>
    <w:qFormat/>
    <w:uiPriority w:val="0"/>
    <w:pPr>
      <w:numPr>
        <w:ilvl w:val="3"/>
        <w:numId w:val="2"/>
      </w:numPr>
      <w:outlineLvl w:val="4"/>
    </w:pPr>
  </w:style>
  <w:style w:type="paragraph" w:customStyle="1" w:styleId="49">
    <w:name w:val="示例"/>
    <w:next w:val="50"/>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51">
    <w:name w:val="数字编号列项（二级）"/>
    <w:autoRedefine/>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2">
    <w:name w:val="四级条标题"/>
    <w:basedOn w:val="48"/>
    <w:next w:val="22"/>
    <w:autoRedefine/>
    <w:qFormat/>
    <w:uiPriority w:val="0"/>
    <w:pPr>
      <w:numPr>
        <w:ilvl w:val="4"/>
        <w:numId w:val="2"/>
      </w:numPr>
      <w:outlineLvl w:val="5"/>
    </w:pPr>
  </w:style>
  <w:style w:type="paragraph" w:customStyle="1" w:styleId="53">
    <w:name w:val="五级条标题"/>
    <w:basedOn w:val="52"/>
    <w:next w:val="22"/>
    <w:autoRedefine/>
    <w:qFormat/>
    <w:uiPriority w:val="0"/>
    <w:pPr>
      <w:numPr>
        <w:ilvl w:val="5"/>
        <w:numId w:val="2"/>
      </w:numPr>
      <w:outlineLvl w:val="6"/>
    </w:pPr>
  </w:style>
  <w:style w:type="paragraph" w:customStyle="1" w:styleId="54">
    <w:name w:val="注："/>
    <w:next w:val="22"/>
    <w:autoRedefine/>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5">
    <w:name w:val="注×："/>
    <w:autoRedefine/>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6">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7">
    <w:name w:val="列项◆（三级）"/>
    <w:basedOn w:val="1"/>
    <w:autoRedefine/>
    <w:qFormat/>
    <w:uiPriority w:val="0"/>
    <w:pPr>
      <w:numPr>
        <w:ilvl w:val="2"/>
        <w:numId w:val="3"/>
      </w:numPr>
    </w:pPr>
    <w:rPr>
      <w:rFonts w:ascii="宋体"/>
      <w:szCs w:val="21"/>
    </w:rPr>
  </w:style>
  <w:style w:type="paragraph" w:customStyle="1" w:styleId="58">
    <w:name w:val="编号列项（三级）"/>
    <w:autoRedefine/>
    <w:qFormat/>
    <w:uiPriority w:val="0"/>
    <w:pPr>
      <w:numPr>
        <w:ilvl w:val="2"/>
        <w:numId w:val="5"/>
      </w:numPr>
      <w:tabs>
        <w:tab w:val="left" w:pos="840"/>
      </w:tabs>
    </w:pPr>
    <w:rPr>
      <w:rFonts w:ascii="宋体" w:hAnsi="Times New Roman" w:eastAsia="宋体" w:cs="Times New Roman"/>
      <w:sz w:val="21"/>
      <w:lang w:val="en-US" w:eastAsia="zh-CN" w:bidi="ar-SA"/>
    </w:rPr>
  </w:style>
  <w:style w:type="paragraph" w:customStyle="1" w:styleId="59">
    <w:name w:val="示例×："/>
    <w:basedOn w:val="42"/>
    <w:autoRedefine/>
    <w:qFormat/>
    <w:uiPriority w:val="0"/>
    <w:pPr>
      <w:numPr>
        <w:ilvl w:val="0"/>
        <w:numId w:val="8"/>
      </w:numPr>
      <w:spacing w:beforeLines="0" w:afterLines="0"/>
      <w:outlineLvl w:val="9"/>
    </w:pPr>
    <w:rPr>
      <w:rFonts w:ascii="宋体" w:eastAsia="宋体"/>
      <w:sz w:val="18"/>
      <w:szCs w:val="18"/>
    </w:rPr>
  </w:style>
  <w:style w:type="paragraph" w:customStyle="1" w:styleId="60">
    <w:name w:val="二级无"/>
    <w:basedOn w:val="43"/>
    <w:autoRedefine/>
    <w:qFormat/>
    <w:uiPriority w:val="0"/>
    <w:pPr>
      <w:spacing w:beforeLines="0" w:afterLines="0"/>
    </w:pPr>
    <w:rPr>
      <w:rFonts w:ascii="宋体" w:eastAsia="宋体"/>
    </w:rPr>
  </w:style>
  <w:style w:type="paragraph" w:customStyle="1" w:styleId="61">
    <w:name w:val="注：（正文）"/>
    <w:basedOn w:val="54"/>
    <w:next w:val="22"/>
    <w:autoRedefine/>
    <w:qFormat/>
    <w:uiPriority w:val="0"/>
    <w:pPr>
      <w:numPr>
        <w:ilvl w:val="0"/>
        <w:numId w:val="9"/>
      </w:numPr>
      <w:ind w:left="726" w:hanging="363"/>
    </w:pPr>
  </w:style>
  <w:style w:type="paragraph" w:customStyle="1" w:styleId="62">
    <w:name w:val="注×：（正文）"/>
    <w:autoRedefine/>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5">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66">
    <w:name w:val="标准书眉_偶数页"/>
    <w:basedOn w:val="41"/>
    <w:next w:val="1"/>
    <w:autoRedefine/>
    <w:qFormat/>
    <w:uiPriority w:val="0"/>
    <w:pPr>
      <w:jc w:val="left"/>
    </w:pPr>
  </w:style>
  <w:style w:type="paragraph" w:customStyle="1" w:styleId="67">
    <w:name w:val="标准书眉一"/>
    <w:autoRedefine/>
    <w:qFormat/>
    <w:uiPriority w:val="0"/>
    <w:pPr>
      <w:jc w:val="both"/>
    </w:pPr>
    <w:rPr>
      <w:rFonts w:ascii="Times New Roman" w:hAnsi="Times New Roman" w:eastAsia="宋体" w:cs="Times New Roman"/>
      <w:lang w:val="en-US" w:eastAsia="zh-CN" w:bidi="ar-SA"/>
    </w:rPr>
  </w:style>
  <w:style w:type="paragraph" w:customStyle="1" w:styleId="68">
    <w:name w:val="参考文献"/>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9">
    <w:name w:val="参考文献、索引标题"/>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0">
    <w:name w:val="发布部门"/>
    <w:next w:val="22"/>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1">
    <w:name w:val="发布日期"/>
    <w:autoRedefine/>
    <w:qFormat/>
    <w:uiPriority w:val="0"/>
    <w:rPr>
      <w:rFonts w:ascii="Times New Roman" w:hAnsi="Times New Roman" w:eastAsia="黑体" w:cs="Times New Roman"/>
      <w:sz w:val="28"/>
      <w:lang w:val="en-US" w:eastAsia="zh-CN" w:bidi="ar-SA"/>
    </w:rPr>
  </w:style>
  <w:style w:type="paragraph" w:customStyle="1" w:styleId="72">
    <w:name w:val="封面标准代替信息"/>
    <w:autoRedefine/>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73">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4">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5">
    <w:name w:val="封面标准英文名称"/>
    <w:basedOn w:val="74"/>
    <w:autoRedefine/>
    <w:qFormat/>
    <w:uiPriority w:val="0"/>
    <w:pPr>
      <w:framePr w:wrap="around" w:vAnchor="margin" w:hAnchor="text" w:y="1"/>
      <w:spacing w:before="370" w:line="400" w:lineRule="exact"/>
    </w:pPr>
    <w:rPr>
      <w:rFonts w:ascii="Times New Roman"/>
      <w:sz w:val="28"/>
      <w:szCs w:val="28"/>
    </w:rPr>
  </w:style>
  <w:style w:type="paragraph" w:customStyle="1" w:styleId="76">
    <w:name w:val="封面一致性程度标识"/>
    <w:basedOn w:val="75"/>
    <w:autoRedefine/>
    <w:qFormat/>
    <w:uiPriority w:val="0"/>
    <w:pPr>
      <w:spacing w:before="440"/>
    </w:pPr>
    <w:rPr>
      <w:rFonts w:ascii="宋体" w:eastAsia="宋体"/>
    </w:rPr>
  </w:style>
  <w:style w:type="paragraph" w:customStyle="1" w:styleId="77">
    <w:name w:val="封面标准文稿类别"/>
    <w:basedOn w:val="76"/>
    <w:autoRedefine/>
    <w:qFormat/>
    <w:uiPriority w:val="0"/>
    <w:pPr>
      <w:spacing w:after="160" w:line="240" w:lineRule="auto"/>
    </w:pPr>
    <w:rPr>
      <w:sz w:val="24"/>
    </w:rPr>
  </w:style>
  <w:style w:type="paragraph" w:customStyle="1" w:styleId="78">
    <w:name w:val="封面标准文稿编辑信息"/>
    <w:basedOn w:val="77"/>
    <w:autoRedefine/>
    <w:qFormat/>
    <w:uiPriority w:val="0"/>
    <w:pPr>
      <w:spacing w:before="180" w:line="180" w:lineRule="exact"/>
    </w:pPr>
    <w:rPr>
      <w:sz w:val="21"/>
    </w:rPr>
  </w:style>
  <w:style w:type="paragraph" w:customStyle="1" w:styleId="79">
    <w:name w:val="封面正文"/>
    <w:autoRedefine/>
    <w:qFormat/>
    <w:uiPriority w:val="0"/>
    <w:pPr>
      <w:jc w:val="both"/>
    </w:pPr>
    <w:rPr>
      <w:rFonts w:ascii="Times New Roman" w:hAnsi="Times New Roman" w:eastAsia="宋体" w:cs="Times New Roman"/>
      <w:lang w:val="en-US" w:eastAsia="zh-CN" w:bidi="ar-SA"/>
    </w:rPr>
  </w:style>
  <w:style w:type="paragraph" w:customStyle="1" w:styleId="80">
    <w:name w:val="附录标识"/>
    <w:basedOn w:val="1"/>
    <w:next w:val="22"/>
    <w:autoRedefine/>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1">
    <w:name w:val="附录标题"/>
    <w:basedOn w:val="22"/>
    <w:next w:val="22"/>
    <w:autoRedefine/>
    <w:qFormat/>
    <w:uiPriority w:val="0"/>
    <w:pPr>
      <w:ind w:firstLine="0" w:firstLineChars="0"/>
      <w:jc w:val="center"/>
    </w:pPr>
    <w:rPr>
      <w:rFonts w:ascii="黑体" w:eastAsia="黑体"/>
    </w:rPr>
  </w:style>
  <w:style w:type="paragraph" w:customStyle="1" w:styleId="82">
    <w:name w:val="附录表标号"/>
    <w:basedOn w:val="1"/>
    <w:next w:val="22"/>
    <w:autoRedefine/>
    <w:qFormat/>
    <w:uiPriority w:val="0"/>
    <w:pPr>
      <w:numPr>
        <w:ilvl w:val="0"/>
        <w:numId w:val="12"/>
      </w:numPr>
      <w:spacing w:line="14" w:lineRule="exact"/>
      <w:ind w:left="811" w:hanging="448"/>
      <w:jc w:val="center"/>
      <w:outlineLvl w:val="0"/>
    </w:pPr>
    <w:rPr>
      <w:color w:val="FFFFFF"/>
    </w:rPr>
  </w:style>
  <w:style w:type="paragraph" w:customStyle="1" w:styleId="83">
    <w:name w:val="附录表标题"/>
    <w:basedOn w:val="1"/>
    <w:next w:val="22"/>
    <w:autoRedefine/>
    <w:qFormat/>
    <w:uiPriority w:val="0"/>
    <w:pPr>
      <w:numPr>
        <w:ilvl w:val="1"/>
        <w:numId w:val="12"/>
      </w:numPr>
      <w:tabs>
        <w:tab w:val="left" w:pos="0"/>
        <w:tab w:val="left" w:pos="180"/>
      </w:tabs>
      <w:spacing w:beforeLines="50" w:afterLines="50"/>
      <w:ind w:left="0" w:firstLine="0"/>
      <w:jc w:val="center"/>
    </w:pPr>
    <w:rPr>
      <w:rFonts w:ascii="黑体" w:eastAsia="黑体"/>
      <w:szCs w:val="21"/>
    </w:rPr>
  </w:style>
  <w:style w:type="paragraph" w:customStyle="1" w:styleId="84">
    <w:name w:val="附录二级条标题"/>
    <w:basedOn w:val="1"/>
    <w:next w:val="22"/>
    <w:autoRedefine/>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5">
    <w:name w:val="附录二级无"/>
    <w:basedOn w:val="84"/>
    <w:autoRedefine/>
    <w:qFormat/>
    <w:uiPriority w:val="0"/>
    <w:pPr>
      <w:tabs>
        <w:tab w:val="clear" w:pos="360"/>
      </w:tabs>
      <w:spacing w:beforeLines="0" w:afterLines="0"/>
    </w:pPr>
    <w:rPr>
      <w:rFonts w:ascii="宋体" w:eastAsia="宋体"/>
      <w:szCs w:val="21"/>
    </w:rPr>
  </w:style>
  <w:style w:type="paragraph" w:customStyle="1" w:styleId="86">
    <w:name w:val="附录公式"/>
    <w:basedOn w:val="22"/>
    <w:next w:val="22"/>
    <w:link w:val="134"/>
    <w:autoRedefine/>
    <w:qFormat/>
    <w:uiPriority w:val="0"/>
  </w:style>
  <w:style w:type="paragraph" w:customStyle="1" w:styleId="87">
    <w:name w:val="附录公式编号制表符"/>
    <w:basedOn w:val="1"/>
    <w:next w:val="22"/>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88">
    <w:name w:val="附录三级条标题"/>
    <w:basedOn w:val="84"/>
    <w:next w:val="22"/>
    <w:autoRedefine/>
    <w:qFormat/>
    <w:uiPriority w:val="0"/>
    <w:pPr>
      <w:numPr>
        <w:ilvl w:val="4"/>
        <w:numId w:val="11"/>
      </w:numPr>
      <w:outlineLvl w:val="4"/>
    </w:pPr>
  </w:style>
  <w:style w:type="paragraph" w:customStyle="1" w:styleId="89">
    <w:name w:val="附录三级无"/>
    <w:basedOn w:val="88"/>
    <w:autoRedefine/>
    <w:qFormat/>
    <w:uiPriority w:val="0"/>
    <w:pPr>
      <w:tabs>
        <w:tab w:val="clear" w:pos="360"/>
      </w:tabs>
      <w:spacing w:beforeLines="0" w:afterLines="0"/>
    </w:pPr>
    <w:rPr>
      <w:rFonts w:ascii="宋体" w:eastAsia="宋体"/>
      <w:szCs w:val="21"/>
    </w:rPr>
  </w:style>
  <w:style w:type="paragraph" w:customStyle="1" w:styleId="90">
    <w:name w:val="附录数字编号列项（二级）"/>
    <w:autoRedefine/>
    <w:qFormat/>
    <w:uiPriority w:val="0"/>
    <w:pPr>
      <w:numPr>
        <w:ilvl w:val="1"/>
        <w:numId w:val="13"/>
      </w:numPr>
      <w:tabs>
        <w:tab w:val="left" w:pos="839"/>
      </w:tabs>
    </w:pPr>
    <w:rPr>
      <w:rFonts w:ascii="宋体" w:hAnsi="Times New Roman" w:eastAsia="宋体" w:cs="Times New Roman"/>
      <w:sz w:val="21"/>
      <w:lang w:val="en-US" w:eastAsia="zh-CN" w:bidi="ar-SA"/>
    </w:rPr>
  </w:style>
  <w:style w:type="paragraph" w:customStyle="1" w:styleId="91">
    <w:name w:val="附录四级条标题"/>
    <w:basedOn w:val="88"/>
    <w:next w:val="22"/>
    <w:autoRedefine/>
    <w:qFormat/>
    <w:uiPriority w:val="0"/>
    <w:pPr>
      <w:numPr>
        <w:ilvl w:val="5"/>
        <w:numId w:val="11"/>
      </w:numPr>
      <w:outlineLvl w:val="5"/>
    </w:pPr>
  </w:style>
  <w:style w:type="paragraph" w:customStyle="1" w:styleId="92">
    <w:name w:val="附录四级无"/>
    <w:basedOn w:val="91"/>
    <w:autoRedefine/>
    <w:qFormat/>
    <w:uiPriority w:val="0"/>
    <w:pPr>
      <w:tabs>
        <w:tab w:val="clear" w:pos="360"/>
      </w:tabs>
      <w:spacing w:beforeLines="0" w:afterLines="0"/>
    </w:pPr>
    <w:rPr>
      <w:rFonts w:ascii="宋体" w:eastAsia="宋体"/>
      <w:szCs w:val="21"/>
    </w:rPr>
  </w:style>
  <w:style w:type="paragraph" w:customStyle="1" w:styleId="93">
    <w:name w:val="附录图标号"/>
    <w:basedOn w:val="1"/>
    <w:autoRedefine/>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4">
    <w:name w:val="附录图标题"/>
    <w:basedOn w:val="1"/>
    <w:next w:val="22"/>
    <w:autoRedefine/>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95">
    <w:name w:val="附录五级条标题"/>
    <w:basedOn w:val="91"/>
    <w:next w:val="22"/>
    <w:autoRedefine/>
    <w:qFormat/>
    <w:uiPriority w:val="0"/>
    <w:pPr>
      <w:numPr>
        <w:ilvl w:val="6"/>
        <w:numId w:val="11"/>
      </w:numPr>
      <w:outlineLvl w:val="6"/>
    </w:pPr>
  </w:style>
  <w:style w:type="paragraph" w:customStyle="1" w:styleId="96">
    <w:name w:val="附录五级无"/>
    <w:basedOn w:val="95"/>
    <w:autoRedefine/>
    <w:qFormat/>
    <w:uiPriority w:val="0"/>
    <w:pPr>
      <w:tabs>
        <w:tab w:val="clear" w:pos="360"/>
      </w:tabs>
      <w:spacing w:beforeLines="0" w:afterLines="0"/>
    </w:pPr>
    <w:rPr>
      <w:rFonts w:ascii="宋体" w:eastAsia="宋体"/>
      <w:szCs w:val="21"/>
    </w:rPr>
  </w:style>
  <w:style w:type="paragraph" w:customStyle="1" w:styleId="97">
    <w:name w:val="附录章标题"/>
    <w:next w:val="22"/>
    <w:autoRedefine/>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附录一级条标题"/>
    <w:basedOn w:val="97"/>
    <w:next w:val="22"/>
    <w:autoRedefine/>
    <w:qFormat/>
    <w:uiPriority w:val="0"/>
    <w:pPr>
      <w:numPr>
        <w:ilvl w:val="2"/>
        <w:numId w:val="11"/>
      </w:numPr>
      <w:autoSpaceDN w:val="0"/>
      <w:spacing w:beforeLines="50" w:afterLines="50"/>
      <w:outlineLvl w:val="2"/>
    </w:pPr>
  </w:style>
  <w:style w:type="paragraph" w:customStyle="1" w:styleId="99">
    <w:name w:val="附录一级无"/>
    <w:basedOn w:val="98"/>
    <w:autoRedefine/>
    <w:qFormat/>
    <w:uiPriority w:val="0"/>
    <w:pPr>
      <w:tabs>
        <w:tab w:val="clear" w:pos="360"/>
      </w:tabs>
      <w:spacing w:beforeLines="0" w:afterLines="0"/>
    </w:pPr>
    <w:rPr>
      <w:rFonts w:ascii="宋体" w:eastAsia="宋体"/>
      <w:szCs w:val="21"/>
    </w:rPr>
  </w:style>
  <w:style w:type="paragraph" w:customStyle="1" w:styleId="100">
    <w:name w:val="附录字母编号列项（一级）"/>
    <w:autoRedefine/>
    <w:qFormat/>
    <w:uiPriority w:val="0"/>
    <w:pPr>
      <w:numPr>
        <w:ilvl w:val="0"/>
        <w:numId w:val="13"/>
      </w:numPr>
    </w:pPr>
    <w:rPr>
      <w:rFonts w:ascii="宋体" w:hAnsi="Times New Roman" w:eastAsia="宋体" w:cs="Times New Roman"/>
      <w:sz w:val="21"/>
      <w:lang w:val="en-US" w:eastAsia="zh-CN" w:bidi="ar-SA"/>
    </w:rPr>
  </w:style>
  <w:style w:type="paragraph" w:customStyle="1" w:styleId="101">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2">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4">
    <w:name w:val="其他标准标志"/>
    <w:basedOn w:val="63"/>
    <w:autoRedefine/>
    <w:qFormat/>
    <w:uiPriority w:val="0"/>
    <w:pPr>
      <w:framePr w:w="6101" w:vAnchor="page" w:hAnchor="page" w:x="4673" w:y="942"/>
    </w:pPr>
    <w:rPr>
      <w:w w:val="130"/>
    </w:rPr>
  </w:style>
  <w:style w:type="paragraph" w:customStyle="1" w:styleId="105">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6">
    <w:name w:val="其他发布部门"/>
    <w:basedOn w:val="70"/>
    <w:autoRedefine/>
    <w:qFormat/>
    <w:uiPriority w:val="0"/>
    <w:pPr>
      <w:framePr w:y="15310"/>
      <w:spacing w:line="0" w:lineRule="atLeast"/>
    </w:pPr>
    <w:rPr>
      <w:rFonts w:ascii="黑体" w:eastAsia="黑体"/>
      <w:b w:val="0"/>
    </w:rPr>
  </w:style>
  <w:style w:type="paragraph" w:customStyle="1" w:styleId="107">
    <w:name w:val="前言、引言标题"/>
    <w:next w:val="22"/>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8">
    <w:name w:val="三级无"/>
    <w:basedOn w:val="48"/>
    <w:autoRedefine/>
    <w:qFormat/>
    <w:uiPriority w:val="0"/>
    <w:pPr>
      <w:spacing w:beforeLines="0" w:afterLines="0"/>
    </w:pPr>
    <w:rPr>
      <w:rFonts w:ascii="宋体" w:eastAsia="宋体"/>
    </w:rPr>
  </w:style>
  <w:style w:type="paragraph" w:customStyle="1" w:styleId="109">
    <w:name w:val="实施日期"/>
    <w:autoRedefine/>
    <w:qFormat/>
    <w:uiPriority w:val="0"/>
    <w:pPr>
      <w:jc w:val="right"/>
    </w:pPr>
    <w:rPr>
      <w:rFonts w:ascii="Times New Roman" w:hAnsi="Times New Roman" w:eastAsia="黑体" w:cs="Times New Roman"/>
      <w:sz w:val="28"/>
      <w:lang w:val="en-US" w:eastAsia="zh-CN" w:bidi="ar-SA"/>
    </w:rPr>
  </w:style>
  <w:style w:type="paragraph" w:customStyle="1" w:styleId="110">
    <w:name w:val="示例后文字"/>
    <w:basedOn w:val="22"/>
    <w:next w:val="22"/>
    <w:autoRedefine/>
    <w:qFormat/>
    <w:uiPriority w:val="0"/>
    <w:pPr>
      <w:ind w:firstLine="360"/>
    </w:pPr>
    <w:rPr>
      <w:sz w:val="18"/>
    </w:rPr>
  </w:style>
  <w:style w:type="paragraph" w:customStyle="1" w:styleId="111">
    <w:name w:val="首示例"/>
    <w:next w:val="22"/>
    <w:link w:val="135"/>
    <w:autoRedefine/>
    <w:qFormat/>
    <w:uiPriority w:val="0"/>
    <w:pPr>
      <w:tabs>
        <w:tab w:val="left" w:pos="360"/>
      </w:tabs>
    </w:pPr>
    <w:rPr>
      <w:rFonts w:ascii="宋体" w:hAnsi="宋体" w:eastAsia="宋体" w:cs="Times New Roman"/>
      <w:kern w:val="2"/>
      <w:sz w:val="18"/>
      <w:szCs w:val="18"/>
      <w:lang w:val="en-US" w:eastAsia="zh-CN" w:bidi="ar-SA"/>
    </w:rPr>
  </w:style>
  <w:style w:type="paragraph" w:customStyle="1" w:styleId="112">
    <w:name w:val="四级无"/>
    <w:basedOn w:val="52"/>
    <w:autoRedefine/>
    <w:qFormat/>
    <w:uiPriority w:val="0"/>
    <w:pPr>
      <w:spacing w:beforeLines="0" w:afterLines="0"/>
    </w:pPr>
    <w:rPr>
      <w:rFonts w:ascii="宋体" w:eastAsia="宋体"/>
    </w:rPr>
  </w:style>
  <w:style w:type="paragraph" w:customStyle="1" w:styleId="113">
    <w:name w:val="条文脚注"/>
    <w:basedOn w:val="23"/>
    <w:autoRedefine/>
    <w:qFormat/>
    <w:uiPriority w:val="0"/>
    <w:pPr>
      <w:numPr>
        <w:ilvl w:val="0"/>
        <w:numId w:val="0"/>
      </w:numPr>
      <w:jc w:val="both"/>
    </w:pPr>
  </w:style>
  <w:style w:type="paragraph" w:customStyle="1" w:styleId="114">
    <w:name w:val="图标脚注说明"/>
    <w:basedOn w:val="22"/>
    <w:autoRedefine/>
    <w:qFormat/>
    <w:uiPriority w:val="0"/>
    <w:pPr>
      <w:ind w:left="840" w:hanging="420" w:firstLineChars="0"/>
    </w:pPr>
    <w:rPr>
      <w:sz w:val="18"/>
      <w:szCs w:val="18"/>
    </w:rPr>
  </w:style>
  <w:style w:type="paragraph" w:customStyle="1" w:styleId="115">
    <w:name w:val="图表脚注说明"/>
    <w:basedOn w:val="1"/>
    <w:autoRedefine/>
    <w:qFormat/>
    <w:uiPriority w:val="0"/>
    <w:pPr>
      <w:numPr>
        <w:ilvl w:val="0"/>
        <w:numId w:val="15"/>
      </w:numPr>
    </w:pPr>
    <w:rPr>
      <w:rFonts w:ascii="宋体"/>
      <w:sz w:val="18"/>
      <w:szCs w:val="18"/>
    </w:rPr>
  </w:style>
  <w:style w:type="paragraph" w:customStyle="1" w:styleId="116">
    <w:name w:val="图的脚注"/>
    <w:next w:val="2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7">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18">
    <w:name w:val="五级无"/>
    <w:basedOn w:val="53"/>
    <w:autoRedefine/>
    <w:qFormat/>
    <w:uiPriority w:val="0"/>
    <w:pPr>
      <w:spacing w:beforeLines="0" w:afterLines="0"/>
    </w:pPr>
    <w:rPr>
      <w:rFonts w:ascii="宋体" w:eastAsia="宋体"/>
    </w:rPr>
  </w:style>
  <w:style w:type="paragraph" w:customStyle="1" w:styleId="119">
    <w:name w:val="一级无"/>
    <w:basedOn w:val="39"/>
    <w:autoRedefine/>
    <w:qFormat/>
    <w:uiPriority w:val="0"/>
    <w:pPr>
      <w:spacing w:beforeLines="0" w:afterLines="0"/>
    </w:pPr>
    <w:rPr>
      <w:rFonts w:ascii="宋体" w:eastAsia="宋体"/>
    </w:rPr>
  </w:style>
  <w:style w:type="paragraph" w:customStyle="1" w:styleId="120">
    <w:name w:val="正文表标题"/>
    <w:next w:val="22"/>
    <w:autoRedefine/>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1">
    <w:name w:val="正文公式编号制表符"/>
    <w:basedOn w:val="22"/>
    <w:next w:val="22"/>
    <w:autoRedefine/>
    <w:qFormat/>
    <w:uiPriority w:val="0"/>
    <w:pPr>
      <w:ind w:firstLine="0" w:firstLineChars="0"/>
    </w:pPr>
  </w:style>
  <w:style w:type="paragraph" w:customStyle="1" w:styleId="122">
    <w:name w:val="正文图标题"/>
    <w:next w:val="22"/>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3">
    <w:name w:val="终结线"/>
    <w:basedOn w:val="1"/>
    <w:autoRedefine/>
    <w:qFormat/>
    <w:uiPriority w:val="0"/>
    <w:pPr>
      <w:framePr w:hSpace="181" w:vSpace="181" w:wrap="around" w:vAnchor="text" w:hAnchor="margin" w:xAlign="center" w:y="285"/>
    </w:pPr>
  </w:style>
  <w:style w:type="paragraph" w:customStyle="1" w:styleId="124">
    <w:name w:val="其他发布日期"/>
    <w:autoRedefine/>
    <w:qFormat/>
    <w:uiPriority w:val="0"/>
    <w:rPr>
      <w:rFonts w:ascii="Times New Roman" w:hAnsi="Times New Roman" w:eastAsia="黑体" w:cs="Times New Roman"/>
      <w:sz w:val="28"/>
      <w:lang w:val="en-US" w:eastAsia="zh-CN" w:bidi="ar-SA"/>
    </w:rPr>
  </w:style>
  <w:style w:type="paragraph" w:customStyle="1" w:styleId="125">
    <w:name w:val="其他实施日期"/>
    <w:basedOn w:val="109"/>
    <w:autoRedefine/>
    <w:qFormat/>
    <w:uiPriority w:val="0"/>
    <w:pPr>
      <w:framePr w:wrap="around" w:vAnchor="margin" w:hAnchor="text" w:y="1"/>
    </w:pPr>
  </w:style>
  <w:style w:type="paragraph" w:customStyle="1" w:styleId="126">
    <w:name w:val="封面标准名称2"/>
    <w:basedOn w:val="74"/>
    <w:autoRedefine/>
    <w:qFormat/>
    <w:uiPriority w:val="0"/>
    <w:pPr>
      <w:framePr w:wrap="around" w:vAnchor="margin" w:hAnchor="text" w:y="4469"/>
      <w:spacing w:beforeLines="630"/>
    </w:pPr>
  </w:style>
  <w:style w:type="paragraph" w:customStyle="1" w:styleId="127">
    <w:name w:val="封面标准英文名称2"/>
    <w:basedOn w:val="75"/>
    <w:autoRedefine/>
    <w:qFormat/>
    <w:uiPriority w:val="0"/>
    <w:pPr>
      <w:framePr w:y="4469"/>
    </w:pPr>
  </w:style>
  <w:style w:type="paragraph" w:customStyle="1" w:styleId="128">
    <w:name w:val="封面一致性程度标识2"/>
    <w:basedOn w:val="76"/>
    <w:autoRedefine/>
    <w:qFormat/>
    <w:uiPriority w:val="0"/>
    <w:pPr>
      <w:framePr w:y="4469"/>
    </w:pPr>
  </w:style>
  <w:style w:type="paragraph" w:customStyle="1" w:styleId="129">
    <w:name w:val="封面标准文稿类别2"/>
    <w:basedOn w:val="77"/>
    <w:autoRedefine/>
    <w:qFormat/>
    <w:uiPriority w:val="0"/>
    <w:pPr>
      <w:framePr w:y="4469"/>
    </w:pPr>
  </w:style>
  <w:style w:type="paragraph" w:customStyle="1" w:styleId="130">
    <w:name w:val="封面标准文稿编辑信息2"/>
    <w:basedOn w:val="78"/>
    <w:autoRedefine/>
    <w:qFormat/>
    <w:uiPriority w:val="0"/>
    <w:pPr>
      <w:framePr w:y="4469"/>
    </w:pPr>
  </w:style>
  <w:style w:type="paragraph" w:customStyle="1" w:styleId="131">
    <w:name w:val="标准名称"/>
    <w:basedOn w:val="47"/>
    <w:link w:val="138"/>
    <w:autoRedefine/>
    <w:qFormat/>
    <w:uiPriority w:val="0"/>
  </w:style>
  <w:style w:type="character" w:customStyle="1" w:styleId="132">
    <w:name w:val="段 Char"/>
    <w:link w:val="22"/>
    <w:autoRedefine/>
    <w:qFormat/>
    <w:uiPriority w:val="0"/>
    <w:rPr>
      <w:rFonts w:ascii="宋体"/>
      <w:sz w:val="21"/>
      <w:lang w:val="en-US" w:eastAsia="zh-CN" w:bidi="ar-SA"/>
    </w:rPr>
  </w:style>
  <w:style w:type="character" w:customStyle="1" w:styleId="133">
    <w:name w:val="发布"/>
    <w:autoRedefine/>
    <w:qFormat/>
    <w:uiPriority w:val="0"/>
    <w:rPr>
      <w:rFonts w:ascii="黑体" w:eastAsia="黑体"/>
      <w:spacing w:val="85"/>
      <w:w w:val="100"/>
      <w:position w:val="3"/>
      <w:sz w:val="28"/>
      <w:szCs w:val="28"/>
    </w:rPr>
  </w:style>
  <w:style w:type="character" w:customStyle="1" w:styleId="134">
    <w:name w:val="附录公式 Char"/>
    <w:basedOn w:val="132"/>
    <w:link w:val="86"/>
    <w:autoRedefine/>
    <w:qFormat/>
    <w:uiPriority w:val="0"/>
    <w:rPr>
      <w:rFonts w:ascii="宋体"/>
      <w:sz w:val="21"/>
      <w:lang w:val="en-US" w:eastAsia="zh-CN" w:bidi="ar-SA"/>
    </w:rPr>
  </w:style>
  <w:style w:type="character" w:customStyle="1" w:styleId="135">
    <w:name w:val="首示例 Char"/>
    <w:link w:val="111"/>
    <w:autoRedefine/>
    <w:qFormat/>
    <w:uiPriority w:val="0"/>
    <w:rPr>
      <w:rFonts w:ascii="宋体" w:hAnsi="宋体"/>
      <w:kern w:val="2"/>
      <w:sz w:val="18"/>
      <w:szCs w:val="18"/>
    </w:rPr>
  </w:style>
  <w:style w:type="character" w:customStyle="1" w:styleId="136">
    <w:name w:val="Placeholder Text"/>
    <w:basedOn w:val="33"/>
    <w:autoRedefine/>
    <w:semiHidden/>
    <w:qFormat/>
    <w:uiPriority w:val="99"/>
    <w:rPr>
      <w:color w:val="808080"/>
    </w:rPr>
  </w:style>
  <w:style w:type="character" w:customStyle="1" w:styleId="137">
    <w:name w:val="目次、标准名称标题 Char"/>
    <w:basedOn w:val="33"/>
    <w:link w:val="47"/>
    <w:autoRedefine/>
    <w:qFormat/>
    <w:uiPriority w:val="0"/>
    <w:rPr>
      <w:rFonts w:ascii="黑体" w:eastAsia="黑体"/>
      <w:sz w:val="32"/>
      <w:shd w:val="clear" w:color="FFFFFF" w:fill="FFFFFF"/>
    </w:rPr>
  </w:style>
  <w:style w:type="character" w:customStyle="1" w:styleId="138">
    <w:name w:val="标准名称 Char"/>
    <w:basedOn w:val="137"/>
    <w:link w:val="131"/>
    <w:autoRedefine/>
    <w:qFormat/>
    <w:uiPriority w:val="0"/>
    <w:rPr>
      <w:rFonts w:ascii="黑体" w:eastAsia="黑体"/>
      <w:sz w:val="32"/>
      <w:shd w:val="clear" w:color="FFFFFF" w:fill="FFFFFF"/>
    </w:rPr>
  </w:style>
  <w:style w:type="character" w:customStyle="1" w:styleId="139">
    <w:name w:val="批注框文本 字符"/>
    <w:basedOn w:val="33"/>
    <w:link w:val="15"/>
    <w:autoRedefine/>
    <w:qFormat/>
    <w:uiPriority w:val="0"/>
    <w:rPr>
      <w:kern w:val="2"/>
      <w:sz w:val="18"/>
      <w:szCs w:val="18"/>
    </w:rPr>
  </w:style>
  <w:style w:type="paragraph" w:customStyle="1" w:styleId="140">
    <w:name w:val="be358f00-9758-446e-aec5-cde8345aeef3"/>
    <w:basedOn w:val="30"/>
    <w:qFormat/>
    <w:uiPriority w:val="0"/>
    <w:pPr>
      <w:adjustRightInd w:val="0"/>
      <w:spacing w:after="0" w:line="288" w:lineRule="auto"/>
      <w:ind w:left="0" w:firstLine="440"/>
      <w:jc w:val="left"/>
    </w:pPr>
    <w:rPr>
      <w:rFonts w:ascii="微软雅黑" w:hAnsi="微软雅黑" w:eastAsia="微软雅黑" w:cstheme="minorBidi"/>
      <w:color w:val="000000"/>
      <w:sz w:val="22"/>
      <w:szCs w:val="22"/>
    </w:rPr>
  </w:style>
  <w:style w:type="paragraph" w:customStyle="1" w:styleId="141">
    <w:name w:val="acbfdd8b-e11b-4d36-88ff-6049b138f862"/>
    <w:basedOn w:val="1"/>
    <w:qFormat/>
    <w:uiPriority w:val="0"/>
    <w:pPr>
      <w:adjustRightInd w:val="0"/>
      <w:spacing w:line="288" w:lineRule="auto"/>
      <w:jc w:val="left"/>
    </w:pPr>
    <w:rPr>
      <w:rFonts w:ascii="微软雅黑" w:hAnsi="微软雅黑" w:eastAsia="微软雅黑" w:cstheme="minorBidi"/>
      <w:bCs/>
      <w:color w:val="000000"/>
      <w:sz w:val="22"/>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14</Pages>
  <Words>1189</Words>
  <Characters>1452</Characters>
  <Lines>17</Lines>
  <Paragraphs>5</Paragraphs>
  <TotalTime>0</TotalTime>
  <ScaleCrop>false</ScaleCrop>
  <LinksUpToDate>false</LinksUpToDate>
  <CharactersWithSpaces>1512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2019-08-28T17:51:00Z</dcterms:created>
  <dc:creator>CNIS</dc:creator>
  <cp:lastModifiedBy>焕美</cp:lastModifiedBy>
  <dcterms:modified xsi:type="dcterms:W3CDTF">2025-10-11T15:38:35Z</dcterms:modified>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4BA7383DBF5F6698B807EA68A920050A_43</vt:lpwstr>
  </property>
  <property fmtid="{D5CDD505-2E9C-101B-9397-08002B2CF9AE}" pid="4" name="KSOTemplateDocerSaveRecord">
    <vt:lpwstr>eyJoZGlkIjoiYTk0ZmJkODAyZDIzNDM4MTc2YWNjOGUwZTM5NWE5YjUiLCJ1c2VySWQiOiI1OTI3MjcwNjgifQ==</vt:lpwstr>
  </property>
</Properties>
</file>