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83F72">
      <w:pPr>
        <w:pStyle w:val="121"/>
        <w:framePr w:wrap="around" w:vAnchor="margin" w:hAnchor="text" w:y="1"/>
        <w:rPr>
          <w:rFonts w:hAnsi="黑体"/>
        </w:rPr>
      </w:pPr>
      <w:bookmarkStart w:id="41" w:name="_GoBack"/>
      <w:bookmarkEnd w:id="41"/>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14:paraId="38A6F9BE">
      <w:pPr>
        <w:pStyle w:val="121"/>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34"/>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14:paraId="2082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5" w:type="dxa"/>
            <w:tcBorders>
              <w:top w:val="nil"/>
              <w:left w:val="nil"/>
              <w:bottom w:val="nil"/>
              <w:right w:val="nil"/>
            </w:tcBorders>
          </w:tcPr>
          <w:p w14:paraId="78C7B547">
            <w:pPr>
              <w:pStyle w:val="121"/>
              <w:framePr w:wrap="around" w:vAnchor="margin" w:hAnchor="text" w:y="1"/>
              <w:rPr>
                <w:rFonts w:ascii="宋体" w:hAnsi="黑体"/>
                <w:sz w:val="18"/>
                <w:szCs w:val="18"/>
              </w:rPr>
            </w:pPr>
          </w:p>
        </w:tc>
      </w:tr>
    </w:tbl>
    <w:p w14:paraId="43EB0DA9">
      <w:pPr>
        <w:pStyle w:val="108"/>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2B77D860">
      <w:pPr>
        <w:pStyle w:val="109"/>
        <w:framePr w:wrap="around"/>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2FB49565">
      <w:pPr>
        <w:pStyle w:val="48"/>
        <w:framePr w:wrap="around" w:vAnchor="margin" w:hAnchor="text" w:y="1"/>
        <w:rPr>
          <w:rFonts w:hAnsi="黑体"/>
        </w:rPr>
      </w:pPr>
    </w:p>
    <w:p w14:paraId="3DD41836">
      <w:pPr>
        <w:pStyle w:val="48"/>
        <w:framePr w:wrap="around" w:vAnchor="margin" w:hAnchor="text" w:y="1"/>
        <w:rPr>
          <w:rFonts w:hAnsi="黑体"/>
        </w:rPr>
      </w:pPr>
    </w:p>
    <w:p w14:paraId="0CB1A544">
      <w:pPr>
        <w:pStyle w:val="48"/>
        <w:framePr w:wrap="around" w:vAnchor="margin" w:hAnchor="text" w:y="1"/>
        <w:rPr>
          <w:rFonts w:hAnsi="黑体"/>
        </w:rPr>
      </w:pPr>
    </w:p>
    <w:p w14:paraId="161DC66C">
      <w:pPr>
        <w:pStyle w:val="48"/>
        <w:framePr w:wrap="around" w:vAnchor="margin" w:hAnchor="text" w:y="1"/>
        <w:rPr>
          <w:rFonts w:hAnsi="黑体"/>
        </w:rPr>
      </w:pPr>
    </w:p>
    <w:p w14:paraId="0F51D0DD">
      <w:pPr>
        <w:pStyle w:val="48"/>
        <w:framePr w:wrap="around" w:vAnchor="margin" w:hAnchor="text" w:y="1"/>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34"/>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14:paraId="667E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50C66788">
            <w:pPr>
              <w:pStyle w:val="76"/>
              <w:framePr w:wrap="around" w:vAnchor="margin" w:hAnchor="text" w:y="1"/>
              <w:rPr>
                <w:rFonts w:ascii="黑体" w:hAnsi="黑体" w:eastAsia="黑体"/>
                <w:sz w:val="18"/>
                <w:szCs w:val="18"/>
              </w:rPr>
            </w:pPr>
            <w:r>
              <w:rPr>
                <w:rFonts w:ascii="黑体" w:hAnsi="黑体" w:eastAsia="黑体"/>
                <w:sz w:val="18"/>
                <w:szCs w:val="18"/>
              </w:rPr>
              <mc:AlternateContent>
                <mc:Choice Requires="wps">
                  <w:drawing>
                    <wp:anchor distT="0" distB="0" distL="114300" distR="114300" simplePos="0" relativeHeight="251662336"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ps:wsp>
                        </a:graphicData>
                      </a:graphic>
                    </wp:anchor>
                  </w:drawing>
                </mc:Choice>
                <mc:Fallback>
                  <w:pict>
                    <v:rect id="DT" o:spid="_x0000_s1026" o:spt="1" style="position:absolute;left:0pt;margin-left:367.4pt;margin-top:2.7pt;height:18pt;width:90pt;z-index:-251654144;mso-width-relative:page;mso-height-relative:page;" fillcolor="#FFFFFF" filled="t" stroked="f" coordsize="21600,21600" o:gfxdata="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YdqfvVAAAACAEAAA8AAAAAAAAAAQAgAAAAIgAAAGRy&#10;cy9kb3ducmV2LnhtbFBLAQIUABQAAAAIAIdO4kClCxk9lgEAAE0DAAAOAAAAAAAAAAEAIAAAACQB&#10;AABkcnMvZTJvRG9jLnhtbFBLBQYAAAAABgAGAFkBAAAsBQ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14:paraId="226F1F90">
      <w:pPr>
        <w:pStyle w:val="48"/>
        <w:framePr w:wrap="around" w:vAnchor="margin" w:hAnchor="text" w:y="1"/>
        <w:rPr>
          <w:rFonts w:hAnsi="黑体"/>
        </w:rPr>
      </w:pPr>
    </w:p>
    <w:p w14:paraId="1C1A9C06">
      <w:pPr>
        <w:pStyle w:val="78"/>
        <w:framePr w:wrap="around" w:vAnchor="margin" w:hAnchor="text" w:y="1"/>
        <w:jc w:val="both"/>
      </w:pPr>
    </w:p>
    <w:p w14:paraId="43E05B4F">
      <w:pPr>
        <w:pStyle w:val="78"/>
        <w:framePr w:wrap="around" w:vAnchor="margin" w:hAnchor="text" w:y="1"/>
      </w:pPr>
    </w:p>
    <w:p w14:paraId="111BCA55">
      <w:pPr>
        <w:pStyle w:val="78"/>
        <w:framePr w:wrap="around" w:vAnchor="margin" w:hAnchor="text" w:y="1"/>
      </w:pPr>
    </w:p>
    <w:p w14:paraId="722DD02E">
      <w:pPr>
        <w:pStyle w:val="78"/>
        <w:framePr w:wrap="around" w:vAnchor="margin" w:hAnchor="text" w:y="1"/>
      </w:pPr>
      <w:r>
        <w:fldChar w:fldCharType="begin">
          <w:ffData>
            <w:name w:val="StdName"/>
            <w:enabled/>
            <w:calcOnExit w:val="0"/>
            <w:textInput>
              <w:default w:val="点击此处添加标准名称"/>
            </w:textInput>
          </w:ffData>
        </w:fldChar>
      </w:r>
      <w:bookmarkStart w:id="7" w:name="StdName"/>
      <w:r>
        <w:instrText xml:space="preserve"> FORMTEXT </w:instrText>
      </w:r>
      <w:r>
        <w:fldChar w:fldCharType="separate"/>
      </w:r>
      <w:r>
        <w:rPr>
          <w:rFonts w:hint="eastAsia"/>
        </w:rPr>
        <w:t>低碳智慧物流园区建设导则</w:t>
      </w:r>
      <w:r>
        <w:fldChar w:fldCharType="end"/>
      </w:r>
      <w:bookmarkEnd w:id="7"/>
    </w:p>
    <w:p w14:paraId="6298627B">
      <w:pPr>
        <w:pStyle w:val="79"/>
        <w:framePr w:wrap="around"/>
        <w:rPr>
          <w:rFonts w:ascii="黑体" w:hAnsi="黑体"/>
        </w:rPr>
      </w:pPr>
      <w:r>
        <w:rPr>
          <w:rFonts w:ascii="黑体" w:hAnsi="黑体"/>
        </w:rPr>
        <w:fldChar w:fldCharType="begin">
          <w:ffData>
            <w:name w:val="StdEnglishName"/>
            <w:enabled/>
            <w:calcOnExit w:val="0"/>
            <w:textInput>
              <w:default w:val="点击此处添加标准英文译名"/>
            </w:textInput>
          </w:ffData>
        </w:fldChar>
      </w:r>
      <w:bookmarkStart w:id="8" w:name="StdEnglishName"/>
      <w:r>
        <w:rPr>
          <w:rFonts w:ascii="黑体" w:hAnsi="黑体"/>
        </w:rPr>
        <w:instrText xml:space="preserve"> FORMTEXT </w:instrText>
      </w:r>
      <w:r>
        <w:rPr>
          <w:rFonts w:ascii="黑体" w:hAnsi="黑体"/>
        </w:rPr>
        <w:fldChar w:fldCharType="separate"/>
      </w:r>
      <w:r>
        <w:rPr>
          <w:rFonts w:hint="eastAsia" w:ascii="黑体" w:hAnsi="黑体"/>
        </w:rPr>
        <w:t>Guidelines for construction of low carbon and smart logistics parks</w:t>
      </w:r>
      <w:r>
        <w:rPr>
          <w:rFonts w:ascii="黑体" w:hAnsi="黑体"/>
        </w:rPr>
        <w:fldChar w:fldCharType="end"/>
      </w:r>
      <w:bookmarkEnd w:id="8"/>
    </w:p>
    <w:p w14:paraId="0B06E693">
      <w:pPr>
        <w:pStyle w:val="80"/>
        <w:framePr w:wrap="around"/>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9"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9"/>
    </w:p>
    <w:tbl>
      <w:tblPr>
        <w:tblStyle w:val="34"/>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14:paraId="347D4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2C8395F">
            <w:pPr>
              <w:pStyle w:val="81"/>
              <w:framePr w:wrap="around"/>
              <w:rPr>
                <w:sz w:val="18"/>
                <w:szCs w:val="18"/>
              </w:rPr>
            </w:pPr>
            <w:r>
              <w:rPr>
                <w:sz w:val="18"/>
                <w:szCs w:val="18"/>
              </w:rPr>
              <mc:AlternateContent>
                <mc:Choice Requires="wps">
                  <w:drawing>
                    <wp:anchor distT="0" distB="0" distL="114300" distR="114300" simplePos="0" relativeHeight="251664384" behindDoc="1" locked="1" layoutInCell="1" allowOverlap="1">
                      <wp:simplePos x="0" y="0"/>
                      <wp:positionH relativeFrom="column">
                        <wp:posOffset>2132330</wp:posOffset>
                      </wp:positionH>
                      <wp:positionV relativeFrom="paragraph">
                        <wp:posOffset>573405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ps:wsp>
                        </a:graphicData>
                      </a:graphic>
                    </wp:anchor>
                  </w:drawing>
                </mc:Choice>
                <mc:Fallback>
                  <w:pict>
                    <v:rect id="RQ" o:spid="_x0000_s1026" o:spt="1" style="position:absolute;left:0pt;margin-left:167.9pt;margin-top:45.15pt;height:20pt;width:150pt;z-index:-251652096;mso-width-relative:page;mso-height-relative:page;" fillcolor="#FFFFFF" filled="t" stroked="f" coordsize="21600,21600" o:gfxdata="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Wbo6zVAAAACgEAAA8AAAAAAAAAAQAgAAAAIgAAAGRy&#10;cy9kb3ducmV2LnhtbFBLAQIUABQAAAAIAIdO4kDu66NElgEAAE0DAAAOAAAAAAAAAAEAIAAAACQB&#10;AABkcnMvZTJvRG9jLnhtbFBLBQYAAAAABgAGAFkBAAAsBQAAAAA=&#10;">
                      <v:fill on="t" focussize="0,0"/>
                      <v:stroke on="f"/>
                      <v:imagedata o:title=""/>
                      <o:lock v:ext="edit" aspectratio="f"/>
                      <w10:anchorlock/>
                    </v:rect>
                  </w:pict>
                </mc:Fallback>
              </mc:AlternateContent>
            </w:r>
            <w:r>
              <w:rPr>
                <w:sz w:val="18"/>
                <w:szCs w:val="18"/>
              </w:rPr>
              <mc:AlternateContent>
                <mc:Choice Requires="wps">
                  <w:drawing>
                    <wp:anchor distT="0" distB="0" distL="114300" distR="114300" simplePos="0" relativeHeight="251663360" behindDoc="1" locked="0" layoutInCell="1" allowOverlap="1">
                      <wp:simplePos x="0" y="0"/>
                      <wp:positionH relativeFrom="column">
                        <wp:posOffset>2386330</wp:posOffset>
                      </wp:positionH>
                      <wp:positionV relativeFrom="paragraph">
                        <wp:posOffset>255905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ps:wsp>
                        </a:graphicData>
                      </a:graphic>
                    </wp:anchor>
                  </w:drawing>
                </mc:Choice>
                <mc:Fallback>
                  <w:pict>
                    <v:rect id="LB" o:spid="_x0000_s1026" o:spt="1" style="position:absolute;left:0pt;margin-left:187.9pt;margin-top:20.15pt;height:24pt;width:100pt;z-index:-251653120;mso-width-relative:page;mso-height-relative:page;" fillcolor="#FFFFFF" filled="t" stroked="f" coordsize="21600,21600" o:gfxdata="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yfnGDXAAAACQEAAA8AAAAAAAAAAQAgAAAAIgAA&#10;AGRycy9kb3ducmV2LnhtbFBLAQIUABQAAAAIAIdO4kBnMo4+lwEAAE0DAAAOAAAAAAAAAAEAIAAA&#10;ACYBAABkcnMvZTJvRG9jLnhtbFBLBQYAAAAABgAGAFkBAAAvBQAAAAA=&#10;">
                      <v:fill on="t" focussize="0,0"/>
                      <v:stroke on="f"/>
                      <v:imagedata o:title=""/>
                      <o:lock v:ext="edit" aspectratio="f"/>
                    </v:rect>
                  </w:pict>
                </mc:Fallback>
              </mc:AlternateContent>
            </w:r>
            <w:r>
              <w:rPr>
                <w:rFonts w:hint="eastAsia"/>
                <w:sz w:val="18"/>
                <w:szCs w:val="18"/>
              </w:rPr>
              <w:t>征求意见稿</w:t>
            </w:r>
          </w:p>
          <w:p w14:paraId="764DAC2D">
            <w:pPr>
              <w:pStyle w:val="81"/>
              <w:framePr w:wrap="around"/>
              <w:rPr>
                <w:sz w:val="18"/>
                <w:szCs w:val="18"/>
              </w:rPr>
            </w:pPr>
          </w:p>
          <w:p w14:paraId="1CD3432B">
            <w:pPr>
              <w:pStyle w:val="81"/>
              <w:framePr w:wrap="around"/>
              <w:rPr>
                <w:sz w:val="18"/>
                <w:szCs w:val="18"/>
              </w:rPr>
            </w:pPr>
          </w:p>
          <w:p w14:paraId="6FC4962B">
            <w:pPr>
              <w:pStyle w:val="81"/>
              <w:framePr w:wrap="around"/>
              <w:rPr>
                <w:sz w:val="18"/>
                <w:szCs w:val="18"/>
              </w:rPr>
            </w:pPr>
          </w:p>
          <w:p w14:paraId="63C1EFBF">
            <w:pPr>
              <w:pStyle w:val="81"/>
              <w:framePr w:wrap="around"/>
              <w:rPr>
                <w:sz w:val="18"/>
                <w:szCs w:val="18"/>
              </w:rPr>
            </w:pPr>
          </w:p>
          <w:p w14:paraId="2217639B">
            <w:pPr>
              <w:pStyle w:val="81"/>
              <w:framePr w:wrap="around"/>
              <w:rPr>
                <w:sz w:val="18"/>
                <w:szCs w:val="18"/>
              </w:rPr>
            </w:pPr>
          </w:p>
          <w:p w14:paraId="7654F664">
            <w:pPr>
              <w:framePr w:wrap="around" w:vAnchor="margin" w:hAnchor="text" w:y="1"/>
              <w:rPr>
                <w:rFonts w:ascii="宋体"/>
              </w:rPr>
            </w:pPr>
          </w:p>
        </w:tc>
      </w:tr>
    </w:tbl>
    <w:p w14:paraId="44FEC812">
      <w:pPr>
        <w:pStyle w:val="128"/>
        <w:rPr>
          <w:rFonts w:ascii="黑体" w:hAnsi="黑体"/>
        </w:rPr>
      </w:pPr>
      <w:r>
        <w:rPr>
          <w:rFonts w:hint="eastAsia" w:ascii="宋体" w:eastAsia="宋体"/>
          <w:sz w:val="21"/>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2392680</wp:posOffset>
                </wp:positionV>
                <wp:extent cx="612013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2pt;margin-top:188.4pt;height:0.05pt;width:481.9pt;z-index:251666432;mso-width-relative:page;mso-height-relative:page;" filled="f" stroked="t" coordsize="21600,21600" o:gfxdata="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8Z&#10;ZgXXAAAACgEAAA8AAAAAAAAAAQAgAAAAIgAAAGRycy9kb3ducmV2LnhtbFBLAQIUABQAAAAIAIdO&#10;4kBz1OJb6wEAANoDAAAOAAAAAAAAAAEAIAAAACYBAABkcnMvZTJvRG9jLnhtbFBLBQYAAAAABgAG&#10;AFkBAACDBQAAAAA=&#10;">
                <v:fill on="f" focussize="0,0"/>
                <v:stroke color="#000000" joinstyle="round"/>
                <v:imagedata o:title=""/>
                <o:lock v:ext="edit" aspectratio="f"/>
              </v:line>
            </w:pict>
          </mc:Fallback>
        </mc:AlternateContent>
      </w:r>
      <w:r>
        <w:rPr>
          <w:rFonts w:ascii="黑体" w:hAnsi="黑体"/>
        </w:rPr>
        <w:fldChar w:fldCharType="begin">
          <w:ffData>
            <w:name w:val="FY"/>
            <w:enabled/>
            <w:calcOnExit w:val="0"/>
            <w:entryMacro w:val="ShowHelp8"/>
            <w:textInput>
              <w:default w:val="××××"/>
              <w:maxLength w:val="4"/>
            </w:textInput>
          </w:ffData>
        </w:fldChar>
      </w:r>
      <w:bookmarkStart w:id="10"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0"/>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1"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1"/>
      <w:r>
        <w:rPr>
          <w:rFonts w:hint="eastAsia" w:ascii="黑体" w:hAnsi="黑体"/>
        </w:rPr>
        <w:t>发布</w:t>
      </w:r>
      <w:r>
        <w:rPr>
          <w:rFonts w:hint="eastAsia" w:ascii="黑体" w:hAnsi="黑体"/>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00.15pt;height:0.05pt;width:481.9pt;z-index:251659264;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O&#10;h7nXAAAACwEAAA8AAAAAAAAAAQAgAAAAIgAAAGRycy9kb3ducmV2LnhtbFBLAQIUABQAAAAIAIdO&#10;4kAeCI8N6wEAANoDAAAOAAAAAAAAAAEAIAAAACYBAABkcnMvZTJvRG9jLnhtbFBLBQYAAAAABgAG&#10;AFkBAACDBQAAAAA=&#10;">
                <v:fill on="f" focussize="0,0"/>
                <v:stroke color="#000000" joinstyle="round"/>
                <v:imagedata o:title=""/>
                <o:lock v:ext="edit" aspectratio="f"/>
              </v:line>
            </w:pict>
          </mc:Fallback>
        </mc:AlternateContent>
      </w:r>
      <w:r>
        <w:rPr>
          <w:rFonts w:hint="eastAsia" w:ascii="黑体" w:hAnsi="黑体"/>
        </w:rPr>
        <w:t xml:space="preserve">               </w:t>
      </w:r>
      <w:r>
        <w:rPr>
          <w:rFonts w:ascii="黑体" w:hAnsi="黑体"/>
        </w:rPr>
        <w:fldChar w:fldCharType="begin">
          <w:ffData>
            <w:name w:val="SY"/>
            <w:enabled/>
            <w:calcOnExit w:val="0"/>
            <w:entryMacro w:val="ShowHelp9"/>
            <w:textInput>
              <w:default w:val="××××"/>
              <w:maxLength w:val="4"/>
            </w:textInput>
          </w:ffData>
        </w:fldChar>
      </w:r>
      <w:bookmarkStart w:id="12"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3"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4"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hint="eastAsia" w:ascii="黑体" w:hAnsi="黑体"/>
        </w:rPr>
        <w:t>实施</w:t>
      </w:r>
    </w:p>
    <w:p w14:paraId="7D4E3B0B">
      <w:pPr>
        <w:pStyle w:val="110"/>
        <w:framePr w:wrap="around"/>
      </w:pPr>
      <w:r>
        <w:fldChar w:fldCharType="begin">
          <w:ffData>
            <w:name w:val="fm"/>
            <w:enabled/>
            <w:calcOnExit w:val="0"/>
            <w:textInput/>
          </w:ffData>
        </w:fldChar>
      </w:r>
      <w:bookmarkStart w:id="15" w:name="fm"/>
      <w:r>
        <w:instrText xml:space="preserve"> FORMTEXT </w:instrText>
      </w:r>
      <w:r>
        <w:fldChar w:fldCharType="separate"/>
      </w:r>
      <w:r>
        <w:rPr>
          <w:rFonts w:hint="eastAsia"/>
        </w:rPr>
        <w:t>北京市市场监督</w:t>
      </w:r>
      <w:r>
        <w:t>管理局</w:t>
      </w:r>
      <w:r>
        <w:fldChar w:fldCharType="end"/>
      </w:r>
      <w:bookmarkEnd w:id="15"/>
      <w:r>
        <w:t xml:space="preserve"> </w:t>
      </w:r>
      <w:r>
        <w:rPr>
          <w:rStyle w:val="137"/>
        </w:rPr>
        <w:t xml:space="preserve"> </w:t>
      </w:r>
      <w:r>
        <w:rPr>
          <w:rStyle w:val="137"/>
          <w:rFonts w:hint="eastAsia"/>
        </w:rPr>
        <w:t>发布</w:t>
      </w:r>
    </w:p>
    <w:p w14:paraId="3D3C1367">
      <w:pPr>
        <w:pStyle w:val="24"/>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7" w:header="0" w:footer="0" w:gutter="0"/>
          <w:pgNumType w:fmt="upperRoman" w:start="1"/>
          <w:cols w:space="425" w:num="1"/>
          <w:docGrid w:type="lines" w:linePitch="312" w:charSpace="0"/>
        </w:sectPr>
      </w:pPr>
      <w:r>
        <w:rPr>
          <w:rFonts w:hint="eastAsia"/>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396240</wp:posOffset>
                </wp:positionV>
                <wp:extent cx="866775" cy="198120"/>
                <wp:effectExtent l="0" t="0" r="1905" b="0"/>
                <wp:wrapNone/>
                <wp:docPr id="7"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ps:wsp>
                  </a:graphicData>
                </a:graphic>
              </wp:anchor>
            </w:drawing>
          </mc:Choice>
          <mc:Fallback>
            <w:pict>
              <v:rect id="BAH" o:spid="_x0000_s1026" o:spt="1" style="position:absolute;left:0pt;margin-left:-5.25pt;margin-top:31.2pt;height:15.6pt;width:68.25pt;z-index:-251651072;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QZAFPXAAAACQEAAA8AAAAAAAAAAQAg&#10;AAAAIgAAAGRycy9kb3ducmV2LnhtbFBLAQIUABQAAAAIAIdO4kDIRAXDnQEAAE0DAAAOAAAAAAAA&#10;AAEAIAAAACYBAABkcnMvZTJvRG9jLnhtbFBLBQYAAAAABgAGAFkBAAA1BQ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3" name="直接连接符 4"/>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4" o:spid="_x0000_s1026" o:spt="20" style="position:absolute;left:0pt;margin-left:-0.05pt;margin-top:184.25pt;height:0.05pt;width:481.9pt;z-index:251661312;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vH&#10;tPzXAAAACQEAAA8AAAAAAAAAAQAgAAAAIgAAAGRycy9kb3ducmV2LnhtbFBLAQIUABQAAAAIAIdO&#10;4kDcY1bu6wEAANoDAAAOAAAAAAAAAAEAIAAAACYBAABkcnMvZTJvRG9jLnhtbFBLBQYAAAAABgAG&#10;AFkBAACD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2" name="直接连接符 3"/>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 o:spid="_x0000_s1026" o:spt="20" style="position:absolute;left:0pt;margin-left:-0.05pt;margin-top:700.15pt;height:0.05pt;width:481.9pt;z-index:251660288;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O&#10;h7nXAAAACwEAAA8AAAAAAAAAAQAgAAAAIgAAAGRycy9kb3ducmV2LnhtbFBLAQIUABQAAAAIAIdO&#10;4kAe4QpL6wEAANoDAAAOAAAAAAAAAAEAIAAAACYBAABkcnMvZTJvRG9jLnhtbFBLBQYAAAAABgAG&#10;AFkBAACDBQAAAAA=&#10;">
                <v:fill on="f" focussize="0,0"/>
                <v:stroke color="#000000" joinstyle="round"/>
                <v:imagedata o:title=""/>
                <o:lock v:ext="edit" aspectratio="f"/>
              </v:line>
            </w:pict>
          </mc:Fallback>
        </mc:AlternateContent>
      </w:r>
    </w:p>
    <w:p w14:paraId="44C11A61">
      <w:pPr>
        <w:pStyle w:val="51"/>
        <w:outlineLvl w:val="9"/>
      </w:pPr>
      <w:r>
        <w:rPr>
          <w:rFonts w:hint="eastAsia"/>
        </w:rPr>
        <w:t>目</w:t>
      </w:r>
      <w:bookmarkStart w:id="16" w:name="BKML"/>
      <w:r>
        <w:rPr>
          <w:rFonts w:hAnsi="黑体"/>
        </w:rPr>
        <w:t>  </w:t>
      </w:r>
      <w:r>
        <w:rPr>
          <w:rFonts w:hint="eastAsia"/>
        </w:rPr>
        <w:t>次</w:t>
      </w:r>
      <w:bookmarkEnd w:id="16"/>
    </w:p>
    <w:p w14:paraId="3F1DCB69">
      <w:pPr>
        <w:pStyle w:val="24"/>
      </w:pPr>
    </w:p>
    <w:p w14:paraId="7511629E">
      <w:pPr>
        <w:pStyle w:val="24"/>
        <w:sectPr>
          <w:headerReference r:id="rId11" w:type="default"/>
          <w:footerReference r:id="rId12" w:type="default"/>
          <w:pgSz w:w="11906" w:h="16838"/>
          <w:pgMar w:top="567" w:right="1134" w:bottom="1134" w:left="1417" w:header="1418" w:footer="1134" w:gutter="0"/>
          <w:pgNumType w:fmt="upperRoman" w:start="1"/>
          <w:cols w:space="425" w:num="1"/>
          <w:formProt w:val="0"/>
          <w:docGrid w:type="lines" w:linePitch="312" w:charSpace="0"/>
        </w:sectPr>
      </w:pPr>
    </w:p>
    <w:p w14:paraId="51CFC556">
      <w:pPr>
        <w:pStyle w:val="20"/>
        <w:tabs>
          <w:tab w:val="right" w:leader="dot" w:pos="9355"/>
          <w:tab w:val="clear" w:pos="9241"/>
        </w:tabs>
        <w:spacing w:before="78" w:after="78"/>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"_Toc9548" </w:instrText>
      </w:r>
      <w:r>
        <w:fldChar w:fldCharType="separate"/>
      </w:r>
      <w:r>
        <w:rPr>
          <w:rFonts w:hint="eastAsia"/>
        </w:rPr>
        <w:t>前</w:t>
      </w:r>
      <w:r>
        <w:rPr>
          <w:rFonts w:hAnsi="黑体"/>
        </w:rPr>
        <w:t>  </w:t>
      </w:r>
      <w:r>
        <w:rPr>
          <w:rFonts w:hint="eastAsia"/>
        </w:rPr>
        <w:t>言</w:t>
      </w:r>
      <w:r>
        <w:tab/>
      </w:r>
      <w:r>
        <w:fldChar w:fldCharType="begin"/>
      </w:r>
      <w:r>
        <w:instrText xml:space="preserve"> PAGEREF _Toc9548 \h </w:instrText>
      </w:r>
      <w:r>
        <w:fldChar w:fldCharType="separate"/>
      </w:r>
      <w:r>
        <w:t>II</w:t>
      </w:r>
      <w:r>
        <w:fldChar w:fldCharType="end"/>
      </w:r>
      <w:r>
        <w:fldChar w:fldCharType="end"/>
      </w:r>
    </w:p>
    <w:p w14:paraId="0B116738">
      <w:pPr>
        <w:pStyle w:val="20"/>
        <w:tabs>
          <w:tab w:val="right" w:leader="dot" w:pos="9355"/>
          <w:tab w:val="clear" w:pos="9241"/>
        </w:tabs>
        <w:spacing w:before="78" w:after="78"/>
      </w:pPr>
      <w:r>
        <w:fldChar w:fldCharType="begin"/>
      </w:r>
      <w:r>
        <w:instrText xml:space="preserve"> HYPERLINK \l "_Toc23834" </w:instrText>
      </w:r>
      <w:r>
        <w:fldChar w:fldCharType="separate"/>
      </w:r>
      <w:r>
        <w:rPr>
          <w:rFonts w:hint="eastAsia" w:ascii="黑体" w:eastAsia="黑体"/>
        </w:rPr>
        <w:t xml:space="preserve">1 </w:t>
      </w:r>
      <w:r>
        <w:rPr>
          <w:rFonts w:hint="eastAsia"/>
        </w:rPr>
        <w:t>范围</w:t>
      </w:r>
      <w:r>
        <w:tab/>
      </w:r>
      <w:r>
        <w:fldChar w:fldCharType="begin"/>
      </w:r>
      <w:r>
        <w:instrText xml:space="preserve"> PAGEREF _Toc23834 \h </w:instrText>
      </w:r>
      <w:r>
        <w:fldChar w:fldCharType="separate"/>
      </w:r>
      <w:r>
        <w:t>1</w:t>
      </w:r>
      <w:r>
        <w:fldChar w:fldCharType="end"/>
      </w:r>
      <w:r>
        <w:fldChar w:fldCharType="end"/>
      </w:r>
    </w:p>
    <w:p w14:paraId="16FF29FE">
      <w:pPr>
        <w:pStyle w:val="20"/>
        <w:tabs>
          <w:tab w:val="right" w:leader="dot" w:pos="9355"/>
          <w:tab w:val="clear" w:pos="9241"/>
        </w:tabs>
        <w:spacing w:before="78" w:after="78"/>
      </w:pPr>
      <w:r>
        <w:fldChar w:fldCharType="begin"/>
      </w:r>
      <w:r>
        <w:instrText xml:space="preserve"> HYPERLINK \l "_Toc14283"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_Toc14283 \h </w:instrText>
      </w:r>
      <w:r>
        <w:fldChar w:fldCharType="separate"/>
      </w:r>
      <w:r>
        <w:t>1</w:t>
      </w:r>
      <w:r>
        <w:fldChar w:fldCharType="end"/>
      </w:r>
      <w:r>
        <w:fldChar w:fldCharType="end"/>
      </w:r>
    </w:p>
    <w:p w14:paraId="30C4611B">
      <w:pPr>
        <w:pStyle w:val="20"/>
        <w:tabs>
          <w:tab w:val="right" w:leader="dot" w:pos="9355"/>
          <w:tab w:val="clear" w:pos="9241"/>
        </w:tabs>
        <w:spacing w:before="78" w:after="78"/>
      </w:pPr>
      <w:r>
        <w:fldChar w:fldCharType="begin"/>
      </w:r>
      <w:r>
        <w:instrText xml:space="preserve"> HYPERLINK \l "_Toc28504"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_Toc28504 \h </w:instrText>
      </w:r>
      <w:r>
        <w:fldChar w:fldCharType="separate"/>
      </w:r>
      <w:r>
        <w:t>1</w:t>
      </w:r>
      <w:r>
        <w:fldChar w:fldCharType="end"/>
      </w:r>
      <w:r>
        <w:fldChar w:fldCharType="end"/>
      </w:r>
    </w:p>
    <w:p w14:paraId="3066ECF7">
      <w:pPr>
        <w:pStyle w:val="20"/>
        <w:tabs>
          <w:tab w:val="right" w:leader="dot" w:pos="9355"/>
          <w:tab w:val="clear" w:pos="9241"/>
        </w:tabs>
        <w:spacing w:before="78" w:after="78"/>
      </w:pPr>
      <w:r>
        <w:fldChar w:fldCharType="begin"/>
      </w:r>
      <w:r>
        <w:instrText xml:space="preserve"> HYPERLINK \l "_Toc18434" </w:instrText>
      </w:r>
      <w:r>
        <w:fldChar w:fldCharType="separate"/>
      </w:r>
      <w:r>
        <w:rPr>
          <w:rFonts w:hint="eastAsia" w:ascii="黑体" w:eastAsia="黑体"/>
        </w:rPr>
        <w:t xml:space="preserve">4 </w:t>
      </w:r>
      <w:r>
        <w:rPr>
          <w:rFonts w:hint="eastAsia"/>
        </w:rPr>
        <w:t>基本要求</w:t>
      </w:r>
      <w:r>
        <w:tab/>
      </w:r>
      <w:r>
        <w:fldChar w:fldCharType="begin"/>
      </w:r>
      <w:r>
        <w:instrText xml:space="preserve"> PAGEREF _Toc18434 \h </w:instrText>
      </w:r>
      <w:r>
        <w:fldChar w:fldCharType="separate"/>
      </w:r>
      <w:r>
        <w:t>2</w:t>
      </w:r>
      <w:r>
        <w:fldChar w:fldCharType="end"/>
      </w:r>
      <w:r>
        <w:fldChar w:fldCharType="end"/>
      </w:r>
    </w:p>
    <w:p w14:paraId="5190C487">
      <w:pPr>
        <w:pStyle w:val="20"/>
        <w:tabs>
          <w:tab w:val="right" w:leader="dot" w:pos="9355"/>
          <w:tab w:val="clear" w:pos="9241"/>
        </w:tabs>
        <w:spacing w:before="78" w:after="78"/>
      </w:pPr>
      <w:r>
        <w:fldChar w:fldCharType="begin"/>
      </w:r>
      <w:r>
        <w:instrText xml:space="preserve"> HYPERLINK \l "_Toc32131" </w:instrText>
      </w:r>
      <w:r>
        <w:fldChar w:fldCharType="separate"/>
      </w:r>
      <w:r>
        <w:rPr>
          <w:rFonts w:hint="eastAsia" w:ascii="黑体" w:eastAsia="黑体"/>
        </w:rPr>
        <w:t xml:space="preserve">5 </w:t>
      </w:r>
      <w:r>
        <w:rPr>
          <w:rFonts w:hint="eastAsia"/>
        </w:rPr>
        <w:t>园区规划</w:t>
      </w:r>
      <w:r>
        <w:tab/>
      </w:r>
      <w:r>
        <w:fldChar w:fldCharType="begin"/>
      </w:r>
      <w:r>
        <w:instrText xml:space="preserve"> PAGEREF _Toc32131 \h </w:instrText>
      </w:r>
      <w:r>
        <w:fldChar w:fldCharType="separate"/>
      </w:r>
      <w:r>
        <w:t>2</w:t>
      </w:r>
      <w:r>
        <w:fldChar w:fldCharType="end"/>
      </w:r>
      <w:r>
        <w:fldChar w:fldCharType="end"/>
      </w:r>
    </w:p>
    <w:p w14:paraId="1B413A83">
      <w:pPr>
        <w:pStyle w:val="20"/>
        <w:tabs>
          <w:tab w:val="right" w:leader="dot" w:pos="9355"/>
          <w:tab w:val="clear" w:pos="9241"/>
        </w:tabs>
        <w:spacing w:before="78" w:after="78"/>
      </w:pPr>
      <w:r>
        <w:fldChar w:fldCharType="begin"/>
      </w:r>
      <w:r>
        <w:instrText xml:space="preserve"> HYPERLINK \l "_Toc9780" </w:instrText>
      </w:r>
      <w:r>
        <w:fldChar w:fldCharType="separate"/>
      </w:r>
      <w:r>
        <w:rPr>
          <w:rFonts w:hint="eastAsia" w:ascii="黑体" w:eastAsia="黑体"/>
        </w:rPr>
        <w:t xml:space="preserve">6 </w:t>
      </w:r>
      <w:r>
        <w:rPr>
          <w:rFonts w:hint="eastAsia"/>
        </w:rPr>
        <w:t>园区建设</w:t>
      </w:r>
      <w:r>
        <w:tab/>
      </w:r>
      <w:r>
        <w:fldChar w:fldCharType="begin"/>
      </w:r>
      <w:r>
        <w:instrText xml:space="preserve"> PAGEREF _Toc9780 \h </w:instrText>
      </w:r>
      <w:r>
        <w:fldChar w:fldCharType="separate"/>
      </w:r>
      <w:r>
        <w:t>2</w:t>
      </w:r>
      <w:r>
        <w:fldChar w:fldCharType="end"/>
      </w:r>
      <w:r>
        <w:fldChar w:fldCharType="end"/>
      </w:r>
    </w:p>
    <w:p w14:paraId="026F771B">
      <w:pPr>
        <w:pStyle w:val="20"/>
        <w:tabs>
          <w:tab w:val="right" w:leader="dot" w:pos="9355"/>
          <w:tab w:val="clear" w:pos="9241"/>
        </w:tabs>
        <w:spacing w:before="78" w:after="78"/>
      </w:pPr>
      <w:r>
        <w:fldChar w:fldCharType="begin"/>
      </w:r>
      <w:r>
        <w:instrText xml:space="preserve"> HYPERLINK \l "_Toc31089" </w:instrText>
      </w:r>
      <w:r>
        <w:fldChar w:fldCharType="separate"/>
      </w:r>
      <w:r>
        <w:rPr>
          <w:rFonts w:hint="eastAsia" w:ascii="黑体" w:eastAsia="黑体"/>
        </w:rPr>
        <w:t xml:space="preserve">7 </w:t>
      </w:r>
      <w:r>
        <w:rPr>
          <w:rFonts w:hint="eastAsia"/>
        </w:rPr>
        <w:t>园区运营</w:t>
      </w:r>
      <w:r>
        <w:tab/>
      </w:r>
      <w:r>
        <w:fldChar w:fldCharType="begin"/>
      </w:r>
      <w:r>
        <w:instrText xml:space="preserve"> PAGEREF _Toc31089 \h </w:instrText>
      </w:r>
      <w:r>
        <w:fldChar w:fldCharType="separate"/>
      </w:r>
      <w:r>
        <w:t>4</w:t>
      </w:r>
      <w:r>
        <w:fldChar w:fldCharType="end"/>
      </w:r>
      <w:r>
        <w:fldChar w:fldCharType="end"/>
      </w:r>
    </w:p>
    <w:p w14:paraId="7109FEBD">
      <w:pPr>
        <w:pStyle w:val="20"/>
        <w:tabs>
          <w:tab w:val="right" w:leader="dot" w:pos="9355"/>
          <w:tab w:val="clear" w:pos="9241"/>
        </w:tabs>
        <w:spacing w:before="78" w:after="78"/>
      </w:pPr>
      <w:r>
        <w:fldChar w:fldCharType="begin"/>
      </w:r>
      <w:r>
        <w:instrText xml:space="preserve"> HYPERLINK \l "_Toc23805" </w:instrText>
      </w:r>
      <w:r>
        <w:fldChar w:fldCharType="separate"/>
      </w:r>
      <w:r>
        <w:rPr>
          <w:rFonts w:hint="eastAsia" w:ascii="黑体" w:eastAsia="黑体"/>
        </w:rPr>
        <w:t xml:space="preserve">8 </w:t>
      </w:r>
      <w:r>
        <w:rPr>
          <w:rFonts w:hint="eastAsia"/>
        </w:rPr>
        <w:t>保障措施</w:t>
      </w:r>
      <w:r>
        <w:tab/>
      </w:r>
      <w:r>
        <w:fldChar w:fldCharType="begin"/>
      </w:r>
      <w:r>
        <w:instrText xml:space="preserve"> PAGEREF _Toc23805 \h </w:instrText>
      </w:r>
      <w:r>
        <w:fldChar w:fldCharType="separate"/>
      </w:r>
      <w:r>
        <w:t>5</w:t>
      </w:r>
      <w:r>
        <w:fldChar w:fldCharType="end"/>
      </w:r>
      <w:r>
        <w:fldChar w:fldCharType="end"/>
      </w:r>
    </w:p>
    <w:p w14:paraId="3AD2A506">
      <w:pPr>
        <w:pStyle w:val="20"/>
        <w:tabs>
          <w:tab w:val="right" w:leader="dot" w:pos="9355"/>
          <w:tab w:val="clear" w:pos="9241"/>
        </w:tabs>
        <w:spacing w:before="78" w:after="78"/>
        <w:rPr>
          <w:rFonts w:hAnsi="宋体" w:cs="宋体"/>
        </w:rPr>
      </w:pPr>
      <w:r>
        <w:fldChar w:fldCharType="begin"/>
      </w:r>
      <w:r>
        <w:instrText xml:space="preserve"> HYPERLINK \l "_Toc26013" </w:instrText>
      </w:r>
      <w:r>
        <w:fldChar w:fldCharType="separate"/>
      </w:r>
      <w:r>
        <w:rPr>
          <w:rFonts w:hint="eastAsia" w:hAnsi="宋体" w:cs="宋体"/>
        </w:rPr>
        <w:t xml:space="preserve">附　录　A </w:t>
      </w:r>
      <w:r>
        <w:rPr>
          <w:rFonts w:hAnsi="宋体" w:cs="宋体"/>
        </w:rPr>
        <w:t xml:space="preserve"> </w:t>
      </w:r>
      <w:r>
        <w:rPr>
          <w:rFonts w:hint="eastAsia" w:hAnsi="宋体" w:cs="宋体"/>
        </w:rPr>
        <w:t>（规范性）</w:t>
      </w:r>
      <w:r>
        <w:rPr>
          <w:rFonts w:hAnsi="宋体" w:cs="宋体"/>
        </w:rPr>
        <w:t xml:space="preserve"> </w:t>
      </w:r>
      <w:r>
        <w:rPr>
          <w:rFonts w:hint="eastAsia" w:hAnsi="宋体" w:cs="宋体"/>
        </w:rPr>
        <w:t>建设指标测算要求</w:t>
      </w:r>
      <w:r>
        <w:rPr>
          <w:rFonts w:hAnsi="宋体" w:cs="宋体"/>
        </w:rPr>
        <w:tab/>
      </w:r>
      <w:r>
        <w:rPr>
          <w:rFonts w:hAnsi="宋体" w:cs="宋体"/>
        </w:rPr>
        <w:fldChar w:fldCharType="begin"/>
      </w:r>
      <w:r>
        <w:rPr>
          <w:rFonts w:hAnsi="宋体" w:cs="宋体"/>
        </w:rPr>
        <w:instrText xml:space="preserve"> PAGEREF _Toc26013 \h </w:instrText>
      </w:r>
      <w:r>
        <w:rPr>
          <w:rFonts w:hAnsi="宋体" w:cs="宋体"/>
        </w:rPr>
        <w:fldChar w:fldCharType="separate"/>
      </w:r>
      <w:r>
        <w:rPr>
          <w:rFonts w:hAnsi="宋体" w:cs="宋体"/>
        </w:rPr>
        <w:t>6</w:t>
      </w:r>
      <w:r>
        <w:rPr>
          <w:rFonts w:hAnsi="宋体" w:cs="宋体"/>
        </w:rPr>
        <w:fldChar w:fldCharType="end"/>
      </w:r>
      <w:r>
        <w:rPr>
          <w:rFonts w:hAnsi="宋体" w:cs="宋体"/>
        </w:rPr>
        <w:fldChar w:fldCharType="end"/>
      </w:r>
    </w:p>
    <w:p w14:paraId="05CA67C4">
      <w:pPr>
        <w:pStyle w:val="20"/>
        <w:tabs>
          <w:tab w:val="right" w:leader="dot" w:pos="9355"/>
          <w:tab w:val="clear" w:pos="9241"/>
        </w:tabs>
        <w:spacing w:before="78" w:after="78"/>
      </w:pPr>
      <w:r>
        <w:fldChar w:fldCharType="begin"/>
      </w:r>
      <w:r>
        <w:instrText xml:space="preserve"> HYPERLINK \l "_Toc7101" </w:instrText>
      </w:r>
      <w:r>
        <w:fldChar w:fldCharType="separate"/>
      </w:r>
      <w:r>
        <w:rPr>
          <w:rFonts w:hint="eastAsia" w:hAnsi="宋体" w:cs="宋体"/>
        </w:rPr>
        <w:t>参</w:t>
      </w:r>
      <w:r>
        <w:rPr>
          <w:rFonts w:hAnsi="宋体" w:cs="宋体"/>
        </w:rPr>
        <w:t> </w:t>
      </w:r>
      <w:r>
        <w:rPr>
          <w:rFonts w:hint="eastAsia" w:hAnsi="宋体" w:cs="宋体"/>
        </w:rPr>
        <w:t>考</w:t>
      </w:r>
      <w:r>
        <w:rPr>
          <w:rFonts w:hAnsi="宋体" w:cs="宋体"/>
        </w:rPr>
        <w:t> </w:t>
      </w:r>
      <w:r>
        <w:rPr>
          <w:rFonts w:hint="eastAsia" w:hAnsi="宋体" w:cs="宋体"/>
        </w:rPr>
        <w:t>文</w:t>
      </w:r>
      <w:r>
        <w:rPr>
          <w:rFonts w:hAnsi="宋体" w:cs="宋体"/>
        </w:rPr>
        <w:t> </w:t>
      </w:r>
      <w:r>
        <w:rPr>
          <w:rFonts w:hint="eastAsia" w:hAnsi="宋体" w:cs="宋体"/>
        </w:rPr>
        <w:t>献</w:t>
      </w:r>
      <w:r>
        <w:rPr>
          <w:rFonts w:hAnsi="宋体" w:cs="宋体"/>
        </w:rPr>
        <w:tab/>
      </w:r>
      <w:r>
        <w:rPr>
          <w:rFonts w:hAnsi="宋体" w:cs="宋体"/>
        </w:rPr>
        <w:fldChar w:fldCharType="begin"/>
      </w:r>
      <w:r>
        <w:rPr>
          <w:rFonts w:hAnsi="宋体" w:cs="宋体"/>
        </w:rPr>
        <w:instrText xml:space="preserve"> PAGEREF _Toc7101 \h </w:instrText>
      </w:r>
      <w:r>
        <w:rPr>
          <w:rFonts w:hAnsi="宋体" w:cs="宋体"/>
        </w:rPr>
        <w:fldChar w:fldCharType="separate"/>
      </w:r>
      <w:r>
        <w:rPr>
          <w:rFonts w:hAnsi="宋体" w:cs="宋体"/>
        </w:rPr>
        <w:t>7</w:t>
      </w:r>
      <w:r>
        <w:rPr>
          <w:rFonts w:hAnsi="宋体" w:cs="宋体"/>
        </w:rPr>
        <w:fldChar w:fldCharType="end"/>
      </w:r>
      <w:r>
        <w:rPr>
          <w:rFonts w:hAnsi="宋体" w:cs="宋体"/>
        </w:rPr>
        <w:fldChar w:fldCharType="end"/>
      </w:r>
    </w:p>
    <w:p w14:paraId="7335228B">
      <w:pPr>
        <w:pStyle w:val="24"/>
      </w:pPr>
      <w:r>
        <w:rPr>
          <w:rFonts w:hint="eastAsia"/>
        </w:rPr>
        <w:fldChar w:fldCharType="end"/>
      </w:r>
    </w:p>
    <w:p w14:paraId="587B154C">
      <w:pPr>
        <w:pStyle w:val="111"/>
        <w:tabs>
          <w:tab w:val="left" w:pos="1105"/>
          <w:tab w:val="center" w:pos="4677"/>
        </w:tabs>
        <w:jc w:val="left"/>
      </w:pPr>
      <w:bookmarkStart w:id="17" w:name="_Toc17878125"/>
      <w:r>
        <w:tab/>
      </w:r>
      <w:r>
        <w:tab/>
      </w:r>
      <w:bookmarkStart w:id="18" w:name="_Toc9548"/>
      <w:r>
        <w:rPr>
          <w:rFonts w:hint="eastAsia"/>
        </w:rPr>
        <w:t>前</w:t>
      </w:r>
      <w:bookmarkStart w:id="19" w:name="BKQY"/>
      <w:r>
        <w:rPr>
          <w:rFonts w:hAnsi="黑体"/>
        </w:rPr>
        <w:t>  </w:t>
      </w:r>
      <w:r>
        <w:rPr>
          <w:rFonts w:hint="eastAsia"/>
        </w:rPr>
        <w:t>言</w:t>
      </w:r>
      <w:bookmarkEnd w:id="17"/>
      <w:bookmarkEnd w:id="18"/>
      <w:bookmarkEnd w:id="19"/>
    </w:p>
    <w:p w14:paraId="04ECE68B">
      <w:pPr>
        <w:pStyle w:val="24"/>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508BC85C">
      <w:pPr>
        <w:pStyle w:val="24"/>
      </w:pPr>
      <w:r>
        <w:rPr>
          <w:rFonts w:hint="eastAsia"/>
        </w:rPr>
        <w:t>本</w:t>
      </w:r>
      <w:r>
        <w:t>文件由</w:t>
      </w:r>
      <w:r>
        <w:rPr>
          <w:rFonts w:hint="eastAsia"/>
        </w:rPr>
        <w:t>北京市发展和改革委员会提出并归口。</w:t>
      </w:r>
    </w:p>
    <w:p w14:paraId="1D9241BF">
      <w:pPr>
        <w:pStyle w:val="24"/>
      </w:pPr>
      <w:r>
        <w:rPr>
          <w:rFonts w:hint="eastAsia"/>
        </w:rPr>
        <w:t>本文件</w:t>
      </w:r>
      <w:r>
        <w:t>由</w:t>
      </w:r>
      <w:r>
        <w:rPr>
          <w:rFonts w:hint="eastAsia"/>
        </w:rPr>
        <w:t>北京市发展和改革委员会组织</w:t>
      </w:r>
      <w:r>
        <w:t>实施。</w:t>
      </w:r>
    </w:p>
    <w:p w14:paraId="02BF0A9B">
      <w:pPr>
        <w:pStyle w:val="24"/>
      </w:pPr>
      <w:r>
        <w:rPr>
          <w:rFonts w:hint="eastAsia"/>
        </w:rPr>
        <w:t>本文件起草单位：</w:t>
      </w:r>
    </w:p>
    <w:p w14:paraId="5050935D">
      <w:pPr>
        <w:pStyle w:val="24"/>
      </w:pPr>
      <w:r>
        <w:rPr>
          <w:rFonts w:hint="eastAsia"/>
        </w:rPr>
        <w:t>本文件主要起草人：</w:t>
      </w:r>
    </w:p>
    <w:p w14:paraId="3E324228">
      <w:pPr>
        <w:pStyle w:val="24"/>
      </w:pPr>
    </w:p>
    <w:p w14:paraId="2920DD89">
      <w:pPr>
        <w:pStyle w:val="24"/>
        <w:sectPr>
          <w:type w:val="continuous"/>
          <w:pgSz w:w="11906" w:h="16838"/>
          <w:pgMar w:top="567" w:right="1134" w:bottom="1134" w:left="1417" w:header="1418" w:footer="1134" w:gutter="0"/>
          <w:pgNumType w:fmt="upperRoman" w:start="1"/>
          <w:cols w:space="425" w:num="1"/>
          <w:formProt w:val="0"/>
          <w:docGrid w:type="lines" w:linePitch="312" w:charSpace="0"/>
        </w:sectPr>
      </w:pPr>
    </w:p>
    <w:p w14:paraId="6CDFA4E9">
      <w:pPr>
        <w:pStyle w:val="135"/>
        <w:outlineLvl w:val="9"/>
      </w:pPr>
      <w:bookmarkStart w:id="20" w:name="StandardName"/>
      <w:bookmarkEnd w:id="20"/>
      <w:r>
        <w:rPr>
          <w:rFonts w:hint="eastAsia"/>
        </w:rPr>
        <w:t>低碳智慧物流园区建设导则</w:t>
      </w:r>
    </w:p>
    <w:p w14:paraId="5AC67E2C">
      <w:pPr>
        <w:pStyle w:val="46"/>
      </w:pPr>
      <w:bookmarkStart w:id="21" w:name="_Toc17878127"/>
      <w:bookmarkStart w:id="22" w:name="_Toc23834"/>
      <w:r>
        <w:rPr>
          <w:rFonts w:hint="eastAsia"/>
        </w:rPr>
        <w:t>范围</w:t>
      </w:r>
      <w:bookmarkEnd w:id="21"/>
      <w:bookmarkEnd w:id="22"/>
    </w:p>
    <w:p w14:paraId="0BE33DD2">
      <w:pPr>
        <w:pStyle w:val="24"/>
      </w:pPr>
      <w:r>
        <w:rPr>
          <w:rFonts w:hint="eastAsia"/>
        </w:rPr>
        <w:t>本</w:t>
      </w:r>
      <w:r>
        <w:t>文件</w:t>
      </w:r>
      <w:r>
        <w:rPr>
          <w:rFonts w:hint="eastAsia"/>
        </w:rPr>
        <w:t>规定了低碳智慧物流园区建设的基本要求、园区规划、园区建设、园区运营及保障措施等内容</w:t>
      </w:r>
      <w:r>
        <w:t>。</w:t>
      </w:r>
    </w:p>
    <w:p w14:paraId="27C760FB">
      <w:pPr>
        <w:pStyle w:val="24"/>
      </w:pPr>
      <w:r>
        <w:rPr>
          <w:rFonts w:hint="eastAsia"/>
        </w:rPr>
        <w:t>本文件</w:t>
      </w:r>
      <w:r>
        <w:t>适用于</w:t>
      </w:r>
      <w:r>
        <w:rPr>
          <w:rFonts w:hint="eastAsia"/>
        </w:rPr>
        <w:t>指导新建、改扩建的低碳智慧物流园区的建设。</w:t>
      </w:r>
    </w:p>
    <w:p w14:paraId="26E03FCC">
      <w:pPr>
        <w:pStyle w:val="46"/>
      </w:pPr>
      <w:bookmarkStart w:id="23" w:name="_Toc14283"/>
      <w:bookmarkStart w:id="24" w:name="_Toc17878128"/>
      <w:r>
        <w:rPr>
          <w:rFonts w:hint="eastAsia"/>
        </w:rPr>
        <w:t>规范性引用文件</w:t>
      </w:r>
      <w:bookmarkEnd w:id="23"/>
      <w:bookmarkEnd w:id="24"/>
    </w:p>
    <w:p w14:paraId="03FC3AF2">
      <w:pPr>
        <w:pStyle w:val="24"/>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7E6E147A">
      <w:pPr>
        <w:pStyle w:val="24"/>
      </w:pPr>
      <w:r>
        <w:rPr>
          <w:rFonts w:hint="eastAsia" w:ascii="黑体" w:hAnsi="黑体" w:eastAsia="黑体"/>
        </w:rPr>
        <w:t>GB/T 21334</w:t>
      </w:r>
      <w:r>
        <w:rPr>
          <w:rFonts w:hint="eastAsia"/>
        </w:rPr>
        <w:t xml:space="preserve"> 物流园区分类与规划基本要求</w:t>
      </w:r>
    </w:p>
    <w:p w14:paraId="60147FDC">
      <w:pPr>
        <w:pStyle w:val="24"/>
      </w:pPr>
      <w:r>
        <w:rPr>
          <w:rFonts w:hint="eastAsia" w:ascii="黑体" w:hAnsi="黑体" w:eastAsia="黑体"/>
        </w:rPr>
        <w:t>GB/T 30334</w:t>
      </w:r>
      <w:r>
        <w:rPr>
          <w:rFonts w:hint="eastAsia"/>
        </w:rPr>
        <w:t xml:space="preserve"> 物流园区服务规范及评价指标</w:t>
      </w:r>
    </w:p>
    <w:p w14:paraId="0D79F85C">
      <w:pPr>
        <w:pStyle w:val="146"/>
        <w:ind w:firstLine="420"/>
      </w:pPr>
      <w:r>
        <w:rPr>
          <w:rFonts w:hint="eastAsia" w:ascii="黑体" w:hAnsi="黑体" w:eastAsia="黑体"/>
        </w:rPr>
        <w:t>GB/T 32150</w:t>
      </w:r>
      <w:r>
        <w:rPr>
          <w:rFonts w:hint="eastAsia"/>
        </w:rPr>
        <w:t xml:space="preserve"> 工业企业温室气体排放核算和报告通则</w:t>
      </w:r>
    </w:p>
    <w:p w14:paraId="7D0F4DEA">
      <w:pPr>
        <w:pStyle w:val="24"/>
      </w:pPr>
      <w:r>
        <w:rPr>
          <w:rFonts w:hint="eastAsia" w:ascii="黑体" w:hAnsi="黑体" w:eastAsia="黑体"/>
        </w:rPr>
        <w:t>GB 55015</w:t>
      </w:r>
      <w:r>
        <w:rPr>
          <w:rFonts w:hint="eastAsia"/>
        </w:rPr>
        <w:t xml:space="preserve"> 建筑节能与可再生能源利用通用规范</w:t>
      </w:r>
    </w:p>
    <w:p w14:paraId="5FCF6524">
      <w:pPr>
        <w:pStyle w:val="46"/>
      </w:pPr>
      <w:bookmarkStart w:id="25" w:name="_Toc17878129"/>
      <w:bookmarkEnd w:id="25"/>
      <w:bookmarkStart w:id="26" w:name="_Toc28504"/>
      <w:r>
        <w:rPr>
          <w:rFonts w:hint="eastAsia"/>
        </w:rPr>
        <w:t>术语和定义</w:t>
      </w:r>
      <w:bookmarkEnd w:id="26"/>
    </w:p>
    <w:p w14:paraId="3267F89C">
      <w:pPr>
        <w:pStyle w:val="24"/>
      </w:pPr>
      <w:r>
        <w:rPr>
          <w:rFonts w:hint="eastAsia"/>
        </w:rPr>
        <w:t>下列</w:t>
      </w:r>
      <w:r>
        <w:t>术语和定义适用于本文件。</w:t>
      </w:r>
    </w:p>
    <w:p w14:paraId="59B94D0A">
      <w:pPr>
        <w:pStyle w:val="46"/>
        <w:numPr>
          <w:ilvl w:val="0"/>
          <w:numId w:val="0"/>
        </w:numPr>
        <w:outlineLvl w:val="1"/>
      </w:pPr>
      <w:r>
        <w:rPr>
          <w:rFonts w:hint="eastAsia"/>
        </w:rPr>
        <w:t>3.1</w:t>
      </w:r>
    </w:p>
    <w:p w14:paraId="34CD66B4">
      <w:pPr>
        <w:pStyle w:val="146"/>
        <w:spacing w:line="400" w:lineRule="exact"/>
        <w:ind w:firstLine="420"/>
        <w:rPr>
          <w:rFonts w:ascii="黑体" w:hAnsi="黑体" w:eastAsia="黑体" w:cs="黑体"/>
        </w:rPr>
      </w:pPr>
      <w:r>
        <w:rPr>
          <w:rFonts w:hint="eastAsia" w:ascii="黑体" w:hAnsi="黑体" w:eastAsia="黑体" w:cs="黑体"/>
        </w:rPr>
        <w:t>物流园区</w:t>
      </w:r>
      <w:r>
        <w:rPr>
          <w:rFonts w:hint="eastAsia" w:ascii="黑体" w:hAnsi="黑体" w:eastAsia="黑体" w:cs="黑体"/>
          <w:b/>
          <w:bCs/>
        </w:rPr>
        <w:t xml:space="preserve">  logistics park</w:t>
      </w:r>
    </w:p>
    <w:p w14:paraId="46E9DAB6">
      <w:pPr>
        <w:pStyle w:val="146"/>
        <w:ind w:firstLine="420"/>
        <w:rPr>
          <w:rFonts w:ascii="Times New Roman"/>
        </w:rPr>
      </w:pPr>
      <w:r>
        <w:rPr>
          <w:rFonts w:ascii="Times New Roman"/>
        </w:rPr>
        <w:t>为实现物流设施集约化和物流运作共同化，按照城市空间合理布局的要求，集中建设并由统一主体管理，为众多企业提供物流基础设施和公共服务的物流产业集聚区。</w:t>
      </w:r>
    </w:p>
    <w:p w14:paraId="1478515C">
      <w:pPr>
        <w:pStyle w:val="146"/>
        <w:ind w:firstLine="420"/>
        <w:rPr>
          <w:rFonts w:ascii="Times New Roman"/>
        </w:rPr>
      </w:pPr>
      <w:r>
        <w:rPr>
          <w:rFonts w:hint="eastAsia" w:ascii="Times New Roman"/>
        </w:rPr>
        <w:t>[</w:t>
      </w:r>
      <w:r>
        <w:rPr>
          <w:rFonts w:hint="eastAsia" w:ascii="黑体" w:hAnsi="黑体" w:eastAsia="黑体" w:cs="黑体"/>
        </w:rPr>
        <w:t>来源：GB/T 21334-2017，3.1</w:t>
      </w:r>
      <w:r>
        <w:rPr>
          <w:rFonts w:hint="eastAsia" w:ascii="Times New Roman"/>
        </w:rPr>
        <w:t>]</w:t>
      </w:r>
    </w:p>
    <w:p w14:paraId="66D5F6B5">
      <w:pPr>
        <w:pStyle w:val="46"/>
        <w:numPr>
          <w:ilvl w:val="0"/>
          <w:numId w:val="0"/>
        </w:numPr>
        <w:outlineLvl w:val="1"/>
        <w:rPr>
          <w:rFonts w:ascii="Times New Roman"/>
        </w:rPr>
      </w:pPr>
      <w:r>
        <w:rPr>
          <w:rFonts w:hint="eastAsia"/>
        </w:rPr>
        <w:t>3.2</w:t>
      </w:r>
    </w:p>
    <w:p w14:paraId="3966781D">
      <w:pPr>
        <w:pStyle w:val="146"/>
        <w:spacing w:line="400" w:lineRule="exact"/>
        <w:ind w:firstLine="420"/>
        <w:rPr>
          <w:rFonts w:ascii="黑体" w:hAnsi="黑体" w:eastAsia="黑体"/>
        </w:rPr>
      </w:pPr>
      <w:r>
        <w:rPr>
          <w:rFonts w:hint="eastAsia" w:ascii="黑体" w:hAnsi="黑体" w:eastAsia="黑体"/>
        </w:rPr>
        <w:t>低碳智慧</w:t>
      </w:r>
      <w:r>
        <w:rPr>
          <w:rFonts w:ascii="黑体" w:hAnsi="黑体" w:eastAsia="黑体"/>
        </w:rPr>
        <w:t>物流园区</w:t>
      </w:r>
      <w:r>
        <w:rPr>
          <w:rFonts w:hint="eastAsia" w:ascii="黑体" w:hAnsi="黑体" w:eastAsia="黑体"/>
        </w:rPr>
        <w:t xml:space="preserve"> </w:t>
      </w:r>
      <w:r>
        <w:rPr>
          <w:rFonts w:ascii="Times New Roman" w:eastAsia="黑体"/>
          <w:b/>
          <w:bCs/>
        </w:rPr>
        <w:t xml:space="preserve"> zero-carbon logistics park</w:t>
      </w:r>
      <w:r>
        <w:rPr>
          <w:rFonts w:ascii="黑体" w:hAnsi="黑体" w:eastAsia="黑体"/>
        </w:rPr>
        <w:t xml:space="preserve"> </w:t>
      </w:r>
    </w:p>
    <w:p w14:paraId="2B1ABBC4">
      <w:pPr>
        <w:pStyle w:val="146"/>
        <w:ind w:firstLine="420"/>
        <w:rPr>
          <w:rFonts w:ascii="Times New Roman"/>
        </w:rPr>
      </w:pPr>
      <w:r>
        <w:rPr>
          <w:rFonts w:hint="eastAsia" w:ascii="Times New Roman"/>
        </w:rPr>
        <w:t>以物流基础设施为载体，通过技术赋能、流程优化、能源革新与管理升级，实现低碳排放以及智慧化运营的物流园区。</w:t>
      </w:r>
    </w:p>
    <w:p w14:paraId="3BA20FC4">
      <w:pPr>
        <w:pStyle w:val="46"/>
        <w:numPr>
          <w:ilvl w:val="0"/>
          <w:numId w:val="0"/>
        </w:numPr>
        <w:outlineLvl w:val="1"/>
        <w:rPr>
          <w:rFonts w:ascii="Times New Roman"/>
        </w:rPr>
      </w:pPr>
      <w:r>
        <w:rPr>
          <w:rFonts w:hint="eastAsia"/>
        </w:rPr>
        <w:t>3.3</w:t>
      </w:r>
    </w:p>
    <w:p w14:paraId="5343A992">
      <w:pPr>
        <w:pStyle w:val="146"/>
        <w:spacing w:line="400" w:lineRule="exact"/>
        <w:ind w:firstLine="420"/>
        <w:rPr>
          <w:rFonts w:ascii="Times New Roman" w:eastAsia="黑体"/>
          <w:b/>
          <w:bCs/>
        </w:rPr>
      </w:pPr>
      <w:r>
        <w:rPr>
          <w:rFonts w:ascii="Times New Roman" w:eastAsia="黑体"/>
        </w:rPr>
        <w:t>碳排放</w:t>
      </w:r>
      <w:r>
        <w:rPr>
          <w:rFonts w:hint="eastAsia" w:ascii="Times New Roman" w:eastAsia="黑体"/>
        </w:rPr>
        <w:t xml:space="preserve"> </w:t>
      </w:r>
      <w:r>
        <w:rPr>
          <w:rFonts w:ascii="Times New Roman" w:eastAsia="黑体"/>
        </w:rPr>
        <w:t xml:space="preserve"> </w:t>
      </w:r>
      <w:r>
        <w:rPr>
          <w:rFonts w:ascii="Times New Roman" w:eastAsia="黑体"/>
          <w:b/>
          <w:bCs/>
        </w:rPr>
        <w:t xml:space="preserve">carbon emission </w:t>
      </w:r>
    </w:p>
    <w:p w14:paraId="65CD17EF">
      <w:pPr>
        <w:pStyle w:val="146"/>
        <w:spacing w:line="400" w:lineRule="atLeast"/>
        <w:ind w:firstLine="420"/>
        <w:rPr>
          <w:rFonts w:hAnsi="宋体"/>
        </w:rPr>
      </w:pPr>
      <w:r>
        <w:t>在特定时段内，物流园区运营过程中（含仓储、运输、装卸、能源消耗、废弃物处理）向大气中释放二氧化碳的过程</w:t>
      </w:r>
      <w:r>
        <w:rPr>
          <w:rFonts w:hint="eastAsia"/>
        </w:rPr>
        <w:t>。</w:t>
      </w:r>
    </w:p>
    <w:p w14:paraId="081C1A1F">
      <w:pPr>
        <w:pStyle w:val="146"/>
        <w:spacing w:line="400" w:lineRule="atLeast"/>
        <w:ind w:firstLine="360"/>
        <w:rPr>
          <w:sz w:val="18"/>
          <w:szCs w:val="18"/>
        </w:rPr>
      </w:pPr>
      <w:r>
        <w:rPr>
          <w:rFonts w:hint="eastAsia"/>
          <w:sz w:val="18"/>
          <w:szCs w:val="18"/>
        </w:rPr>
        <w:t>注：本文件聚焦物流场景相关碳排放，暂不包含甲烷、氧化亚氮等其他温室气体。</w:t>
      </w:r>
    </w:p>
    <w:p w14:paraId="3922D920">
      <w:pPr>
        <w:pStyle w:val="46"/>
        <w:numPr>
          <w:ilvl w:val="0"/>
          <w:numId w:val="0"/>
        </w:numPr>
        <w:outlineLvl w:val="1"/>
      </w:pPr>
      <w:r>
        <w:rPr>
          <w:rFonts w:hint="eastAsia"/>
        </w:rPr>
        <w:t>3.4</w:t>
      </w:r>
    </w:p>
    <w:p w14:paraId="08F06D81">
      <w:pPr>
        <w:pStyle w:val="146"/>
        <w:spacing w:line="400" w:lineRule="exact"/>
        <w:ind w:firstLine="420"/>
        <w:rPr>
          <w:rFonts w:ascii="Times New Roman" w:eastAsia="黑体"/>
        </w:rPr>
      </w:pPr>
      <w:r>
        <w:rPr>
          <w:rFonts w:hint="eastAsia" w:ascii="Times New Roman" w:eastAsia="黑体"/>
        </w:rPr>
        <w:t xml:space="preserve">核算边界  </w:t>
      </w:r>
      <w:r>
        <w:rPr>
          <w:rFonts w:ascii="Times New Roman" w:eastAsia="黑体"/>
        </w:rPr>
        <w:t>accounting boundary</w:t>
      </w:r>
    </w:p>
    <w:p w14:paraId="25C135C8">
      <w:r>
        <w:rPr>
          <w:rFonts w:hint="eastAsia"/>
        </w:rPr>
        <w:t>与物流园区物理边界内的生产经营活动相关的碳排放的范围。包括园区内固定和移动排放源，不涵盖非园区及园区内企业所属的外来移动排放源，如社会车辆。</w:t>
      </w:r>
    </w:p>
    <w:p w14:paraId="2C0F64D9">
      <w:pPr>
        <w:pStyle w:val="46"/>
      </w:pPr>
      <w:bookmarkStart w:id="27" w:name="_Toc18434"/>
      <w:r>
        <w:rPr>
          <w:rFonts w:hint="eastAsia"/>
        </w:rPr>
        <w:t>基本要求</w:t>
      </w:r>
      <w:bookmarkEnd w:id="27"/>
    </w:p>
    <w:p w14:paraId="47160D35">
      <w:pPr>
        <w:pStyle w:val="24"/>
        <w:ind w:firstLine="0" w:firstLineChars="0"/>
      </w:pPr>
      <w:r>
        <w:rPr>
          <w:rFonts w:ascii="黑体" w:hAnsi="黑体" w:eastAsia="黑体" w:cs="黑体"/>
        </w:rPr>
        <w:t>4.1</w:t>
      </w:r>
      <w:r>
        <w:rPr>
          <w:rFonts w:hint="eastAsia" w:ascii="黑体" w:hAnsi="黑体" w:eastAsia="黑体" w:cs="黑体"/>
        </w:rPr>
        <w:t xml:space="preserve"> </w:t>
      </w:r>
      <w:r>
        <w:rPr>
          <w:rFonts w:hint="eastAsia"/>
        </w:rPr>
        <w:t>应符合国家和北京市绿色、循环和低碳相关法律法规、政策与标准的规定。</w:t>
      </w:r>
    </w:p>
    <w:p w14:paraId="1D01EEC1">
      <w:pPr>
        <w:pStyle w:val="24"/>
        <w:ind w:firstLine="0" w:firstLineChars="0"/>
      </w:pPr>
      <w:r>
        <w:rPr>
          <w:rFonts w:hint="eastAsia" w:ascii="黑体" w:hAnsi="黑体" w:eastAsia="黑体" w:cs="黑体"/>
        </w:rPr>
        <w:t xml:space="preserve">4.2 </w:t>
      </w:r>
      <w:r>
        <w:rPr>
          <w:rFonts w:hint="eastAsia"/>
        </w:rPr>
        <w:t>近三年未发生重大安全、环境及生产事故，或其它违法事件。</w:t>
      </w:r>
    </w:p>
    <w:p w14:paraId="521D3BCA">
      <w:pPr>
        <w:pStyle w:val="24"/>
        <w:ind w:firstLine="0" w:firstLineChars="0"/>
      </w:pPr>
      <w:r>
        <w:rPr>
          <w:rFonts w:hint="eastAsia" w:ascii="黑体" w:hAnsi="黑体" w:eastAsia="黑体" w:cs="黑体"/>
        </w:rPr>
        <w:t>4.3</w:t>
      </w:r>
      <w:r>
        <w:rPr>
          <w:rFonts w:hint="eastAsia"/>
        </w:rPr>
        <w:t xml:space="preserve"> 园区环境质量应达到国家或北京市规定的环境功能区环境质量标准，园区内企业污染物排放达到相应标准要求。</w:t>
      </w:r>
    </w:p>
    <w:p w14:paraId="310EADD2">
      <w:pPr>
        <w:pStyle w:val="24"/>
        <w:ind w:firstLine="0" w:firstLineChars="0"/>
      </w:pPr>
      <w:r>
        <w:rPr>
          <w:rFonts w:hint="eastAsia" w:ascii="黑体" w:hAnsi="黑体" w:eastAsia="黑体" w:cs="黑体"/>
        </w:rPr>
        <w:t>4.4</w:t>
      </w:r>
      <w:r>
        <w:rPr>
          <w:rFonts w:hint="eastAsia"/>
        </w:rPr>
        <w:t xml:space="preserve"> 基础设施完善高效，符合安全生产、环保和消防要求。</w:t>
      </w:r>
    </w:p>
    <w:p w14:paraId="09066D2A">
      <w:pPr>
        <w:pStyle w:val="24"/>
        <w:ind w:firstLine="0" w:firstLineChars="0"/>
      </w:pPr>
      <w:r>
        <w:rPr>
          <w:rFonts w:hint="eastAsia" w:ascii="黑体" w:hAnsi="黑体" w:eastAsia="黑体" w:cs="黑体"/>
        </w:rPr>
        <w:t>4.5</w:t>
      </w:r>
      <w:r>
        <w:rPr>
          <w:rFonts w:hint="eastAsia"/>
        </w:rPr>
        <w:t xml:space="preserve"> 园区企业应未使用列入淘汰目录的落后生产技术、工艺和设备。</w:t>
      </w:r>
    </w:p>
    <w:p w14:paraId="5CF061F9">
      <w:pPr>
        <w:pStyle w:val="24"/>
        <w:ind w:firstLine="0" w:firstLineChars="0"/>
      </w:pPr>
      <w:r>
        <w:rPr>
          <w:rFonts w:hint="eastAsia" w:ascii="黑体" w:hAnsi="黑体" w:eastAsia="黑体" w:cs="黑体"/>
        </w:rPr>
        <w:t>4.6</w:t>
      </w:r>
      <w:r>
        <w:rPr>
          <w:rFonts w:hint="eastAsia"/>
        </w:rPr>
        <w:t xml:space="preserve"> 宜建立履行低碳智慧发展工作职责的专门机构、配备至少1名以上专职工作人员。</w:t>
      </w:r>
    </w:p>
    <w:p w14:paraId="7988A40D">
      <w:pPr>
        <w:pStyle w:val="24"/>
        <w:ind w:firstLine="0" w:firstLineChars="0"/>
      </w:pPr>
      <w:r>
        <w:rPr>
          <w:rFonts w:hint="eastAsia" w:ascii="黑体" w:hAnsi="黑体" w:eastAsia="黑体" w:cs="黑体"/>
        </w:rPr>
        <w:t>4.7</w:t>
      </w:r>
      <w:r>
        <w:rPr>
          <w:rFonts w:hint="eastAsia"/>
        </w:rPr>
        <w:t xml:space="preserve"> 宜建立并运行环境管理体系和能源管理体系，同时应建立园区智慧化管理平台。</w:t>
      </w:r>
    </w:p>
    <w:p w14:paraId="15630C60">
      <w:pPr>
        <w:pStyle w:val="24"/>
        <w:ind w:firstLine="0" w:firstLineChars="0"/>
      </w:pPr>
      <w:r>
        <w:rPr>
          <w:rFonts w:hint="eastAsia" w:ascii="黑体" w:hAnsi="黑体" w:eastAsia="黑体" w:cs="黑体"/>
        </w:rPr>
        <w:t>4.8</w:t>
      </w:r>
      <w:r>
        <w:rPr>
          <w:rFonts w:hint="eastAsia"/>
        </w:rPr>
        <w:t xml:space="preserve"> 应按GB/T 30334的要求提供相应服务。</w:t>
      </w:r>
    </w:p>
    <w:p w14:paraId="6F75F953">
      <w:pPr>
        <w:pStyle w:val="46"/>
        <w:numPr>
          <w:ilvl w:val="0"/>
          <w:numId w:val="20"/>
        </w:numPr>
      </w:pPr>
      <w:bookmarkStart w:id="28" w:name="_Toc179840598"/>
      <w:bookmarkStart w:id="29" w:name="_Toc32131"/>
      <w:r>
        <w:rPr>
          <w:rFonts w:hint="eastAsia"/>
        </w:rPr>
        <w:t>园区规划</w:t>
      </w:r>
      <w:bookmarkEnd w:id="28"/>
      <w:bookmarkEnd w:id="29"/>
    </w:p>
    <w:p w14:paraId="1CE3AC04">
      <w:pPr>
        <w:pStyle w:val="145"/>
        <w:numPr>
          <w:ilvl w:val="0"/>
          <w:numId w:val="0"/>
        </w:numPr>
        <w:spacing w:before="0" w:beforeLines="0" w:after="0" w:afterLines="0"/>
        <w:outlineLvl w:val="9"/>
        <w:rPr>
          <w:rFonts w:ascii="宋体" w:hAnsi="宋体" w:eastAsia="宋体"/>
        </w:rPr>
      </w:pPr>
      <w:r>
        <w:rPr>
          <w:rFonts w:hint="eastAsia" w:hAnsi="黑体"/>
        </w:rPr>
        <w:t xml:space="preserve">5.1 </w:t>
      </w:r>
      <w:r>
        <w:rPr>
          <w:rFonts w:hint="eastAsia" w:ascii="宋体" w:hAnsi="宋体" w:eastAsia="宋体"/>
        </w:rPr>
        <w:t>应遵循GB/T 21334的规定。</w:t>
      </w:r>
    </w:p>
    <w:p w14:paraId="654AD571">
      <w:pPr>
        <w:pStyle w:val="145"/>
        <w:numPr>
          <w:ilvl w:val="0"/>
          <w:numId w:val="0"/>
        </w:numPr>
        <w:spacing w:before="0" w:beforeLines="0" w:after="0" w:afterLines="0"/>
        <w:outlineLvl w:val="9"/>
        <w:rPr>
          <w:rFonts w:ascii="宋体" w:hAnsi="宋体" w:eastAsia="宋体"/>
        </w:rPr>
      </w:pPr>
      <w:r>
        <w:rPr>
          <w:rFonts w:hint="eastAsia" w:hAnsi="黑体"/>
        </w:rPr>
        <w:t xml:space="preserve">5.2 </w:t>
      </w:r>
      <w:r>
        <w:rPr>
          <w:rFonts w:hint="eastAsia" w:ascii="宋体" w:hAnsi="宋体" w:eastAsia="宋体"/>
        </w:rPr>
        <w:t>应结合《北京物流专项规划》及政策要求，将低碳与智慧化技术融入园区规划阶段。</w:t>
      </w:r>
    </w:p>
    <w:p w14:paraId="02EB2E8A">
      <w:pPr>
        <w:pStyle w:val="145"/>
        <w:numPr>
          <w:ilvl w:val="0"/>
          <w:numId w:val="0"/>
        </w:numPr>
        <w:spacing w:before="0" w:beforeLines="0" w:after="0" w:afterLines="0"/>
        <w:outlineLvl w:val="9"/>
        <w:rPr>
          <w:rFonts w:ascii="宋体" w:hAnsi="宋体" w:eastAsia="宋体"/>
        </w:rPr>
      </w:pPr>
      <w:r>
        <w:rPr>
          <w:rFonts w:hint="eastAsia" w:hAnsi="黑体"/>
        </w:rPr>
        <w:t xml:space="preserve">5.3 </w:t>
      </w:r>
      <w:r>
        <w:rPr>
          <w:rFonts w:hint="eastAsia" w:ascii="宋体" w:hAnsi="宋体" w:eastAsia="宋体"/>
        </w:rPr>
        <w:t>应统筹新能源与可再生能源利用，结合园区物流作业负荷特性进行规划。</w:t>
      </w:r>
    </w:p>
    <w:p w14:paraId="6B02B36D">
      <w:pPr>
        <w:pStyle w:val="155"/>
        <w:ind w:firstLine="0" w:firstLineChars="0"/>
        <w:rPr>
          <w:szCs w:val="21"/>
        </w:rPr>
      </w:pPr>
      <w:r>
        <w:rPr>
          <w:rFonts w:hint="eastAsia" w:ascii="黑体" w:hAnsi="黑体" w:eastAsia="黑体"/>
          <w:kern w:val="0"/>
          <w:szCs w:val="20"/>
        </w:rPr>
        <w:t>5.4</w:t>
      </w:r>
      <w:r>
        <w:rPr>
          <w:rFonts w:hint="eastAsia" w:ascii="宋体" w:hAnsi="宋体"/>
          <w:kern w:val="0"/>
          <w:szCs w:val="20"/>
        </w:rPr>
        <w:t xml:space="preserve"> </w:t>
      </w:r>
      <w:r>
        <w:rPr>
          <w:rFonts w:hint="eastAsia"/>
        </w:rPr>
        <w:t>应制定双碳目标规划实施方案，建立温室气体减排推进计划。</w:t>
      </w:r>
    </w:p>
    <w:p w14:paraId="1365197C">
      <w:pPr>
        <w:pStyle w:val="46"/>
      </w:pPr>
      <w:bookmarkStart w:id="30" w:name="_Toc9780"/>
      <w:r>
        <w:rPr>
          <w:rFonts w:hint="eastAsia"/>
        </w:rPr>
        <w:t>园区建设</w:t>
      </w:r>
      <w:bookmarkEnd w:id="30"/>
    </w:p>
    <w:p w14:paraId="288F6A1D">
      <w:pPr>
        <w:pStyle w:val="43"/>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能源资源供应</w:t>
      </w:r>
    </w:p>
    <w:p w14:paraId="23FDB93E">
      <w:pPr>
        <w:pStyle w:val="47"/>
      </w:pPr>
      <w:r>
        <w:rPr>
          <w:rFonts w:hint="eastAsia"/>
        </w:rPr>
        <w:t>能源消费结构优化</w:t>
      </w:r>
    </w:p>
    <w:p w14:paraId="68025DB7">
      <w:pPr>
        <w:pStyle w:val="145"/>
        <w:numPr>
          <w:ilvl w:val="0"/>
          <w:numId w:val="0"/>
        </w:numPr>
        <w:spacing w:before="0" w:beforeLines="0" w:after="0" w:afterLines="0"/>
        <w:outlineLvl w:val="9"/>
        <w:rPr>
          <w:rFonts w:ascii="宋体" w:hAnsi="宋体" w:eastAsia="宋体"/>
        </w:rPr>
      </w:pPr>
      <w:r>
        <w:rPr>
          <w:rFonts w:hint="eastAsia" w:hAnsi="黑体"/>
        </w:rPr>
        <w:t>6.1.1.1</w:t>
      </w:r>
      <w:r>
        <w:rPr>
          <w:rFonts w:hint="eastAsia" w:ascii="宋体" w:hAnsi="宋体" w:eastAsia="宋体"/>
        </w:rPr>
        <w:t>结合园区能源消耗总量情况，考虑物流园区及所在区域资源禀赋，开发利用太阳能、地热能等非化石能源。</w:t>
      </w:r>
    </w:p>
    <w:p w14:paraId="6C2E6BEA">
      <w:pPr>
        <w:pStyle w:val="145"/>
        <w:numPr>
          <w:ilvl w:val="0"/>
          <w:numId w:val="0"/>
        </w:numPr>
        <w:spacing w:before="0" w:beforeLines="0" w:after="0" w:afterLines="0"/>
        <w:outlineLvl w:val="9"/>
        <w:rPr>
          <w:rFonts w:ascii="宋体" w:hAnsi="宋体" w:eastAsia="宋体"/>
        </w:rPr>
      </w:pPr>
      <w:r>
        <w:rPr>
          <w:rFonts w:hint="eastAsia" w:hAnsi="黑体"/>
        </w:rPr>
        <w:t>6.1.1.2</w:t>
      </w:r>
      <w:r>
        <w:rPr>
          <w:rFonts w:hint="eastAsia" w:ascii="宋体" w:hAnsi="宋体" w:eastAsia="宋体"/>
        </w:rPr>
        <w:t>识别园区内企业余能资源，实现能源梯级利用。</w:t>
      </w:r>
    </w:p>
    <w:p w14:paraId="467B835B">
      <w:pPr>
        <w:pStyle w:val="145"/>
        <w:numPr>
          <w:ilvl w:val="0"/>
          <w:numId w:val="0"/>
        </w:numPr>
        <w:spacing w:before="0" w:beforeLines="0" w:after="0" w:afterLines="0"/>
        <w:outlineLvl w:val="9"/>
        <w:rPr>
          <w:rFonts w:ascii="宋体" w:hAnsi="宋体" w:eastAsia="宋体"/>
        </w:rPr>
      </w:pPr>
      <w:r>
        <w:rPr>
          <w:rFonts w:hint="eastAsia" w:hAnsi="黑体"/>
        </w:rPr>
        <w:t>6.1.1.3</w:t>
      </w:r>
      <w:r>
        <w:rPr>
          <w:rFonts w:hint="eastAsia" w:ascii="宋体" w:hAnsi="宋体" w:eastAsia="宋体"/>
        </w:rPr>
        <w:t>构建用水重复利用和中水回用设施，实施水资源梯级利用和废水集中处理回用，同步建设雨水收集系统及独立雨污分流管网，形成“生产－处理－回用”的闭环水资源管理。</w:t>
      </w:r>
    </w:p>
    <w:p w14:paraId="0BA069CF">
      <w:pPr>
        <w:pStyle w:val="145"/>
        <w:numPr>
          <w:ilvl w:val="0"/>
          <w:numId w:val="0"/>
        </w:numPr>
        <w:spacing w:before="0" w:beforeLines="0" w:after="0" w:afterLines="0"/>
        <w:outlineLvl w:val="9"/>
        <w:rPr>
          <w:rFonts w:ascii="宋体" w:hAnsi="宋体" w:eastAsia="宋体"/>
        </w:rPr>
      </w:pPr>
      <w:r>
        <w:rPr>
          <w:rFonts w:hint="eastAsia" w:hAnsi="黑体"/>
        </w:rPr>
        <w:t>6.1.1.4</w:t>
      </w:r>
      <w:r>
        <w:rPr>
          <w:rFonts w:hint="eastAsia" w:ascii="宋体" w:hAnsi="宋体" w:eastAsia="宋体"/>
        </w:rPr>
        <w:t>卫生用水设备满足国家1级及以上水效标准。</w:t>
      </w:r>
    </w:p>
    <w:p w14:paraId="1B8D3DA8">
      <w:pPr>
        <w:pStyle w:val="145"/>
        <w:numPr>
          <w:ilvl w:val="0"/>
          <w:numId w:val="0"/>
        </w:numPr>
        <w:spacing w:before="0" w:beforeLines="0" w:after="0" w:afterLines="0"/>
        <w:outlineLvl w:val="9"/>
        <w:rPr>
          <w:rFonts w:ascii="宋体" w:hAnsi="宋体" w:eastAsia="宋体"/>
        </w:rPr>
      </w:pPr>
      <w:r>
        <w:rPr>
          <w:rFonts w:hint="eastAsia" w:hAnsi="黑体"/>
        </w:rPr>
        <w:t>6.1.1.5</w:t>
      </w:r>
      <w:r>
        <w:rPr>
          <w:rFonts w:hint="eastAsia" w:ascii="宋体" w:hAnsi="宋体" w:eastAsia="宋体"/>
        </w:rPr>
        <w:t>园区绿化灌溉宜采用滴灌、喷灌结合模式。</w:t>
      </w:r>
    </w:p>
    <w:p w14:paraId="14AE6090">
      <w:pPr>
        <w:pStyle w:val="47"/>
      </w:pPr>
      <w:r>
        <w:rPr>
          <w:rFonts w:hint="eastAsia"/>
        </w:rPr>
        <w:t>园区电网建设</w:t>
      </w:r>
    </w:p>
    <w:p w14:paraId="2576D321">
      <w:pPr>
        <w:pStyle w:val="145"/>
        <w:numPr>
          <w:ilvl w:val="0"/>
          <w:numId w:val="0"/>
        </w:numPr>
        <w:spacing w:before="0" w:beforeLines="0" w:after="0" w:afterLines="0"/>
        <w:outlineLvl w:val="9"/>
        <w:rPr>
          <w:rFonts w:ascii="宋体" w:hAnsi="宋体" w:eastAsia="宋体"/>
        </w:rPr>
      </w:pPr>
      <w:r>
        <w:rPr>
          <w:rFonts w:hint="eastAsia" w:hAnsi="黑体"/>
        </w:rPr>
        <w:t>6.1.2.1</w:t>
      </w:r>
      <w:r>
        <w:rPr>
          <w:rFonts w:hint="eastAsia" w:ascii="宋体" w:hAnsi="宋体" w:eastAsia="宋体"/>
        </w:rPr>
        <w:t>优先保障智能分拣机、冷链冷库等关键物流设备供电，实现负荷削峰填谷。</w:t>
      </w:r>
    </w:p>
    <w:p w14:paraId="5A8E52E8">
      <w:pPr>
        <w:pStyle w:val="145"/>
        <w:numPr>
          <w:ilvl w:val="0"/>
          <w:numId w:val="0"/>
        </w:numPr>
        <w:spacing w:before="0" w:beforeLines="0" w:after="0" w:afterLines="0"/>
        <w:outlineLvl w:val="9"/>
        <w:rPr>
          <w:rFonts w:ascii="宋体" w:hAnsi="宋体" w:eastAsia="宋体"/>
        </w:rPr>
      </w:pPr>
      <w:r>
        <w:rPr>
          <w:rFonts w:hint="eastAsia" w:hAnsi="黑体"/>
        </w:rPr>
        <w:t>6.1.2.2</w:t>
      </w:r>
      <w:r>
        <w:rPr>
          <w:rFonts w:hint="eastAsia" w:ascii="宋体" w:hAnsi="宋体" w:eastAsia="宋体"/>
        </w:rPr>
        <w:t>合理利用所在区域及周边已建与规划建设新能源项目及区域电网资源，有效降低园区电力碳排放因子。</w:t>
      </w:r>
    </w:p>
    <w:p w14:paraId="210F8349">
      <w:pPr>
        <w:pStyle w:val="145"/>
        <w:numPr>
          <w:ilvl w:val="0"/>
          <w:numId w:val="0"/>
        </w:numPr>
        <w:spacing w:before="0" w:beforeLines="0" w:after="0" w:afterLines="0"/>
        <w:outlineLvl w:val="9"/>
        <w:rPr>
          <w:rFonts w:ascii="宋体" w:hAnsi="宋体" w:eastAsia="宋体"/>
        </w:rPr>
      </w:pPr>
      <w:r>
        <w:rPr>
          <w:rFonts w:hint="eastAsia" w:hAnsi="黑体"/>
        </w:rPr>
        <w:t>6.1.2.3</w:t>
      </w:r>
      <w:r>
        <w:rPr>
          <w:rFonts w:hint="eastAsia" w:ascii="宋体" w:hAnsi="宋体" w:eastAsia="宋体"/>
        </w:rPr>
        <w:t>建立主网、配网、微电网分级控制机制，当物流作业负荷突增，自动切换至主网补充供电，避免断网影响物流运转。</w:t>
      </w:r>
    </w:p>
    <w:p w14:paraId="66286384">
      <w:pPr>
        <w:pStyle w:val="145"/>
        <w:numPr>
          <w:ilvl w:val="0"/>
          <w:numId w:val="0"/>
        </w:numPr>
        <w:spacing w:before="0" w:beforeLines="0" w:after="0" w:afterLines="0"/>
        <w:outlineLvl w:val="9"/>
        <w:rPr>
          <w:rFonts w:ascii="宋体" w:hAnsi="宋体" w:eastAsia="宋体"/>
        </w:rPr>
      </w:pPr>
      <w:r>
        <w:rPr>
          <w:rFonts w:hint="eastAsia" w:hAnsi="黑体"/>
        </w:rPr>
        <w:t>6.1.2.4</w:t>
      </w:r>
      <w:r>
        <w:rPr>
          <w:rFonts w:hint="eastAsia" w:ascii="宋体" w:hAnsi="宋体" w:eastAsia="宋体"/>
        </w:rPr>
        <w:t>建议配备智能电表，同时对园区内各企业仓库照明实施分时分区控制。</w:t>
      </w:r>
    </w:p>
    <w:p w14:paraId="6B2C4003">
      <w:pPr>
        <w:pStyle w:val="47"/>
      </w:pPr>
      <w:r>
        <w:rPr>
          <w:rFonts w:hint="eastAsia"/>
        </w:rPr>
        <w:t>绿电消费占比</w:t>
      </w:r>
    </w:p>
    <w:p w14:paraId="29691532">
      <w:pPr>
        <w:pStyle w:val="145"/>
        <w:numPr>
          <w:ilvl w:val="0"/>
          <w:numId w:val="0"/>
        </w:numPr>
        <w:spacing w:before="0" w:beforeLines="0" w:after="0" w:afterLines="0"/>
        <w:outlineLvl w:val="9"/>
      </w:pPr>
      <w:r>
        <w:rPr>
          <w:rFonts w:hint="eastAsia"/>
        </w:rPr>
        <w:t>6.1.3.1</w:t>
      </w:r>
      <w:r>
        <w:rPr>
          <w:rFonts w:hint="eastAsia" w:ascii="宋体" w:hAnsi="宋体" w:eastAsia="宋体"/>
        </w:rPr>
        <w:t>因地制宜建设屋顶分布式光伏发电系统，具体指标要求及计算方法详见附录A。</w:t>
      </w:r>
    </w:p>
    <w:p w14:paraId="6D4A7809">
      <w:pPr>
        <w:pStyle w:val="145"/>
        <w:numPr>
          <w:ilvl w:val="0"/>
          <w:numId w:val="0"/>
        </w:numPr>
        <w:spacing w:before="0" w:beforeLines="0" w:after="0" w:afterLines="0"/>
        <w:outlineLvl w:val="9"/>
        <w:rPr>
          <w:rFonts w:ascii="宋体" w:hAnsi="宋体" w:eastAsia="宋体"/>
        </w:rPr>
      </w:pPr>
      <w:r>
        <w:rPr>
          <w:rFonts w:hint="eastAsia" w:hAnsi="黑体"/>
        </w:rPr>
        <w:t>6.1.3.2</w:t>
      </w:r>
      <w:r>
        <w:rPr>
          <w:rFonts w:hint="eastAsia" w:ascii="宋体" w:hAnsi="宋体" w:eastAsia="宋体"/>
        </w:rPr>
        <w:t>鼓励高比例消纳自发绿电。</w:t>
      </w:r>
    </w:p>
    <w:p w14:paraId="5CEBD97E">
      <w:pPr>
        <w:pStyle w:val="145"/>
        <w:numPr>
          <w:ilvl w:val="0"/>
          <w:numId w:val="0"/>
        </w:numPr>
        <w:spacing w:before="0" w:beforeLines="0" w:after="0" w:afterLines="0"/>
        <w:outlineLvl w:val="9"/>
        <w:rPr>
          <w:rFonts w:ascii="宋体" w:hAnsi="宋体" w:eastAsia="宋体"/>
        </w:rPr>
      </w:pPr>
      <w:r>
        <w:rPr>
          <w:rFonts w:hint="eastAsia" w:hAnsi="黑体"/>
        </w:rPr>
        <w:t>6.1.3.3</w:t>
      </w:r>
      <w:r>
        <w:rPr>
          <w:rFonts w:hint="eastAsia" w:ascii="宋体" w:hAnsi="宋体" w:eastAsia="宋体"/>
        </w:rPr>
        <w:t>建议园区或企业外购绿电进行消费，优先用于冷链仓储、智能物流装备等高耗能环节。</w:t>
      </w:r>
    </w:p>
    <w:p w14:paraId="5F03AA16">
      <w:pPr>
        <w:pStyle w:val="43"/>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基础设施</w:t>
      </w:r>
    </w:p>
    <w:p w14:paraId="2AA0FCBD">
      <w:pPr>
        <w:pStyle w:val="47"/>
      </w:pPr>
      <w:r>
        <w:rPr>
          <w:rFonts w:hint="eastAsia"/>
        </w:rPr>
        <w:t>建筑</w:t>
      </w:r>
    </w:p>
    <w:p w14:paraId="68FB3B9B">
      <w:pPr>
        <w:pStyle w:val="145"/>
        <w:numPr>
          <w:ilvl w:val="0"/>
          <w:numId w:val="0"/>
        </w:numPr>
        <w:spacing w:before="0" w:beforeLines="0" w:after="0" w:afterLines="0"/>
        <w:outlineLvl w:val="9"/>
        <w:rPr>
          <w:rFonts w:ascii="宋体" w:hAnsi="宋体" w:eastAsia="宋体"/>
        </w:rPr>
      </w:pPr>
      <w:r>
        <w:rPr>
          <w:rFonts w:hint="eastAsia" w:hAnsi="黑体"/>
        </w:rPr>
        <w:t>6.2.1.1</w:t>
      </w:r>
      <w:r>
        <w:rPr>
          <w:rFonts w:hint="eastAsia" w:ascii="宋体" w:hAnsi="宋体" w:eastAsia="宋体"/>
        </w:rPr>
        <w:t>新建仓储建筑宜满足SB/T 11164-2016一级（二星）及以上标准。</w:t>
      </w:r>
    </w:p>
    <w:p w14:paraId="0DCBEC19">
      <w:pPr>
        <w:pStyle w:val="145"/>
        <w:numPr>
          <w:ilvl w:val="0"/>
          <w:numId w:val="0"/>
        </w:numPr>
        <w:spacing w:before="0" w:beforeLines="0" w:after="0" w:afterLines="0"/>
        <w:outlineLvl w:val="9"/>
        <w:rPr>
          <w:rFonts w:ascii="宋体" w:hAnsi="宋体" w:eastAsia="宋体"/>
        </w:rPr>
      </w:pPr>
      <w:r>
        <w:rPr>
          <w:rFonts w:hint="eastAsia" w:hAnsi="黑体"/>
        </w:rPr>
        <w:t>6.2.1.2</w:t>
      </w:r>
      <w:r>
        <w:rPr>
          <w:rFonts w:hint="eastAsia" w:ascii="宋体" w:hAnsi="宋体" w:eastAsia="宋体"/>
        </w:rPr>
        <w:t>改扩建仓储建筑，宜按GB 55015实施节能改造，重点提升仓储屋顶保温性能，减少冷链冷量损失。</w:t>
      </w:r>
    </w:p>
    <w:p w14:paraId="632D2723">
      <w:pPr>
        <w:pStyle w:val="145"/>
        <w:numPr>
          <w:ilvl w:val="0"/>
          <w:numId w:val="0"/>
        </w:numPr>
        <w:spacing w:before="0" w:beforeLines="0" w:after="0" w:afterLines="0"/>
        <w:outlineLvl w:val="9"/>
        <w:rPr>
          <w:rFonts w:ascii="宋体" w:hAnsi="宋体" w:eastAsia="宋体"/>
        </w:rPr>
      </w:pPr>
      <w:r>
        <w:rPr>
          <w:rFonts w:hint="eastAsia" w:hAnsi="黑体"/>
        </w:rPr>
        <w:t>6.2.1.3</w:t>
      </w:r>
      <w:r>
        <w:rPr>
          <w:rFonts w:hint="eastAsia" w:ascii="宋体" w:hAnsi="宋体" w:eastAsia="宋体"/>
        </w:rPr>
        <w:t>优先选用可循环建材及绿色建材，如可拆卸钢结构、耐磨抗压的仓储地面材料等。</w:t>
      </w:r>
    </w:p>
    <w:p w14:paraId="5643626C">
      <w:pPr>
        <w:pStyle w:val="47"/>
      </w:pPr>
      <w:r>
        <w:rPr>
          <w:rFonts w:hint="eastAsia"/>
        </w:rPr>
        <w:t>道路</w:t>
      </w:r>
    </w:p>
    <w:p w14:paraId="5FC8D851">
      <w:pPr>
        <w:pStyle w:val="145"/>
        <w:numPr>
          <w:ilvl w:val="0"/>
          <w:numId w:val="0"/>
        </w:numPr>
        <w:spacing w:before="0" w:beforeLines="0" w:after="0" w:afterLines="0"/>
        <w:outlineLvl w:val="9"/>
        <w:rPr>
          <w:rFonts w:ascii="宋体" w:hAnsi="宋体" w:eastAsia="宋体"/>
        </w:rPr>
      </w:pPr>
      <w:r>
        <w:rPr>
          <w:rFonts w:hint="eastAsia" w:hAnsi="黑体"/>
        </w:rPr>
        <w:t>6.2.2.1</w:t>
      </w:r>
      <w:r>
        <w:rPr>
          <w:rFonts w:hint="eastAsia" w:ascii="宋体" w:hAnsi="宋体" w:eastAsia="宋体"/>
        </w:rPr>
        <w:t>园区应优化园区内运输线路组织，减少物流车辆在园区内空驶绕行。</w:t>
      </w:r>
    </w:p>
    <w:p w14:paraId="371F90FD">
      <w:pPr>
        <w:pStyle w:val="145"/>
        <w:numPr>
          <w:ilvl w:val="0"/>
          <w:numId w:val="0"/>
        </w:numPr>
        <w:spacing w:before="0" w:beforeLines="0" w:after="0" w:afterLines="0"/>
        <w:outlineLvl w:val="9"/>
        <w:rPr>
          <w:rFonts w:ascii="宋体" w:hAnsi="宋体" w:eastAsia="宋体"/>
        </w:rPr>
      </w:pPr>
      <w:r>
        <w:rPr>
          <w:rFonts w:hint="eastAsia" w:hAnsi="黑体"/>
        </w:rPr>
        <w:t>6.2.2.2</w:t>
      </w:r>
      <w:r>
        <w:rPr>
          <w:rFonts w:hint="eastAsia" w:ascii="宋体" w:hAnsi="宋体" w:eastAsia="宋体"/>
        </w:rPr>
        <w:t>应改善园区空间布局与运输线路，实现人车分离。</w:t>
      </w:r>
    </w:p>
    <w:p w14:paraId="0A9BDED0">
      <w:pPr>
        <w:pStyle w:val="145"/>
        <w:numPr>
          <w:ilvl w:val="0"/>
          <w:numId w:val="0"/>
        </w:numPr>
        <w:spacing w:before="0" w:beforeLines="0" w:after="0" w:afterLines="0"/>
        <w:outlineLvl w:val="9"/>
        <w:rPr>
          <w:rFonts w:ascii="宋体" w:hAnsi="宋体" w:eastAsia="宋体"/>
        </w:rPr>
      </w:pPr>
      <w:r>
        <w:rPr>
          <w:rFonts w:hint="eastAsia" w:hAnsi="黑体"/>
        </w:rPr>
        <w:t>6.2.2.3</w:t>
      </w:r>
      <w:r>
        <w:rPr>
          <w:rFonts w:hint="eastAsia" w:ascii="宋体" w:hAnsi="宋体" w:eastAsia="宋体"/>
        </w:rPr>
        <w:t>应合理配建机动车、非机动车停车设施，停车位建设数量满足北京市配建指标要求。</w:t>
      </w:r>
    </w:p>
    <w:p w14:paraId="5AAD0563">
      <w:pPr>
        <w:pStyle w:val="47"/>
      </w:pPr>
      <w:r>
        <w:rPr>
          <w:rFonts w:hint="eastAsia"/>
        </w:rPr>
        <w:t>园区充电设施</w:t>
      </w:r>
    </w:p>
    <w:p w14:paraId="39709400">
      <w:pPr>
        <w:pStyle w:val="145"/>
        <w:numPr>
          <w:ilvl w:val="0"/>
          <w:numId w:val="0"/>
        </w:numPr>
        <w:spacing w:before="0" w:beforeLines="0" w:after="0" w:afterLines="0"/>
        <w:outlineLvl w:val="9"/>
        <w:rPr>
          <w:rFonts w:ascii="宋体" w:hAnsi="宋体" w:eastAsia="宋体"/>
        </w:rPr>
      </w:pPr>
      <w:r>
        <w:rPr>
          <w:rFonts w:hint="eastAsia" w:hAnsi="黑体"/>
        </w:rPr>
        <w:t>6.2.3.1</w:t>
      </w:r>
      <w:r>
        <w:rPr>
          <w:rFonts w:hint="eastAsia" w:ascii="宋体" w:hAnsi="宋体" w:eastAsia="宋体"/>
        </w:rPr>
        <w:t>园区内应设有充电机动车停车位，且设有快充桩，满足货运车辆快速补能需求。</w:t>
      </w:r>
    </w:p>
    <w:p w14:paraId="1E598062">
      <w:pPr>
        <w:pStyle w:val="145"/>
        <w:numPr>
          <w:ilvl w:val="0"/>
          <w:numId w:val="0"/>
        </w:numPr>
        <w:spacing w:before="0" w:beforeLines="0" w:after="0" w:afterLines="0"/>
        <w:outlineLvl w:val="9"/>
        <w:rPr>
          <w:rFonts w:ascii="宋体" w:hAnsi="宋体" w:eastAsia="宋体"/>
        </w:rPr>
      </w:pPr>
      <w:r>
        <w:rPr>
          <w:rFonts w:hint="eastAsia" w:hAnsi="黑体"/>
        </w:rPr>
        <w:t>6.2.3.2</w:t>
      </w:r>
      <w:r>
        <w:rPr>
          <w:rFonts w:hint="eastAsia" w:ascii="宋体" w:hAnsi="宋体" w:eastAsia="宋体"/>
        </w:rPr>
        <w:t>充电设施与分布式光伏系统联动，优先使用光伏电力充电，降低电网负荷。</w:t>
      </w:r>
    </w:p>
    <w:p w14:paraId="676DE691">
      <w:pPr>
        <w:pStyle w:val="47"/>
      </w:pPr>
      <w:r>
        <w:rPr>
          <w:rFonts w:hint="eastAsia"/>
        </w:rPr>
        <w:t>废弃物管理</w:t>
      </w:r>
    </w:p>
    <w:p w14:paraId="7DAD8854">
      <w:pPr>
        <w:pStyle w:val="145"/>
        <w:numPr>
          <w:ilvl w:val="0"/>
          <w:numId w:val="0"/>
        </w:numPr>
        <w:spacing w:before="0" w:beforeLines="0" w:after="0" w:afterLines="0"/>
        <w:outlineLvl w:val="9"/>
        <w:rPr>
          <w:rFonts w:ascii="宋体" w:hAnsi="宋体" w:eastAsia="宋体"/>
        </w:rPr>
      </w:pPr>
      <w:r>
        <w:rPr>
          <w:rFonts w:hint="eastAsia" w:hAnsi="黑体"/>
        </w:rPr>
        <w:t>6.2.4.1</w:t>
      </w:r>
      <w:r>
        <w:rPr>
          <w:rFonts w:hint="eastAsia" w:ascii="宋体" w:hAnsi="宋体" w:eastAsia="宋体"/>
        </w:rPr>
        <w:t>要求园区内各企业建立再生资源回收台账，重点记录可循环托盘、周转箱的回收数量、修复次数、报废比例，台账保存期不少于3年。</w:t>
      </w:r>
    </w:p>
    <w:p w14:paraId="0DB6D17D">
      <w:pPr>
        <w:pStyle w:val="145"/>
        <w:numPr>
          <w:ilvl w:val="0"/>
          <w:numId w:val="0"/>
        </w:numPr>
        <w:spacing w:before="0" w:beforeLines="0" w:after="0" w:afterLines="0"/>
        <w:outlineLvl w:val="9"/>
        <w:rPr>
          <w:rFonts w:ascii="宋体" w:hAnsi="宋体" w:eastAsia="宋体"/>
        </w:rPr>
      </w:pPr>
      <w:r>
        <w:rPr>
          <w:rFonts w:hint="eastAsia" w:hAnsi="黑体"/>
        </w:rPr>
        <w:t>6.2.4.2</w:t>
      </w:r>
      <w:r>
        <w:rPr>
          <w:rFonts w:hint="eastAsia" w:ascii="宋体" w:hAnsi="宋体" w:eastAsia="宋体"/>
        </w:rPr>
        <w:t>在仓储区、装卸平台周边设置分类投放点，分类类别可包含 “可循环物流包装”“不可回收包装”“危废”等。</w:t>
      </w:r>
    </w:p>
    <w:p w14:paraId="49A87D73">
      <w:pPr>
        <w:pStyle w:val="145"/>
        <w:numPr>
          <w:ilvl w:val="0"/>
          <w:numId w:val="0"/>
        </w:numPr>
        <w:spacing w:before="0" w:beforeLines="0" w:after="0" w:afterLines="0"/>
        <w:outlineLvl w:val="9"/>
        <w:rPr>
          <w:rFonts w:ascii="宋体" w:hAnsi="宋体" w:eastAsia="宋体"/>
        </w:rPr>
      </w:pPr>
      <w:r>
        <w:rPr>
          <w:rFonts w:hint="eastAsia" w:hAnsi="黑体"/>
        </w:rPr>
        <w:t>6.2.4.3</w:t>
      </w:r>
      <w:r>
        <w:rPr>
          <w:rFonts w:hint="eastAsia" w:ascii="宋体" w:hAnsi="宋体" w:eastAsia="宋体"/>
        </w:rPr>
        <w:t>危废储存场所需设置防渗、防漏、防雨淋设施，且远离仓储区与水源地，危废转移需通过危废管理平台备案。</w:t>
      </w:r>
    </w:p>
    <w:p w14:paraId="1A8BF1DB">
      <w:pPr>
        <w:pStyle w:val="145"/>
        <w:numPr>
          <w:ilvl w:val="0"/>
          <w:numId w:val="0"/>
        </w:numPr>
        <w:spacing w:before="0" w:beforeLines="0" w:after="0" w:afterLines="0"/>
        <w:outlineLvl w:val="9"/>
        <w:rPr>
          <w:rFonts w:ascii="宋体" w:hAnsi="宋体" w:eastAsia="宋体"/>
        </w:rPr>
      </w:pPr>
      <w:r>
        <w:rPr>
          <w:rFonts w:hint="eastAsia" w:hAnsi="黑体"/>
        </w:rPr>
        <w:t>6.2.4.4</w:t>
      </w:r>
      <w:r>
        <w:rPr>
          <w:rFonts w:hint="eastAsia" w:ascii="宋体" w:hAnsi="宋体" w:eastAsia="宋体"/>
        </w:rPr>
        <w:t>园区应在智慧化管理平台中嵌入废弃物信息追溯模块，对接入驻企业系统，实现了各企业循环包装预约回收、危废转移在线申报、处理绩效统计等。</w:t>
      </w:r>
    </w:p>
    <w:p w14:paraId="69D178E9">
      <w:pPr>
        <w:pStyle w:val="145"/>
        <w:numPr>
          <w:ilvl w:val="0"/>
          <w:numId w:val="0"/>
        </w:numPr>
        <w:spacing w:before="0" w:beforeLines="0" w:after="0" w:afterLines="0"/>
        <w:outlineLvl w:val="9"/>
        <w:rPr>
          <w:rFonts w:asciiTheme="minorEastAsia" w:hAnsiTheme="minorEastAsia" w:eastAsiaTheme="minorEastAsia"/>
        </w:rPr>
      </w:pPr>
      <w:r>
        <w:rPr>
          <w:rFonts w:hint="eastAsia" w:hAnsi="黑体"/>
        </w:rPr>
        <w:t>6.2.4.5</w:t>
      </w:r>
      <w:r>
        <w:rPr>
          <w:rFonts w:hint="eastAsia" w:asciiTheme="minorEastAsia" w:hAnsiTheme="minorEastAsia" w:eastAsiaTheme="minorEastAsia"/>
        </w:rPr>
        <w:t>园区对废弃物进行集中收集处理，实行生活垃圾分类管理，推动固体废物源头减量与资源化利用。</w:t>
      </w:r>
    </w:p>
    <w:p w14:paraId="24187EA7">
      <w:pPr>
        <w:pStyle w:val="43"/>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用能设备</w:t>
      </w:r>
    </w:p>
    <w:p w14:paraId="5ABF97BF">
      <w:pPr>
        <w:pStyle w:val="47"/>
        <w:rPr>
          <w:rFonts w:ascii="宋体" w:hAnsi="宋体" w:eastAsia="宋体"/>
        </w:rPr>
      </w:pPr>
      <w:r>
        <w:rPr>
          <w:rFonts w:hint="eastAsia" w:ascii="宋体" w:hAnsi="宋体" w:eastAsia="宋体"/>
        </w:rPr>
        <w:t>应制定设备能效标准清单，优先选用国家一级能效或更高标准的用能设备，包括仓储空调、锅炉、照明及动力设备。</w:t>
      </w:r>
    </w:p>
    <w:p w14:paraId="032D5461">
      <w:pPr>
        <w:pStyle w:val="47"/>
        <w:rPr>
          <w:rFonts w:ascii="宋体" w:hAnsi="宋体" w:eastAsia="宋体"/>
        </w:rPr>
      </w:pPr>
      <w:r>
        <w:rPr>
          <w:rFonts w:hint="eastAsia" w:ascii="宋体" w:hAnsi="宋体" w:eastAsia="宋体"/>
        </w:rPr>
        <w:t>公共设备应接入能源管理系统（EMS），实现实时能耗数据采集与自动化调度。</w:t>
      </w:r>
    </w:p>
    <w:p w14:paraId="40152320">
      <w:pPr>
        <w:pStyle w:val="47"/>
        <w:rPr>
          <w:rFonts w:ascii="宋体" w:hAnsi="宋体" w:eastAsia="宋体"/>
        </w:rPr>
      </w:pPr>
      <w:r>
        <w:rPr>
          <w:rFonts w:hint="eastAsia" w:ascii="宋体" w:hAnsi="宋体" w:eastAsia="宋体"/>
        </w:rPr>
        <w:t>中央空调系统采用高效冷水机组、空气源热泵、多联机系统，系统能效比应不低于GB 55015规定的限定值，空压机系统应设置余热回收装置。</w:t>
      </w:r>
    </w:p>
    <w:p w14:paraId="4240F94E">
      <w:pPr>
        <w:pStyle w:val="47"/>
        <w:rPr>
          <w:rFonts w:ascii="宋体" w:hAnsi="宋体" w:eastAsia="宋体"/>
        </w:rPr>
      </w:pPr>
      <w:r>
        <w:rPr>
          <w:rFonts w:hint="eastAsia" w:ascii="宋体" w:hAnsi="宋体" w:eastAsia="宋体"/>
        </w:rPr>
        <w:t>各通用设备、专业设备能效水平均应不低于《重点用能产品设备能效先进水平、节能水平和准入水平（</w:t>
      </w:r>
      <w:r>
        <w:rPr>
          <w:rFonts w:ascii="宋体" w:hAnsi="宋体" w:eastAsia="宋体"/>
        </w:rPr>
        <w:t xml:space="preserve">2024 </w:t>
      </w:r>
      <w:r>
        <w:rPr>
          <w:rFonts w:hint="eastAsia" w:ascii="宋体" w:hAnsi="宋体" w:eastAsia="宋体"/>
        </w:rPr>
        <w:t>年版）》中节能水平值要求，具体设备能效值应不低于各相应设备能效限制值及能效等级标准的2级能效。</w:t>
      </w:r>
    </w:p>
    <w:p w14:paraId="010D81FF">
      <w:pPr>
        <w:pStyle w:val="47"/>
        <w:rPr>
          <w:rFonts w:ascii="宋体" w:hAnsi="宋体" w:eastAsia="宋体"/>
        </w:rPr>
      </w:pPr>
      <w:r>
        <w:rPr>
          <w:rFonts w:hint="eastAsia" w:ascii="宋体" w:hAnsi="宋体" w:eastAsia="宋体"/>
        </w:rPr>
        <w:t>园区主要用能设备应实行用能分类分项计量，</w:t>
      </w:r>
      <w:r>
        <w:rPr>
          <w:rFonts w:hint="eastAsia" w:ascii="宋体" w:hAnsi="宋体" w:eastAsia="宋体"/>
          <w:lang w:bidi="ar"/>
        </w:rPr>
        <w:t>配备经检定合格的能源计量器具，且宜将数据接入园区智慧化管理平台</w:t>
      </w:r>
      <w:r>
        <w:rPr>
          <w:rFonts w:hint="eastAsia" w:ascii="宋体" w:hAnsi="宋体" w:eastAsia="宋体"/>
        </w:rPr>
        <w:t>。</w:t>
      </w:r>
    </w:p>
    <w:p w14:paraId="09A79C4C">
      <w:pPr>
        <w:pStyle w:val="43"/>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智能仓储</w:t>
      </w:r>
    </w:p>
    <w:p w14:paraId="7E23B4C5">
      <w:pPr>
        <w:pStyle w:val="47"/>
        <w:rPr>
          <w:rFonts w:ascii="宋体" w:hAnsi="宋体" w:eastAsia="宋体"/>
          <w:shd w:val="clear" w:color="auto" w:fill="FFFFFF"/>
        </w:rPr>
      </w:pPr>
      <w:r>
        <w:rPr>
          <w:rFonts w:hint="eastAsia" w:ascii="宋体" w:hAnsi="宋体" w:eastAsia="宋体"/>
          <w:shd w:val="clear" w:color="auto" w:fill="FFFFFF"/>
        </w:rPr>
        <w:t>园区应鼓励各企业建立全流程自动化系统，实现货物搬运、分拣、存储全流程无人化。</w:t>
      </w:r>
    </w:p>
    <w:p w14:paraId="3ADAED5E">
      <w:pPr>
        <w:pStyle w:val="47"/>
        <w:rPr>
          <w:rFonts w:ascii="宋体" w:hAnsi="宋体" w:eastAsia="宋体"/>
          <w:shd w:val="clear" w:color="auto" w:fill="FFFFFF"/>
        </w:rPr>
      </w:pPr>
      <w:r>
        <w:rPr>
          <w:rFonts w:hint="eastAsia" w:ascii="宋体" w:hAnsi="宋体" w:eastAsia="宋体"/>
          <w:shd w:val="clear" w:color="auto" w:fill="FFFFFF"/>
        </w:rPr>
        <w:t>企业仓储管理系统需与园区运输管理系统实时对接，通过大数据优化库存周转，减少货物滞留时间。</w:t>
      </w:r>
    </w:p>
    <w:p w14:paraId="7BD0F61A">
      <w:pPr>
        <w:pStyle w:val="47"/>
        <w:rPr>
          <w:rFonts w:ascii="宋体" w:hAnsi="宋体" w:eastAsia="宋体"/>
          <w:shd w:val="clear" w:color="auto" w:fill="FFFFFF"/>
        </w:rPr>
      </w:pPr>
      <w:r>
        <w:rPr>
          <w:rFonts w:hint="eastAsia" w:ascii="宋体" w:hAnsi="宋体" w:eastAsia="宋体"/>
        </w:rPr>
        <w:t>核心仓采用智能</w:t>
      </w:r>
      <w:r>
        <w:rPr>
          <w:rStyle w:val="36"/>
          <w:rFonts w:hint="eastAsia" w:ascii="宋体" w:hAnsi="宋体" w:eastAsia="宋体" w:cs="宋体"/>
          <w:b w:val="0"/>
          <w:bCs w:val="0"/>
        </w:rPr>
        <w:t>电动搬运装备</w:t>
      </w:r>
      <w:r>
        <w:rPr>
          <w:rFonts w:hint="eastAsia" w:ascii="宋体" w:hAnsi="宋体" w:eastAsia="宋体"/>
        </w:rPr>
        <w:t>，实现拣选路径与照明、空调自动化联动。</w:t>
      </w:r>
    </w:p>
    <w:p w14:paraId="1A7E442D">
      <w:pPr>
        <w:pStyle w:val="47"/>
        <w:rPr>
          <w:rFonts w:ascii="宋体" w:hAnsi="宋体" w:eastAsia="宋体"/>
          <w:shd w:val="clear" w:color="auto" w:fill="FFFFFF"/>
        </w:rPr>
      </w:pPr>
      <w:r>
        <w:rPr>
          <w:rFonts w:hint="eastAsia" w:ascii="宋体" w:hAnsi="宋体" w:eastAsia="宋体"/>
          <w:shd w:val="clear" w:color="auto" w:fill="FFFFFF"/>
        </w:rPr>
        <w:t>园区智慧化管理平台应具备数字孪生模型，可实现实时监控各企业仓储设备能耗与碳排放。</w:t>
      </w:r>
    </w:p>
    <w:p w14:paraId="790A2838">
      <w:pPr>
        <w:pStyle w:val="47"/>
        <w:rPr>
          <w:rFonts w:ascii="宋体" w:hAnsi="宋体" w:eastAsia="宋体"/>
        </w:rPr>
      </w:pPr>
      <w:r>
        <w:rPr>
          <w:rFonts w:hint="eastAsia" w:ascii="宋体" w:hAnsi="宋体" w:eastAsia="宋体"/>
        </w:rPr>
        <w:t>入园企业须</w:t>
      </w:r>
      <w:r>
        <w:rPr>
          <w:rFonts w:hint="eastAsia" w:ascii="宋体" w:hAnsi="宋体" w:eastAsia="宋体"/>
          <w:shd w:val="clear" w:color="auto" w:fill="FFFFFF"/>
        </w:rPr>
        <w:t>实现单元化载具循环利用，托盘与周转箱标准化率需大于或等于80%，推广可折叠、可循环包装材料</w:t>
      </w:r>
      <w:r>
        <w:rPr>
          <w:rFonts w:hint="eastAsia" w:ascii="宋体" w:hAnsi="宋体" w:eastAsia="宋体"/>
        </w:rPr>
        <w:t>。</w:t>
      </w:r>
    </w:p>
    <w:p w14:paraId="15B5DD30">
      <w:pPr>
        <w:pStyle w:val="47"/>
        <w:rPr>
          <w:rFonts w:ascii="宋体" w:hAnsi="宋体" w:eastAsia="宋体"/>
        </w:rPr>
      </w:pPr>
      <w:r>
        <w:rPr>
          <w:rFonts w:hint="eastAsia" w:ascii="宋体" w:hAnsi="宋体" w:eastAsia="宋体"/>
        </w:rPr>
        <w:t>对于冷链仓储，冷库温控与卸货口应全封闭作业。</w:t>
      </w:r>
    </w:p>
    <w:p w14:paraId="7CF34331">
      <w:pPr>
        <w:pStyle w:val="43"/>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交通系统</w:t>
      </w:r>
    </w:p>
    <w:p w14:paraId="1B6596F4">
      <w:pPr>
        <w:pStyle w:val="47"/>
        <w:rPr>
          <w:rFonts w:ascii="宋体" w:hAnsi="宋体" w:eastAsia="宋体"/>
        </w:rPr>
      </w:pPr>
      <w:r>
        <w:rPr>
          <w:rFonts w:hint="eastAsia" w:ascii="宋体" w:hAnsi="宋体" w:eastAsia="宋体"/>
        </w:rPr>
        <w:t>园内短倒牵引车、堆高机、场桥、摆渡车优先电动化。</w:t>
      </w:r>
    </w:p>
    <w:p w14:paraId="235CD4B3">
      <w:pPr>
        <w:pStyle w:val="47"/>
        <w:rPr>
          <w:rFonts w:ascii="宋体" w:hAnsi="宋体" w:eastAsia="宋体"/>
        </w:rPr>
      </w:pPr>
      <w:r>
        <w:rPr>
          <w:rFonts w:hint="eastAsia" w:ascii="宋体" w:hAnsi="宋体" w:eastAsia="宋体"/>
        </w:rPr>
        <w:t>园区智慧化管理平台应具备</w:t>
      </w:r>
      <w:r>
        <w:rPr>
          <w:rStyle w:val="36"/>
          <w:rFonts w:hint="eastAsia" w:ascii="宋体" w:hAnsi="宋体" w:eastAsia="宋体" w:cs="宋体"/>
          <w:b w:val="0"/>
          <w:bCs w:val="0"/>
        </w:rPr>
        <w:t>分</w:t>
      </w:r>
      <w:r>
        <w:rPr>
          <w:rFonts w:hint="eastAsia" w:ascii="宋体" w:hAnsi="宋体" w:eastAsia="宋体"/>
        </w:rPr>
        <w:t>布式充电网络与统一结算功能。</w:t>
      </w:r>
    </w:p>
    <w:p w14:paraId="1362BBEB">
      <w:pPr>
        <w:pStyle w:val="47"/>
        <w:rPr>
          <w:rFonts w:ascii="宋体" w:hAnsi="宋体" w:eastAsia="宋体"/>
        </w:rPr>
      </w:pPr>
      <w:r>
        <w:rPr>
          <w:rFonts w:hint="eastAsia" w:ascii="宋体" w:hAnsi="宋体" w:eastAsia="宋体"/>
        </w:rPr>
        <w:t>园区智慧化管理平台应具备智慧物流交通管理模块，可实现物流车辆预约入园与电子排队、无感道闸、智能道路线网与低速限行、内部短倒智能调度等功能。</w:t>
      </w:r>
    </w:p>
    <w:p w14:paraId="22E51C4E">
      <w:pPr>
        <w:pStyle w:val="47"/>
        <w:rPr>
          <w:rFonts w:ascii="宋体" w:hAnsi="宋体" w:eastAsia="宋体"/>
        </w:rPr>
      </w:pPr>
      <w:r>
        <w:rPr>
          <w:rFonts w:ascii="宋体" w:hAnsi="宋体" w:eastAsia="宋体"/>
        </w:rPr>
        <w:t>交通数据</w:t>
      </w:r>
      <w:r>
        <w:rPr>
          <w:rFonts w:hint="eastAsia" w:ascii="宋体" w:hAnsi="宋体" w:eastAsia="宋体"/>
        </w:rPr>
        <w:t>应</w:t>
      </w:r>
      <w:r>
        <w:rPr>
          <w:rFonts w:ascii="宋体" w:hAnsi="宋体" w:eastAsia="宋体"/>
        </w:rPr>
        <w:t>实行分级管控与权限隔离</w:t>
      </w:r>
      <w:r>
        <w:rPr>
          <w:rFonts w:hint="eastAsia" w:ascii="宋体" w:hAnsi="宋体" w:eastAsia="宋体"/>
        </w:rPr>
        <w:t>。</w:t>
      </w:r>
    </w:p>
    <w:p w14:paraId="4821DEE1">
      <w:pPr>
        <w:pStyle w:val="47"/>
        <w:rPr>
          <w:rFonts w:ascii="宋体" w:hAnsi="宋体" w:eastAsia="宋体"/>
        </w:rPr>
      </w:pPr>
      <w:r>
        <w:rPr>
          <w:rFonts w:ascii="宋体" w:hAnsi="宋体" w:eastAsia="宋体"/>
        </w:rPr>
        <w:t>智慧化管理平台在交通数据采集、传输环节</w:t>
      </w:r>
      <w:r>
        <w:rPr>
          <w:rFonts w:hint="eastAsia" w:ascii="宋体" w:hAnsi="宋体" w:eastAsia="宋体"/>
        </w:rPr>
        <w:t>应</w:t>
      </w:r>
      <w:r>
        <w:rPr>
          <w:rFonts w:ascii="宋体" w:hAnsi="宋体" w:eastAsia="宋体"/>
        </w:rPr>
        <w:t>进行加密处理，确保数据</w:t>
      </w:r>
      <w:r>
        <w:rPr>
          <w:rFonts w:hint="eastAsia" w:ascii="宋体" w:hAnsi="宋体" w:eastAsia="宋体"/>
        </w:rPr>
        <w:t>安全</w:t>
      </w:r>
      <w:r>
        <w:rPr>
          <w:rFonts w:ascii="宋体" w:hAnsi="宋体" w:eastAsia="宋体"/>
        </w:rPr>
        <w:t>。</w:t>
      </w:r>
    </w:p>
    <w:p w14:paraId="5FB97EB3">
      <w:pPr>
        <w:pStyle w:val="46"/>
      </w:pPr>
      <w:bookmarkStart w:id="31" w:name="_Toc31089"/>
      <w:r>
        <w:rPr>
          <w:rFonts w:hint="eastAsia"/>
        </w:rPr>
        <w:t>园区运营</w:t>
      </w:r>
      <w:bookmarkEnd w:id="31"/>
    </w:p>
    <w:p w14:paraId="6A3E8393">
      <w:pPr>
        <w:pStyle w:val="43"/>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运营管理</w:t>
      </w:r>
    </w:p>
    <w:p w14:paraId="30CCC4B1">
      <w:pPr>
        <w:pStyle w:val="47"/>
        <w:rPr>
          <w:rFonts w:ascii="宋体" w:hAnsi="宋体" w:eastAsia="宋体"/>
        </w:rPr>
      </w:pPr>
      <w:r>
        <w:rPr>
          <w:rFonts w:hint="eastAsia" w:ascii="宋体" w:hAnsi="宋体" w:eastAsia="宋体"/>
        </w:rPr>
        <w:t>应制定园区级降碳目标，建立温室气体减排推进计划。</w:t>
      </w:r>
    </w:p>
    <w:p w14:paraId="1350E84D">
      <w:pPr>
        <w:pStyle w:val="47"/>
        <w:rPr>
          <w:rFonts w:ascii="宋体" w:hAnsi="宋体" w:eastAsia="宋体"/>
        </w:rPr>
      </w:pPr>
      <w:r>
        <w:rPr>
          <w:rFonts w:hint="eastAsia" w:ascii="宋体" w:hAnsi="宋体" w:eastAsia="宋体"/>
        </w:rPr>
        <w:t>宜按照SB/T 11164-2016标准开展绿色仓库星级评价。</w:t>
      </w:r>
    </w:p>
    <w:p w14:paraId="17827C8A">
      <w:pPr>
        <w:pStyle w:val="47"/>
        <w:rPr>
          <w:rFonts w:ascii="宋体" w:hAnsi="宋体" w:eastAsia="宋体"/>
        </w:rPr>
      </w:pPr>
      <w:r>
        <w:rPr>
          <w:rFonts w:hint="eastAsia" w:ascii="宋体" w:hAnsi="宋体" w:eastAsia="宋体"/>
        </w:rPr>
        <w:t>应建立能碳管理平台。</w:t>
      </w:r>
    </w:p>
    <w:p w14:paraId="03F06C44">
      <w:pPr>
        <w:pStyle w:val="47"/>
        <w:rPr>
          <w:rFonts w:ascii="宋体" w:hAnsi="宋体" w:eastAsia="宋体"/>
        </w:rPr>
      </w:pPr>
      <w:r>
        <w:rPr>
          <w:rFonts w:hint="eastAsia" w:ascii="宋体" w:hAnsi="宋体" w:eastAsia="宋体"/>
        </w:rPr>
        <w:t>应定期开展园区边界内温室气体核算，采取碳减排或碳抵消措施。</w:t>
      </w:r>
    </w:p>
    <w:p w14:paraId="2BB79C00">
      <w:pPr>
        <w:pStyle w:val="47"/>
        <w:rPr>
          <w:rFonts w:ascii="宋体" w:hAnsi="宋体" w:eastAsia="宋体"/>
        </w:rPr>
      </w:pPr>
      <w:r>
        <w:rPr>
          <w:rFonts w:hint="eastAsia" w:ascii="宋体" w:hAnsi="宋体" w:eastAsia="宋体"/>
        </w:rPr>
        <w:t>通过智慧化平台功能，应实现运营情况实时监控、响应和指挥调度。</w:t>
      </w:r>
    </w:p>
    <w:p w14:paraId="3DE86A6B">
      <w:pPr>
        <w:pStyle w:val="43"/>
        <w:spacing w:before="156" w:after="156"/>
      </w:pPr>
      <w:bookmarkStart w:id="32" w:name="_Toc179840606"/>
      <w:r>
        <w:rPr>
          <w:rFonts w:hint="eastAsia"/>
        </w:rPr>
        <w:t>低碳与智慧服务</w:t>
      </w:r>
      <w:bookmarkEnd w:id="32"/>
    </w:p>
    <w:p w14:paraId="009934DF">
      <w:pPr>
        <w:pStyle w:val="64"/>
      </w:pPr>
      <w:r>
        <w:rPr>
          <w:rFonts w:hint="eastAsia"/>
        </w:rPr>
        <w:t>应按GB/T 30334的要求提供相应服务。</w:t>
      </w:r>
    </w:p>
    <w:p w14:paraId="24D05B18">
      <w:pPr>
        <w:pStyle w:val="64"/>
      </w:pPr>
      <w:r>
        <w:rPr>
          <w:rFonts w:hint="eastAsia"/>
        </w:rPr>
        <w:t>园区智慧化管理平台具备与院内企业智能分拣机、冷链制冷机组、电动叉车、充电桩等核心设备数据接入端口，可实现数据采集、故障预测预警、维护工单闭环、备件智能管理等功能。</w:t>
      </w:r>
    </w:p>
    <w:p w14:paraId="68436EF9">
      <w:pPr>
        <w:pStyle w:val="64"/>
      </w:pPr>
      <w:r>
        <w:rPr>
          <w:rFonts w:hint="eastAsia"/>
        </w:rPr>
        <w:t>鼓励企业开展温室气体盘查与核查，逐步降低温室气体排放，鼓励企业建立碳排放管理体系。</w:t>
      </w:r>
    </w:p>
    <w:p w14:paraId="5A7BC7B8">
      <w:pPr>
        <w:pStyle w:val="64"/>
      </w:pPr>
      <w:r>
        <w:rPr>
          <w:rFonts w:hint="eastAsia"/>
        </w:rPr>
        <w:t>园区企业应使用标准化托盘，并在企业间开展托盘循环共用。</w:t>
      </w:r>
    </w:p>
    <w:p w14:paraId="651E5909">
      <w:pPr>
        <w:pStyle w:val="64"/>
      </w:pPr>
      <w:r>
        <w:rPr>
          <w:rFonts w:hint="eastAsia"/>
        </w:rPr>
        <w:t>适当时，向入驻企业提供绿色电力、碳汇技术等温室气体减排和清除措施。</w:t>
      </w:r>
    </w:p>
    <w:p w14:paraId="079537AA">
      <w:pPr>
        <w:pStyle w:val="64"/>
      </w:pPr>
      <w:r>
        <w:rPr>
          <w:rFonts w:hint="eastAsia"/>
        </w:rPr>
        <w:t>入驻企业宜采用无包装运输，或使用可循环包装。</w:t>
      </w:r>
    </w:p>
    <w:p w14:paraId="065D19EB">
      <w:pPr>
        <w:pStyle w:val="24"/>
        <w:sectPr>
          <w:headerReference r:id="rId13" w:type="default"/>
          <w:footerReference r:id="rId15" w:type="default"/>
          <w:headerReference r:id="rId14" w:type="even"/>
          <w:footerReference r:id="rId16" w:type="even"/>
          <w:pgSz w:w="11906" w:h="16838"/>
          <w:pgMar w:top="567" w:right="1134" w:bottom="1134" w:left="1134" w:header="1418" w:footer="1134" w:gutter="0"/>
          <w:pgNumType w:start="1"/>
          <w:cols w:space="425" w:num="1"/>
          <w:formProt w:val="0"/>
          <w:docGrid w:type="lines" w:linePitch="312" w:charSpace="0"/>
        </w:sectPr>
      </w:pPr>
    </w:p>
    <w:p w14:paraId="3E2C091C">
      <w:pPr>
        <w:pStyle w:val="46"/>
      </w:pPr>
      <w:bookmarkStart w:id="33" w:name="_Toc23805"/>
      <w:r>
        <w:rPr>
          <w:rFonts w:hint="eastAsia"/>
        </w:rPr>
        <w:t>保障措施</w:t>
      </w:r>
      <w:bookmarkEnd w:id="33"/>
    </w:p>
    <w:p w14:paraId="2C21A024">
      <w:pPr>
        <w:pStyle w:val="43"/>
        <w:spacing w:before="156" w:after="156"/>
      </w:pPr>
      <w:r>
        <w:rPr>
          <w:rFonts w:hint="eastAsia"/>
        </w:rPr>
        <w:t>组织保障</w:t>
      </w:r>
    </w:p>
    <w:p w14:paraId="17D67C25">
      <w:pPr>
        <w:pStyle w:val="24"/>
      </w:pPr>
      <w:r>
        <w:rPr>
          <w:rFonts w:hint="eastAsia"/>
        </w:rPr>
        <w:t>园区宜统筹各企业建立低碳智慧发展专项工作小组，明确管理主体、入驻企业及技术支撑单位的权责分工，为园区实现双碳目标的推进、智慧平台运维提供组织保障。</w:t>
      </w:r>
    </w:p>
    <w:p w14:paraId="075FB369">
      <w:pPr>
        <w:pStyle w:val="43"/>
        <w:spacing w:before="156" w:after="156"/>
      </w:pPr>
      <w:r>
        <w:rPr>
          <w:rFonts w:hint="eastAsia"/>
        </w:rPr>
        <w:t>制度保障</w:t>
      </w:r>
    </w:p>
    <w:p w14:paraId="6EB15078">
      <w:pPr>
        <w:pStyle w:val="24"/>
        <w:ind w:firstLine="0" w:firstLineChars="0"/>
      </w:pPr>
      <w:r>
        <w:rPr>
          <w:rFonts w:ascii="黑体" w:hAnsi="黑体" w:eastAsia="黑体" w:cs="黑体"/>
        </w:rPr>
        <w:t>8.2.1</w:t>
      </w:r>
      <w:r>
        <w:rPr>
          <w:rFonts w:hint="eastAsia"/>
        </w:rPr>
        <w:t xml:space="preserve"> 应按照</w:t>
      </w:r>
      <w:r>
        <w:rPr>
          <w:rFonts w:hAnsi="宋体" w:cs="宋体"/>
        </w:rPr>
        <w:t>GB/T 32150</w:t>
      </w:r>
      <w:r>
        <w:rPr>
          <w:rFonts w:hint="eastAsia"/>
        </w:rPr>
        <w:t>建立园区核算制度，制定园区温室气体核算细则。</w:t>
      </w:r>
    </w:p>
    <w:p w14:paraId="4FF14009">
      <w:pPr>
        <w:pStyle w:val="24"/>
        <w:ind w:firstLine="0" w:firstLineChars="0"/>
      </w:pPr>
      <w:r>
        <w:rPr>
          <w:rFonts w:ascii="黑体" w:hAnsi="黑体" w:eastAsia="黑体" w:cs="黑体"/>
        </w:rPr>
        <w:t>8.2.2</w:t>
      </w:r>
      <w:r>
        <w:rPr>
          <w:rFonts w:hint="eastAsia"/>
        </w:rPr>
        <w:t xml:space="preserve"> 应推动园区环境管理体系、能源管理体系的建立，同时将企业可再生能源占比、仓储自动化率等核心指标纳入园区及企业考核，确保园区规划设计低碳目标落地。</w:t>
      </w:r>
    </w:p>
    <w:p w14:paraId="138DDB9A">
      <w:pPr>
        <w:pStyle w:val="43"/>
        <w:spacing w:before="156" w:after="156"/>
      </w:pPr>
      <w:r>
        <w:rPr>
          <w:rFonts w:hint="eastAsia"/>
        </w:rPr>
        <w:t>技术保障</w:t>
      </w:r>
    </w:p>
    <w:p w14:paraId="6880265E">
      <w:pPr>
        <w:pStyle w:val="24"/>
        <w:ind w:firstLine="0" w:firstLineChars="0"/>
      </w:pPr>
      <w:r>
        <w:rPr>
          <w:rFonts w:ascii="黑体" w:hAnsi="黑体" w:eastAsia="黑体" w:cs="黑体"/>
        </w:rPr>
        <w:t>8.3.1</w:t>
      </w:r>
      <w:r>
        <w:rPr>
          <w:rFonts w:hint="eastAsia"/>
        </w:rPr>
        <w:t xml:space="preserve"> 应建立智慧化管理平台运维管理制度，定期对平台碳排放监测、设备数据接入、废弃物追溯等功能模块进行更新与维护。</w:t>
      </w:r>
    </w:p>
    <w:p w14:paraId="0D6A92D5">
      <w:pPr>
        <w:pStyle w:val="24"/>
        <w:ind w:firstLine="0" w:firstLineChars="0"/>
      </w:pPr>
      <w:r>
        <w:rPr>
          <w:rFonts w:ascii="黑体" w:hAnsi="黑体" w:eastAsia="黑体" w:cs="黑体"/>
        </w:rPr>
        <w:t>8.3.2</w:t>
      </w:r>
      <w:r>
        <w:rPr>
          <w:rFonts w:hint="eastAsia"/>
        </w:rPr>
        <w:t xml:space="preserve"> 应建立平台访问权限管理、数据加密备份机制，落实数据安全要求，防范信息风险。</w:t>
      </w:r>
    </w:p>
    <w:p w14:paraId="04B34452">
      <w:pPr>
        <w:pStyle w:val="43"/>
        <w:spacing w:before="156" w:after="156"/>
      </w:pPr>
      <w:r>
        <w:rPr>
          <w:rFonts w:hint="eastAsia"/>
        </w:rPr>
        <w:t>监督保障</w:t>
      </w:r>
    </w:p>
    <w:p w14:paraId="76BC6A68">
      <w:pPr>
        <w:pStyle w:val="24"/>
        <w:ind w:firstLine="0" w:firstLineChars="0"/>
      </w:pPr>
      <w:r>
        <w:rPr>
          <w:rFonts w:ascii="黑体" w:hAnsi="黑体" w:eastAsia="黑体" w:cs="黑体"/>
        </w:rPr>
        <w:t>8.4.1</w:t>
      </w:r>
      <w:r>
        <w:rPr>
          <w:rFonts w:hint="eastAsia"/>
        </w:rPr>
        <w:t xml:space="preserve"> 园区应按年度进行区内企业的碳排放、可再生能源占比等指标的核算，保障数据真实有效。</w:t>
      </w:r>
    </w:p>
    <w:p w14:paraId="124BFC35">
      <w:pPr>
        <w:pStyle w:val="24"/>
        <w:ind w:firstLine="0" w:firstLineChars="0"/>
      </w:pPr>
      <w:r>
        <w:rPr>
          <w:rFonts w:ascii="黑体" w:hAnsi="黑体" w:eastAsia="黑体" w:cs="黑体"/>
        </w:rPr>
        <w:t>8.4.2</w:t>
      </w:r>
      <w:r>
        <w:rPr>
          <w:rFonts w:hint="eastAsia"/>
        </w:rPr>
        <w:t xml:space="preserve"> 应通过智慧化管理平台的实时监控能耗、碳排放阈值，及时调整园区能源应用及物流调度作业方案，保障园区整体能耗与碳排放符合双碳目标。</w:t>
      </w:r>
    </w:p>
    <w:p w14:paraId="5C6E9F4B">
      <w:pPr>
        <w:pStyle w:val="24"/>
        <w:ind w:firstLine="0" w:firstLineChars="0"/>
      </w:pPr>
      <w:r>
        <w:rPr>
          <w:rFonts w:ascii="黑体" w:hAnsi="黑体" w:eastAsia="黑体" w:cs="黑体"/>
        </w:rPr>
        <w:t>8.4.3</w:t>
      </w:r>
      <w:r>
        <w:rPr>
          <w:rFonts w:hint="eastAsia"/>
        </w:rPr>
        <w:t xml:space="preserve"> 对指标不达标、制度执行不到位的园区企业，园区应明确责任人和整改时限，确保园区整体目标的推进和实现。</w:t>
      </w:r>
    </w:p>
    <w:p w14:paraId="3A664194"/>
    <w:p w14:paraId="7FEE8C66">
      <w:pPr>
        <w:pStyle w:val="84"/>
        <w:sectPr>
          <w:type w:val="continuous"/>
          <w:pgSz w:w="11906" w:h="16838"/>
          <w:pgMar w:top="567" w:right="1134" w:bottom="1134" w:left="1417" w:header="1418" w:footer="1134" w:gutter="0"/>
          <w:cols w:space="425" w:num="1"/>
          <w:formProt w:val="0"/>
          <w:docGrid w:type="lines" w:linePitch="312" w:charSpace="0"/>
        </w:sectPr>
      </w:pPr>
    </w:p>
    <w:p w14:paraId="7D8D29C0">
      <w:pPr>
        <w:pStyle w:val="84"/>
      </w:pPr>
      <w:bookmarkStart w:id="34" w:name="_Toc26013"/>
      <w:r>
        <w:br w:type="textWrapping"/>
      </w:r>
      <w:bookmarkStart w:id="35" w:name="_Toc17878130"/>
      <w:r>
        <w:rPr>
          <w:rFonts w:hint="eastAsia"/>
        </w:rPr>
        <w:t>（规范性）</w:t>
      </w:r>
      <w:r>
        <w:br w:type="textWrapping"/>
      </w:r>
      <w:bookmarkEnd w:id="35"/>
      <w:r>
        <w:rPr>
          <w:rFonts w:hint="eastAsia"/>
        </w:rPr>
        <w:t>建设指标测算要求</w:t>
      </w:r>
      <w:bookmarkEnd w:id="34"/>
    </w:p>
    <w:p w14:paraId="44A1D005">
      <w:pPr>
        <w:pStyle w:val="24"/>
      </w:pPr>
      <w:r>
        <w:rPr>
          <w:rFonts w:hint="eastAsia"/>
        </w:rPr>
        <w:t>表A.1规定了低碳智慧物流园区的建设指标要求及计算方法。</w:t>
      </w:r>
    </w:p>
    <w:p w14:paraId="0CEA3915">
      <w:pPr>
        <w:pStyle w:val="87"/>
        <w:ind w:firstLine="420"/>
      </w:pPr>
      <w:r>
        <w:rPr>
          <w:rFonts w:hint="eastAsia"/>
        </w:rPr>
        <w:t>低碳智慧物流园区的建设指标测算要求</w:t>
      </w:r>
    </w:p>
    <w:tbl>
      <w:tblPr>
        <w:tblStyle w:val="33"/>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2644"/>
        <w:gridCol w:w="1418"/>
        <w:gridCol w:w="4331"/>
      </w:tblGrid>
      <w:tr w14:paraId="432B2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tcBorders>
              <w:top w:val="single" w:color="000000" w:sz="8" w:space="0"/>
              <w:left w:val="single" w:color="000000" w:sz="8" w:space="0"/>
              <w:bottom w:val="single" w:color="000000" w:sz="8" w:space="0"/>
            </w:tcBorders>
            <w:vAlign w:val="center"/>
          </w:tcPr>
          <w:p w14:paraId="109C9BD2">
            <w:pPr>
              <w:ind w:firstLine="0" w:firstLineChars="0"/>
              <w:jc w:val="center"/>
              <w:rPr>
                <w:rFonts w:ascii="宋体" w:hAnsi="宋体" w:cs="宋体"/>
                <w:sz w:val="18"/>
                <w:szCs w:val="18"/>
              </w:rPr>
            </w:pPr>
            <w:r>
              <w:rPr>
                <w:rFonts w:hint="eastAsia" w:ascii="宋体" w:hAnsi="宋体" w:cs="宋体"/>
                <w:sz w:val="18"/>
                <w:szCs w:val="18"/>
              </w:rPr>
              <w:t>一级指标</w:t>
            </w:r>
          </w:p>
        </w:tc>
        <w:tc>
          <w:tcPr>
            <w:tcW w:w="1382" w:type="pct"/>
            <w:tcBorders>
              <w:top w:val="single" w:color="000000" w:sz="8" w:space="0"/>
              <w:bottom w:val="single" w:color="000000" w:sz="8" w:space="0"/>
            </w:tcBorders>
            <w:vAlign w:val="center"/>
          </w:tcPr>
          <w:p w14:paraId="63127BD0">
            <w:pPr>
              <w:ind w:firstLine="0" w:firstLineChars="0"/>
              <w:jc w:val="center"/>
              <w:rPr>
                <w:rFonts w:ascii="宋体" w:hAnsi="宋体" w:cs="宋体"/>
                <w:sz w:val="18"/>
                <w:szCs w:val="18"/>
              </w:rPr>
            </w:pPr>
            <w:r>
              <w:rPr>
                <w:rFonts w:hint="eastAsia" w:ascii="宋体" w:hAnsi="宋体" w:cs="宋体"/>
                <w:sz w:val="18"/>
                <w:szCs w:val="18"/>
              </w:rPr>
              <w:t>二级指标</w:t>
            </w:r>
          </w:p>
        </w:tc>
        <w:tc>
          <w:tcPr>
            <w:tcW w:w="742" w:type="pct"/>
            <w:tcBorders>
              <w:top w:val="single" w:color="000000" w:sz="8" w:space="0"/>
              <w:bottom w:val="single" w:color="000000" w:sz="8" w:space="0"/>
            </w:tcBorders>
            <w:vAlign w:val="center"/>
          </w:tcPr>
          <w:p w14:paraId="5724C110">
            <w:pPr>
              <w:ind w:firstLine="0" w:firstLineChars="0"/>
              <w:jc w:val="center"/>
              <w:rPr>
                <w:rFonts w:ascii="宋体" w:hAnsi="宋体" w:cs="宋体"/>
                <w:sz w:val="18"/>
                <w:szCs w:val="18"/>
              </w:rPr>
            </w:pPr>
            <w:r>
              <w:rPr>
                <w:rFonts w:hint="eastAsia" w:ascii="宋体" w:hAnsi="宋体" w:cs="宋体"/>
                <w:sz w:val="18"/>
                <w:szCs w:val="18"/>
              </w:rPr>
              <w:t>要求</w:t>
            </w:r>
          </w:p>
        </w:tc>
        <w:tc>
          <w:tcPr>
            <w:tcW w:w="2264" w:type="pct"/>
            <w:tcBorders>
              <w:top w:val="single" w:color="000000" w:sz="8" w:space="0"/>
              <w:bottom w:val="single" w:color="000000" w:sz="8" w:space="0"/>
            </w:tcBorders>
            <w:vAlign w:val="center"/>
          </w:tcPr>
          <w:p w14:paraId="380F6F3C">
            <w:pPr>
              <w:ind w:firstLine="0" w:firstLineChars="0"/>
              <w:jc w:val="center"/>
              <w:rPr>
                <w:rFonts w:ascii="宋体" w:hAnsi="宋体" w:cs="宋体"/>
                <w:sz w:val="18"/>
                <w:szCs w:val="18"/>
              </w:rPr>
            </w:pPr>
            <w:r>
              <w:rPr>
                <w:rFonts w:hint="eastAsia" w:ascii="宋体" w:hAnsi="宋体" w:cs="宋体"/>
                <w:sz w:val="18"/>
                <w:szCs w:val="18"/>
              </w:rPr>
              <w:t>计算方法</w:t>
            </w:r>
          </w:p>
        </w:tc>
      </w:tr>
      <w:tr w14:paraId="1377E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restart"/>
            <w:tcBorders>
              <w:top w:val="single" w:color="000000" w:sz="8" w:space="0"/>
              <w:left w:val="single" w:color="000000" w:sz="8" w:space="0"/>
            </w:tcBorders>
            <w:vAlign w:val="center"/>
          </w:tcPr>
          <w:p w14:paraId="691B2BE1">
            <w:pPr>
              <w:ind w:firstLine="0" w:firstLineChars="0"/>
              <w:jc w:val="center"/>
              <w:rPr>
                <w:rFonts w:ascii="宋体" w:hAnsi="宋体" w:cs="宋体"/>
                <w:sz w:val="18"/>
                <w:szCs w:val="18"/>
              </w:rPr>
            </w:pPr>
            <w:r>
              <w:rPr>
                <w:rFonts w:hint="eastAsia" w:ascii="宋体" w:hAnsi="宋体" w:cs="宋体"/>
                <w:sz w:val="18"/>
                <w:szCs w:val="18"/>
              </w:rPr>
              <w:t>低碳</w:t>
            </w:r>
          </w:p>
        </w:tc>
        <w:tc>
          <w:tcPr>
            <w:tcW w:w="1382" w:type="pct"/>
            <w:tcBorders>
              <w:top w:val="single" w:color="000000" w:sz="8" w:space="0"/>
            </w:tcBorders>
            <w:vAlign w:val="center"/>
          </w:tcPr>
          <w:p w14:paraId="526F3526">
            <w:pPr>
              <w:ind w:firstLine="0" w:firstLineChars="0"/>
              <w:rPr>
                <w:rFonts w:ascii="宋体" w:hAnsi="宋体" w:cs="宋体"/>
                <w:sz w:val="18"/>
                <w:szCs w:val="18"/>
              </w:rPr>
            </w:pPr>
            <w:r>
              <w:rPr>
                <w:rFonts w:hint="eastAsia" w:ascii="宋体" w:hAnsi="宋体" w:cs="宋体"/>
                <w:sz w:val="18"/>
                <w:szCs w:val="18"/>
              </w:rPr>
              <w:t>单位能耗碳排放</w:t>
            </w:r>
          </w:p>
        </w:tc>
        <w:tc>
          <w:tcPr>
            <w:tcW w:w="742" w:type="pct"/>
            <w:tcBorders>
              <w:top w:val="single" w:color="000000" w:sz="8" w:space="0"/>
            </w:tcBorders>
            <w:vAlign w:val="center"/>
          </w:tcPr>
          <w:p w14:paraId="0F56C78D">
            <w:pPr>
              <w:ind w:firstLine="0" w:firstLineChars="0"/>
              <w:jc w:val="center"/>
              <w:rPr>
                <w:rFonts w:ascii="宋体" w:hAnsi="宋体" w:cs="宋体"/>
                <w:sz w:val="18"/>
                <w:szCs w:val="18"/>
              </w:rPr>
            </w:pPr>
            <w:r>
              <w:rPr>
                <w:rFonts w:hint="eastAsia" w:ascii="宋体" w:hAnsi="宋体" w:cs="宋体"/>
                <w:sz w:val="18"/>
                <w:szCs w:val="18"/>
              </w:rPr>
              <w:t>≤0.5tCO₂/tce</w:t>
            </w:r>
          </w:p>
        </w:tc>
        <w:tc>
          <w:tcPr>
            <w:tcW w:w="2264" w:type="pct"/>
            <w:tcBorders>
              <w:top w:val="single" w:color="000000" w:sz="8" w:space="0"/>
            </w:tcBorders>
            <w:vAlign w:val="center"/>
          </w:tcPr>
          <w:p w14:paraId="0F323069">
            <w:pPr>
              <w:ind w:firstLine="0" w:firstLineChars="0"/>
              <w:rPr>
                <w:rFonts w:ascii="宋体" w:hAnsi="宋体" w:cs="宋体"/>
                <w:sz w:val="18"/>
                <w:szCs w:val="18"/>
              </w:rPr>
            </w:pPr>
            <w:r>
              <w:rPr>
                <w:rFonts w:hint="eastAsia" w:ascii="宋体" w:hAnsi="宋体" w:cs="宋体"/>
                <w:sz w:val="18"/>
                <w:szCs w:val="18"/>
              </w:rPr>
              <w:t>园区年度总碳排放（tCO₂）与园区年度总能耗（tce）之比，不含园区外运输环节碳排放。</w:t>
            </w:r>
          </w:p>
        </w:tc>
      </w:tr>
      <w:tr w14:paraId="22D2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tcBorders>
            <w:vAlign w:val="center"/>
          </w:tcPr>
          <w:p w14:paraId="7A79D508">
            <w:pPr>
              <w:ind w:firstLine="0" w:firstLineChars="0"/>
              <w:jc w:val="center"/>
              <w:rPr>
                <w:rFonts w:ascii="宋体" w:hAnsi="宋体" w:cs="宋体"/>
                <w:sz w:val="18"/>
                <w:szCs w:val="18"/>
              </w:rPr>
            </w:pPr>
          </w:p>
        </w:tc>
        <w:tc>
          <w:tcPr>
            <w:tcW w:w="1382" w:type="pct"/>
            <w:vAlign w:val="center"/>
          </w:tcPr>
          <w:p w14:paraId="2EEE8F51">
            <w:pPr>
              <w:ind w:firstLine="0" w:firstLineChars="0"/>
              <w:rPr>
                <w:rFonts w:ascii="宋体" w:hAnsi="宋体" w:cs="宋体"/>
                <w:sz w:val="18"/>
                <w:szCs w:val="18"/>
              </w:rPr>
            </w:pPr>
            <w:r>
              <w:rPr>
                <w:rFonts w:hint="eastAsia" w:ascii="宋体" w:hAnsi="宋体" w:cs="宋体"/>
                <w:sz w:val="18"/>
                <w:szCs w:val="18"/>
              </w:rPr>
              <w:t>可再生能源消费占比</w:t>
            </w:r>
          </w:p>
        </w:tc>
        <w:tc>
          <w:tcPr>
            <w:tcW w:w="742" w:type="pct"/>
            <w:vAlign w:val="center"/>
          </w:tcPr>
          <w:p w14:paraId="10FCD033">
            <w:pPr>
              <w:ind w:firstLine="0" w:firstLineChars="0"/>
              <w:jc w:val="center"/>
              <w:rPr>
                <w:rFonts w:ascii="宋体" w:hAnsi="宋体" w:cs="宋体"/>
                <w:sz w:val="18"/>
                <w:szCs w:val="18"/>
              </w:rPr>
            </w:pPr>
            <w:r>
              <w:rPr>
                <w:rFonts w:hint="eastAsia" w:ascii="宋体" w:hAnsi="宋体" w:cs="宋体"/>
                <w:sz w:val="18"/>
                <w:szCs w:val="18"/>
              </w:rPr>
              <w:t>≥80%</w:t>
            </w:r>
          </w:p>
        </w:tc>
        <w:tc>
          <w:tcPr>
            <w:tcW w:w="2264" w:type="pct"/>
            <w:vAlign w:val="center"/>
          </w:tcPr>
          <w:p w14:paraId="4DCBE9BA">
            <w:pPr>
              <w:ind w:firstLine="0" w:firstLineChars="0"/>
              <w:rPr>
                <w:rFonts w:ascii="宋体" w:hAnsi="宋体" w:cs="宋体"/>
                <w:sz w:val="18"/>
                <w:szCs w:val="18"/>
              </w:rPr>
            </w:pPr>
            <w:r>
              <w:rPr>
                <w:rFonts w:hint="eastAsia" w:ascii="宋体" w:hAnsi="宋体" w:cs="宋体"/>
                <w:sz w:val="18"/>
                <w:szCs w:val="18"/>
              </w:rPr>
              <w:t>可再生能源消费量与园区能源消耗总量之比，可再生能源包含光伏、风电、氢能，不含绿电。</w:t>
            </w:r>
          </w:p>
        </w:tc>
      </w:tr>
      <w:tr w14:paraId="7B55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tcBorders>
            <w:vAlign w:val="center"/>
          </w:tcPr>
          <w:p w14:paraId="13775DED">
            <w:pPr>
              <w:ind w:firstLine="0" w:firstLineChars="0"/>
              <w:jc w:val="center"/>
              <w:rPr>
                <w:rFonts w:ascii="宋体" w:hAnsi="宋体" w:cs="宋体"/>
                <w:sz w:val="18"/>
                <w:szCs w:val="18"/>
              </w:rPr>
            </w:pPr>
          </w:p>
        </w:tc>
        <w:tc>
          <w:tcPr>
            <w:tcW w:w="1382" w:type="pct"/>
            <w:tcBorders>
              <w:bottom w:val="single" w:color="000000" w:sz="8" w:space="0"/>
            </w:tcBorders>
            <w:vAlign w:val="center"/>
          </w:tcPr>
          <w:p w14:paraId="655B01C5">
            <w:pPr>
              <w:ind w:firstLine="0" w:firstLineChars="0"/>
              <w:rPr>
                <w:rFonts w:ascii="宋体" w:hAnsi="宋体" w:cs="宋体"/>
                <w:sz w:val="18"/>
                <w:szCs w:val="18"/>
              </w:rPr>
            </w:pPr>
            <w:r>
              <w:rPr>
                <w:rFonts w:hint="eastAsia" w:ascii="宋体" w:hAnsi="宋体" w:cs="宋体"/>
                <w:sz w:val="18"/>
                <w:szCs w:val="18"/>
              </w:rPr>
              <w:t>园区新能源运输工具比例</w:t>
            </w:r>
          </w:p>
        </w:tc>
        <w:tc>
          <w:tcPr>
            <w:tcW w:w="742" w:type="pct"/>
            <w:tcBorders>
              <w:bottom w:val="single" w:color="000000" w:sz="8" w:space="0"/>
            </w:tcBorders>
            <w:vAlign w:val="center"/>
          </w:tcPr>
          <w:p w14:paraId="6F5FD701">
            <w:pPr>
              <w:ind w:firstLine="0" w:firstLineChars="0"/>
              <w:jc w:val="center"/>
              <w:rPr>
                <w:rFonts w:ascii="宋体" w:hAnsi="宋体" w:cs="宋体"/>
                <w:sz w:val="18"/>
                <w:szCs w:val="18"/>
              </w:rPr>
            </w:pPr>
            <w:r>
              <w:rPr>
                <w:rFonts w:hint="eastAsia" w:ascii="宋体" w:hAnsi="宋体" w:cs="宋体"/>
                <w:sz w:val="18"/>
                <w:szCs w:val="18"/>
              </w:rPr>
              <w:t>≥50%</w:t>
            </w:r>
          </w:p>
        </w:tc>
        <w:tc>
          <w:tcPr>
            <w:tcW w:w="2264" w:type="pct"/>
            <w:tcBorders>
              <w:bottom w:val="single" w:color="000000" w:sz="8" w:space="0"/>
            </w:tcBorders>
            <w:vAlign w:val="center"/>
          </w:tcPr>
          <w:p w14:paraId="4AC8258B">
            <w:pPr>
              <w:ind w:firstLine="0" w:firstLineChars="0"/>
              <w:rPr>
                <w:rFonts w:ascii="宋体" w:hAnsi="宋体" w:cs="宋体"/>
                <w:sz w:val="18"/>
                <w:szCs w:val="18"/>
              </w:rPr>
            </w:pPr>
            <w:r>
              <w:rPr>
                <w:rFonts w:hint="eastAsia" w:ascii="宋体" w:hAnsi="宋体" w:cs="宋体"/>
                <w:sz w:val="18"/>
                <w:szCs w:val="18"/>
              </w:rPr>
              <w:t>园区内自有新能源车数量与园区自有总车辆之比，交通工具主要指园区及各企业内短倒牵引车、堆高机、配送货车，不含外部临时入园车辆。</w:t>
            </w:r>
          </w:p>
        </w:tc>
      </w:tr>
      <w:tr w14:paraId="76AE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tcBorders>
            <w:vAlign w:val="center"/>
          </w:tcPr>
          <w:p w14:paraId="4961AAAF">
            <w:pPr>
              <w:ind w:firstLine="0" w:firstLineChars="0"/>
              <w:jc w:val="center"/>
              <w:rPr>
                <w:rFonts w:ascii="宋体" w:hAnsi="宋体" w:cs="宋体"/>
                <w:sz w:val="18"/>
                <w:szCs w:val="18"/>
              </w:rPr>
            </w:pPr>
          </w:p>
        </w:tc>
        <w:tc>
          <w:tcPr>
            <w:tcW w:w="1382" w:type="pct"/>
            <w:tcBorders>
              <w:bottom w:val="single" w:color="000000" w:sz="8" w:space="0"/>
            </w:tcBorders>
            <w:vAlign w:val="center"/>
          </w:tcPr>
          <w:p w14:paraId="42DDCAA0">
            <w:pPr>
              <w:ind w:firstLine="0" w:firstLineChars="0"/>
              <w:rPr>
                <w:rFonts w:ascii="宋体" w:hAnsi="宋体" w:cs="宋体"/>
                <w:sz w:val="18"/>
                <w:szCs w:val="18"/>
              </w:rPr>
            </w:pPr>
            <w:r>
              <w:rPr>
                <w:rFonts w:hint="eastAsia" w:ascii="宋体" w:hAnsi="宋体" w:cs="宋体"/>
                <w:sz w:val="18"/>
                <w:szCs w:val="18"/>
              </w:rPr>
              <w:t>充电桩快充设备占比</w:t>
            </w:r>
          </w:p>
        </w:tc>
        <w:tc>
          <w:tcPr>
            <w:tcW w:w="742" w:type="pct"/>
            <w:tcBorders>
              <w:bottom w:val="single" w:color="000000" w:sz="8" w:space="0"/>
            </w:tcBorders>
            <w:vAlign w:val="center"/>
          </w:tcPr>
          <w:p w14:paraId="51B327CD">
            <w:pPr>
              <w:ind w:firstLine="0" w:firstLineChars="0"/>
              <w:jc w:val="center"/>
              <w:rPr>
                <w:rFonts w:ascii="宋体" w:hAnsi="宋体" w:cs="宋体"/>
                <w:sz w:val="18"/>
                <w:szCs w:val="18"/>
              </w:rPr>
            </w:pPr>
            <w:r>
              <w:rPr>
                <w:rFonts w:hint="eastAsia" w:ascii="宋体" w:hAnsi="宋体" w:cs="宋体"/>
                <w:sz w:val="18"/>
                <w:szCs w:val="18"/>
              </w:rPr>
              <w:t>≥70%</w:t>
            </w:r>
          </w:p>
        </w:tc>
        <w:tc>
          <w:tcPr>
            <w:tcW w:w="2264" w:type="pct"/>
            <w:tcBorders>
              <w:bottom w:val="single" w:color="000000" w:sz="8" w:space="0"/>
            </w:tcBorders>
            <w:vAlign w:val="center"/>
          </w:tcPr>
          <w:p w14:paraId="610ACED8">
            <w:pPr>
              <w:ind w:firstLine="0" w:firstLineChars="0"/>
              <w:rPr>
                <w:rFonts w:ascii="宋体" w:hAnsi="宋体" w:cs="宋体"/>
                <w:sz w:val="18"/>
                <w:szCs w:val="18"/>
              </w:rPr>
            </w:pPr>
            <w:r>
              <w:rPr>
                <w:rFonts w:hint="eastAsia" w:ascii="宋体" w:hAnsi="宋体" w:cs="宋体"/>
                <w:sz w:val="18"/>
                <w:szCs w:val="18"/>
              </w:rPr>
              <w:t>快充充电桩设备数量与园区总充电桩设备数量之比。</w:t>
            </w:r>
          </w:p>
        </w:tc>
      </w:tr>
      <w:tr w14:paraId="4311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tcBorders>
            <w:vAlign w:val="center"/>
          </w:tcPr>
          <w:p w14:paraId="0ACB417D">
            <w:pPr>
              <w:ind w:firstLine="0" w:firstLineChars="0"/>
              <w:jc w:val="center"/>
              <w:rPr>
                <w:rFonts w:ascii="宋体" w:hAnsi="宋体" w:cs="宋体"/>
                <w:sz w:val="18"/>
                <w:szCs w:val="18"/>
              </w:rPr>
            </w:pPr>
          </w:p>
        </w:tc>
        <w:tc>
          <w:tcPr>
            <w:tcW w:w="1382" w:type="pct"/>
            <w:tcBorders>
              <w:bottom w:val="single" w:color="000000" w:sz="8" w:space="0"/>
            </w:tcBorders>
            <w:vAlign w:val="center"/>
          </w:tcPr>
          <w:p w14:paraId="329C097D">
            <w:pPr>
              <w:ind w:firstLine="0" w:firstLineChars="0"/>
              <w:rPr>
                <w:rFonts w:ascii="宋体" w:hAnsi="宋体" w:cs="宋体"/>
                <w:sz w:val="18"/>
                <w:szCs w:val="18"/>
              </w:rPr>
            </w:pPr>
            <w:r>
              <w:rPr>
                <w:rFonts w:hint="eastAsia" w:ascii="宋体" w:hAnsi="宋体" w:cs="宋体"/>
                <w:sz w:val="18"/>
                <w:szCs w:val="18"/>
              </w:rPr>
              <w:t>余能资源综合利用率</w:t>
            </w:r>
          </w:p>
        </w:tc>
        <w:tc>
          <w:tcPr>
            <w:tcW w:w="742" w:type="pct"/>
            <w:tcBorders>
              <w:bottom w:val="single" w:color="000000" w:sz="8" w:space="0"/>
            </w:tcBorders>
            <w:vAlign w:val="center"/>
          </w:tcPr>
          <w:p w14:paraId="2724D947">
            <w:pPr>
              <w:ind w:firstLine="0" w:firstLineChars="0"/>
              <w:jc w:val="center"/>
              <w:rPr>
                <w:rFonts w:ascii="宋体" w:hAnsi="宋体" w:cs="宋体"/>
                <w:sz w:val="18"/>
                <w:szCs w:val="18"/>
              </w:rPr>
            </w:pPr>
            <w:r>
              <w:rPr>
                <w:rFonts w:hint="eastAsia" w:ascii="宋体" w:hAnsi="宋体" w:cs="宋体"/>
                <w:sz w:val="18"/>
                <w:szCs w:val="18"/>
              </w:rPr>
              <w:t>≥50%</w:t>
            </w:r>
          </w:p>
        </w:tc>
        <w:tc>
          <w:tcPr>
            <w:tcW w:w="2264" w:type="pct"/>
            <w:tcBorders>
              <w:bottom w:val="single" w:color="000000" w:sz="8" w:space="0"/>
            </w:tcBorders>
            <w:vAlign w:val="center"/>
          </w:tcPr>
          <w:p w14:paraId="4BB03C9A">
            <w:pPr>
              <w:ind w:firstLine="0" w:firstLineChars="0"/>
              <w:rPr>
                <w:rFonts w:ascii="宋体" w:hAnsi="宋体" w:cs="宋体"/>
                <w:sz w:val="18"/>
                <w:szCs w:val="18"/>
              </w:rPr>
            </w:pPr>
            <w:r>
              <w:rPr>
                <w:rFonts w:hint="eastAsia" w:ascii="宋体" w:hAnsi="宋体" w:cs="宋体"/>
                <w:sz w:val="18"/>
                <w:szCs w:val="18"/>
              </w:rPr>
              <w:t>回收利用的余热余压与余热余能总产生量之比，余能指园区内空压机余热、冷库废冷、光伏弃电等可回收能源。</w:t>
            </w:r>
          </w:p>
        </w:tc>
      </w:tr>
      <w:tr w14:paraId="7F86E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tcBorders>
            <w:vAlign w:val="center"/>
          </w:tcPr>
          <w:p w14:paraId="1C476C37">
            <w:pPr>
              <w:ind w:firstLine="0" w:firstLineChars="0"/>
              <w:jc w:val="center"/>
              <w:rPr>
                <w:rFonts w:ascii="宋体" w:hAnsi="宋体" w:cs="宋体"/>
                <w:sz w:val="18"/>
                <w:szCs w:val="18"/>
              </w:rPr>
            </w:pPr>
          </w:p>
        </w:tc>
        <w:tc>
          <w:tcPr>
            <w:tcW w:w="1382" w:type="pct"/>
            <w:tcBorders>
              <w:bottom w:val="single" w:color="000000" w:sz="8" w:space="0"/>
            </w:tcBorders>
            <w:vAlign w:val="center"/>
          </w:tcPr>
          <w:p w14:paraId="7B0F4D26">
            <w:pPr>
              <w:ind w:firstLine="0" w:firstLineChars="0"/>
              <w:rPr>
                <w:rFonts w:ascii="宋体" w:hAnsi="宋体" w:cs="宋体"/>
                <w:sz w:val="18"/>
                <w:szCs w:val="18"/>
              </w:rPr>
            </w:pPr>
            <w:r>
              <w:rPr>
                <w:rFonts w:hint="eastAsia" w:ascii="宋体" w:hAnsi="宋体" w:cs="宋体"/>
                <w:sz w:val="18"/>
                <w:szCs w:val="18"/>
              </w:rPr>
              <w:t>固体废弃物综合利用率</w:t>
            </w:r>
          </w:p>
        </w:tc>
        <w:tc>
          <w:tcPr>
            <w:tcW w:w="742" w:type="pct"/>
            <w:tcBorders>
              <w:bottom w:val="single" w:color="000000" w:sz="8" w:space="0"/>
            </w:tcBorders>
            <w:vAlign w:val="center"/>
          </w:tcPr>
          <w:p w14:paraId="150F9C79">
            <w:pPr>
              <w:ind w:firstLine="0" w:firstLineChars="0"/>
              <w:jc w:val="center"/>
              <w:rPr>
                <w:rFonts w:ascii="宋体" w:hAnsi="宋体" w:cs="宋体"/>
                <w:sz w:val="18"/>
                <w:szCs w:val="18"/>
              </w:rPr>
            </w:pPr>
            <w:r>
              <w:rPr>
                <w:rFonts w:hint="eastAsia" w:ascii="宋体" w:hAnsi="宋体" w:cs="宋体"/>
                <w:sz w:val="18"/>
                <w:szCs w:val="18"/>
              </w:rPr>
              <w:t>≥95%</w:t>
            </w:r>
          </w:p>
        </w:tc>
        <w:tc>
          <w:tcPr>
            <w:tcW w:w="2264" w:type="pct"/>
            <w:tcBorders>
              <w:bottom w:val="single" w:color="000000" w:sz="8" w:space="0"/>
            </w:tcBorders>
            <w:vAlign w:val="center"/>
          </w:tcPr>
          <w:p w14:paraId="12F29691">
            <w:pPr>
              <w:ind w:firstLine="0" w:firstLineChars="0"/>
              <w:rPr>
                <w:rFonts w:ascii="宋体" w:hAnsi="宋体" w:cs="宋体"/>
                <w:sz w:val="18"/>
                <w:szCs w:val="18"/>
              </w:rPr>
            </w:pPr>
            <w:r>
              <w:rPr>
                <w:rFonts w:hint="eastAsia" w:ascii="宋体" w:hAnsi="宋体" w:cs="宋体"/>
                <w:sz w:val="18"/>
                <w:szCs w:val="18"/>
              </w:rPr>
              <w:t>循环利用的固体废弃物与园区固体废弃物总量之比，固废主要含物流包装如托盘、纸箱等。</w:t>
            </w:r>
          </w:p>
        </w:tc>
      </w:tr>
      <w:tr w14:paraId="7468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bottom w:val="single" w:color="000000" w:sz="8" w:space="0"/>
            </w:tcBorders>
            <w:vAlign w:val="center"/>
          </w:tcPr>
          <w:p w14:paraId="50A7A7B9">
            <w:pPr>
              <w:ind w:firstLine="0" w:firstLineChars="0"/>
              <w:jc w:val="center"/>
              <w:rPr>
                <w:rFonts w:ascii="宋体" w:hAnsi="宋体" w:cs="宋体"/>
                <w:sz w:val="18"/>
                <w:szCs w:val="18"/>
              </w:rPr>
            </w:pPr>
          </w:p>
        </w:tc>
        <w:tc>
          <w:tcPr>
            <w:tcW w:w="1382" w:type="pct"/>
            <w:tcBorders>
              <w:bottom w:val="single" w:color="000000" w:sz="8" w:space="0"/>
            </w:tcBorders>
            <w:vAlign w:val="center"/>
          </w:tcPr>
          <w:p w14:paraId="4ADA3222">
            <w:pPr>
              <w:ind w:firstLine="0" w:firstLineChars="0"/>
              <w:rPr>
                <w:rFonts w:ascii="宋体" w:hAnsi="宋体" w:cs="宋体"/>
                <w:sz w:val="18"/>
                <w:szCs w:val="18"/>
              </w:rPr>
            </w:pPr>
            <w:r>
              <w:rPr>
                <w:rFonts w:hint="eastAsia" w:ascii="宋体" w:hAnsi="宋体" w:cs="宋体"/>
                <w:sz w:val="18"/>
                <w:szCs w:val="18"/>
              </w:rPr>
              <w:t>废水回收利用率</w:t>
            </w:r>
          </w:p>
        </w:tc>
        <w:tc>
          <w:tcPr>
            <w:tcW w:w="742" w:type="pct"/>
            <w:tcBorders>
              <w:bottom w:val="single" w:color="000000" w:sz="8" w:space="0"/>
            </w:tcBorders>
            <w:vAlign w:val="center"/>
          </w:tcPr>
          <w:p w14:paraId="2FC21898">
            <w:pPr>
              <w:ind w:firstLine="0" w:firstLineChars="0"/>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95%</w:t>
            </w:r>
          </w:p>
        </w:tc>
        <w:tc>
          <w:tcPr>
            <w:tcW w:w="2264" w:type="pct"/>
            <w:tcBorders>
              <w:bottom w:val="single" w:color="000000" w:sz="8" w:space="0"/>
            </w:tcBorders>
            <w:vAlign w:val="center"/>
          </w:tcPr>
          <w:p w14:paraId="44365BAE">
            <w:pPr>
              <w:ind w:firstLine="0" w:firstLineChars="0"/>
              <w:rPr>
                <w:rFonts w:ascii="宋体" w:hAnsi="宋体" w:cs="宋体"/>
                <w:sz w:val="18"/>
                <w:szCs w:val="18"/>
              </w:rPr>
            </w:pPr>
            <w:r>
              <w:rPr>
                <w:rFonts w:hint="eastAsia" w:ascii="宋体" w:hAnsi="宋体" w:cs="宋体"/>
                <w:sz w:val="18"/>
                <w:szCs w:val="18"/>
              </w:rPr>
              <w:t>园区回收再利用废水量与园区水资源消耗总量之比。</w:t>
            </w:r>
          </w:p>
        </w:tc>
      </w:tr>
      <w:tr w14:paraId="47C5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restart"/>
            <w:tcBorders>
              <w:left w:val="single" w:color="000000" w:sz="8" w:space="0"/>
            </w:tcBorders>
            <w:vAlign w:val="center"/>
          </w:tcPr>
          <w:p w14:paraId="762CC531">
            <w:pPr>
              <w:ind w:firstLine="0" w:firstLineChars="0"/>
              <w:jc w:val="center"/>
              <w:rPr>
                <w:rFonts w:ascii="宋体" w:hAnsi="宋体" w:cs="宋体"/>
                <w:sz w:val="18"/>
                <w:szCs w:val="18"/>
              </w:rPr>
            </w:pPr>
            <w:r>
              <w:rPr>
                <w:rFonts w:hint="eastAsia" w:ascii="宋体" w:hAnsi="宋体" w:cs="宋体"/>
                <w:sz w:val="18"/>
                <w:szCs w:val="18"/>
              </w:rPr>
              <w:t>智慧</w:t>
            </w:r>
          </w:p>
        </w:tc>
        <w:tc>
          <w:tcPr>
            <w:tcW w:w="1382" w:type="pct"/>
            <w:tcBorders>
              <w:bottom w:val="single" w:color="000000" w:sz="8" w:space="0"/>
            </w:tcBorders>
            <w:vAlign w:val="center"/>
          </w:tcPr>
          <w:p w14:paraId="2E95D406">
            <w:pPr>
              <w:ind w:firstLine="0" w:firstLineChars="0"/>
              <w:rPr>
                <w:rFonts w:ascii="宋体" w:hAnsi="宋体" w:cs="宋体"/>
                <w:sz w:val="18"/>
                <w:szCs w:val="18"/>
              </w:rPr>
            </w:pPr>
            <w:r>
              <w:rPr>
                <w:rFonts w:hint="eastAsia" w:ascii="宋体" w:hAnsi="宋体" w:cs="宋体"/>
                <w:sz w:val="18"/>
                <w:szCs w:val="18"/>
              </w:rPr>
              <w:t>仓储自动化设备覆盖率</w:t>
            </w:r>
          </w:p>
        </w:tc>
        <w:tc>
          <w:tcPr>
            <w:tcW w:w="742" w:type="pct"/>
            <w:tcBorders>
              <w:bottom w:val="single" w:color="000000" w:sz="8" w:space="0"/>
            </w:tcBorders>
            <w:vAlign w:val="center"/>
          </w:tcPr>
          <w:p w14:paraId="44F3C152">
            <w:pPr>
              <w:ind w:firstLine="0" w:firstLineChars="0"/>
              <w:jc w:val="center"/>
              <w:rPr>
                <w:rFonts w:ascii="宋体" w:hAnsi="宋体" w:cs="宋体"/>
                <w:sz w:val="18"/>
                <w:szCs w:val="18"/>
              </w:rPr>
            </w:pPr>
            <w:r>
              <w:rPr>
                <w:rFonts w:hint="eastAsia" w:ascii="宋体" w:hAnsi="宋体" w:cs="宋体"/>
                <w:sz w:val="18"/>
                <w:szCs w:val="18"/>
              </w:rPr>
              <w:t>≥95%</w:t>
            </w:r>
          </w:p>
        </w:tc>
        <w:tc>
          <w:tcPr>
            <w:tcW w:w="2264" w:type="pct"/>
            <w:tcBorders>
              <w:bottom w:val="single" w:color="000000" w:sz="8" w:space="0"/>
            </w:tcBorders>
            <w:vAlign w:val="center"/>
          </w:tcPr>
          <w:p w14:paraId="564C4A25">
            <w:pPr>
              <w:ind w:firstLine="0" w:firstLineChars="0"/>
              <w:rPr>
                <w:rFonts w:ascii="宋体" w:hAnsi="宋体" w:cs="宋体"/>
                <w:sz w:val="18"/>
                <w:szCs w:val="18"/>
              </w:rPr>
            </w:pPr>
            <w:r>
              <w:rPr>
                <w:rFonts w:hint="eastAsia" w:ascii="宋体" w:hAnsi="宋体" w:cs="宋体"/>
                <w:sz w:val="18"/>
                <w:szCs w:val="18"/>
              </w:rPr>
              <w:t>自动化设备数量与仓储总设备量之比，自动化设备指 AGV 机器人、智能分拣机、立体货架堆垛机。</w:t>
            </w:r>
          </w:p>
        </w:tc>
      </w:tr>
      <w:tr w14:paraId="7676C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tcBorders>
          </w:tcPr>
          <w:p w14:paraId="7E3BF780">
            <w:pPr>
              <w:ind w:firstLine="0" w:firstLineChars="0"/>
              <w:rPr>
                <w:rFonts w:ascii="宋体" w:hAnsi="宋体" w:cs="宋体"/>
                <w:sz w:val="18"/>
                <w:szCs w:val="18"/>
              </w:rPr>
            </w:pPr>
          </w:p>
        </w:tc>
        <w:tc>
          <w:tcPr>
            <w:tcW w:w="1382" w:type="pct"/>
            <w:tcBorders>
              <w:bottom w:val="single" w:color="000000" w:sz="8" w:space="0"/>
            </w:tcBorders>
            <w:vAlign w:val="center"/>
          </w:tcPr>
          <w:p w14:paraId="5D92D8D8">
            <w:pPr>
              <w:ind w:firstLine="0" w:firstLineChars="0"/>
              <w:rPr>
                <w:rFonts w:ascii="宋体" w:hAnsi="宋体" w:cs="宋体"/>
                <w:sz w:val="18"/>
                <w:szCs w:val="18"/>
              </w:rPr>
            </w:pPr>
            <w:r>
              <w:rPr>
                <w:rFonts w:hint="eastAsia" w:ascii="宋体" w:hAnsi="宋体" w:cs="宋体"/>
                <w:sz w:val="18"/>
                <w:szCs w:val="18"/>
              </w:rPr>
              <w:t>智能物流装备使用率</w:t>
            </w:r>
          </w:p>
        </w:tc>
        <w:tc>
          <w:tcPr>
            <w:tcW w:w="742" w:type="pct"/>
            <w:tcBorders>
              <w:bottom w:val="single" w:color="000000" w:sz="8" w:space="0"/>
            </w:tcBorders>
            <w:vAlign w:val="center"/>
          </w:tcPr>
          <w:p w14:paraId="6595AD4F">
            <w:pPr>
              <w:ind w:firstLine="0" w:firstLineChars="0"/>
              <w:jc w:val="center"/>
              <w:rPr>
                <w:rFonts w:ascii="宋体" w:hAnsi="宋体" w:cs="宋体"/>
                <w:sz w:val="18"/>
                <w:szCs w:val="18"/>
              </w:rPr>
            </w:pPr>
            <w:r>
              <w:rPr>
                <w:rFonts w:hint="eastAsia" w:ascii="宋体" w:hAnsi="宋体" w:cs="宋体"/>
                <w:sz w:val="18"/>
                <w:szCs w:val="18"/>
              </w:rPr>
              <w:t>≥80%</w:t>
            </w:r>
          </w:p>
        </w:tc>
        <w:tc>
          <w:tcPr>
            <w:tcW w:w="2264" w:type="pct"/>
            <w:tcBorders>
              <w:bottom w:val="single" w:color="000000" w:sz="8" w:space="0"/>
            </w:tcBorders>
            <w:vAlign w:val="center"/>
          </w:tcPr>
          <w:p w14:paraId="3A269D8B">
            <w:pPr>
              <w:ind w:firstLine="0" w:firstLineChars="0"/>
              <w:rPr>
                <w:rFonts w:ascii="宋体" w:hAnsi="宋体" w:cs="宋体"/>
                <w:sz w:val="18"/>
                <w:szCs w:val="18"/>
              </w:rPr>
            </w:pPr>
            <w:r>
              <w:rPr>
                <w:rFonts w:hint="eastAsia" w:ascii="宋体" w:hAnsi="宋体" w:cs="宋体"/>
                <w:sz w:val="18"/>
                <w:szCs w:val="18"/>
              </w:rPr>
              <w:t>（统计周期内单台与多台智能物流装备每日实际运行台时累计值比值）除以（统计周期内单台与多台智能物流装备每日额定可运行台时累计值之比）。</w:t>
            </w:r>
          </w:p>
        </w:tc>
      </w:tr>
      <w:tr w14:paraId="74AD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10" w:type="pct"/>
            <w:vMerge w:val="continue"/>
            <w:tcBorders>
              <w:left w:val="single" w:color="000000" w:sz="8" w:space="0"/>
              <w:bottom w:val="single" w:color="000000" w:sz="8" w:space="0"/>
            </w:tcBorders>
          </w:tcPr>
          <w:p w14:paraId="4507DD08">
            <w:pPr>
              <w:ind w:firstLine="0" w:firstLineChars="0"/>
              <w:rPr>
                <w:rFonts w:ascii="宋体" w:hAnsi="宋体" w:cs="宋体"/>
                <w:sz w:val="18"/>
                <w:szCs w:val="18"/>
              </w:rPr>
            </w:pPr>
          </w:p>
        </w:tc>
        <w:tc>
          <w:tcPr>
            <w:tcW w:w="1382" w:type="pct"/>
            <w:tcBorders>
              <w:bottom w:val="single" w:color="000000" w:sz="8" w:space="0"/>
            </w:tcBorders>
            <w:vAlign w:val="center"/>
          </w:tcPr>
          <w:p w14:paraId="59B7616F">
            <w:pPr>
              <w:ind w:firstLine="0" w:firstLineChars="0"/>
              <w:rPr>
                <w:rFonts w:ascii="宋体" w:hAnsi="宋体" w:cs="宋体"/>
                <w:sz w:val="18"/>
                <w:szCs w:val="18"/>
              </w:rPr>
            </w:pPr>
            <w:bookmarkStart w:id="36" w:name="OLE_LINK1"/>
            <w:r>
              <w:rPr>
                <w:rFonts w:hint="eastAsia" w:ascii="宋体" w:hAnsi="宋体" w:cs="宋体"/>
                <w:sz w:val="18"/>
                <w:szCs w:val="18"/>
              </w:rPr>
              <w:t>智慧安防与监控覆盖率</w:t>
            </w:r>
            <w:bookmarkEnd w:id="36"/>
          </w:p>
        </w:tc>
        <w:tc>
          <w:tcPr>
            <w:tcW w:w="742" w:type="pct"/>
            <w:tcBorders>
              <w:bottom w:val="single" w:color="000000" w:sz="8" w:space="0"/>
            </w:tcBorders>
            <w:vAlign w:val="center"/>
          </w:tcPr>
          <w:p w14:paraId="6B21BDE2">
            <w:pPr>
              <w:ind w:firstLine="0" w:firstLineChars="0"/>
              <w:jc w:val="center"/>
              <w:rPr>
                <w:rFonts w:ascii="宋体" w:hAnsi="宋体" w:cs="宋体"/>
                <w:sz w:val="18"/>
                <w:szCs w:val="18"/>
              </w:rPr>
            </w:pPr>
            <w:r>
              <w:rPr>
                <w:rFonts w:ascii="宋体" w:hAnsi="宋体" w:cs="宋体"/>
                <w:sz w:val="18"/>
                <w:szCs w:val="18"/>
              </w:rPr>
              <w:t>100%</w:t>
            </w:r>
          </w:p>
        </w:tc>
        <w:tc>
          <w:tcPr>
            <w:tcW w:w="2264" w:type="pct"/>
            <w:tcBorders>
              <w:bottom w:val="single" w:color="000000" w:sz="8" w:space="0"/>
            </w:tcBorders>
            <w:vAlign w:val="center"/>
          </w:tcPr>
          <w:p w14:paraId="087E69C9">
            <w:pPr>
              <w:ind w:firstLine="0" w:firstLineChars="0"/>
              <w:rPr>
                <w:rFonts w:ascii="宋体" w:hAnsi="宋体" w:cs="宋体"/>
                <w:sz w:val="18"/>
                <w:szCs w:val="18"/>
              </w:rPr>
            </w:pPr>
            <w:r>
              <w:rPr>
                <w:rFonts w:hint="eastAsia" w:ascii="宋体" w:hAnsi="宋体" w:cs="宋体"/>
                <w:sz w:val="18"/>
                <w:szCs w:val="18"/>
              </w:rPr>
              <w:t>（统计周期内已实现智慧安防监控覆盖的核心区域与点位数量之比）除以（统计周期内园区需覆盖的安防核心区域 与点位总数之比）。</w:t>
            </w:r>
          </w:p>
        </w:tc>
      </w:tr>
    </w:tbl>
    <w:p w14:paraId="2BE74611">
      <w:pPr>
        <w:pStyle w:val="24"/>
      </w:pPr>
      <w:bookmarkStart w:id="37" w:name="_Toc387397148"/>
      <w:bookmarkEnd w:id="37"/>
    </w:p>
    <w:p w14:paraId="61568AA1">
      <w:pPr>
        <w:pStyle w:val="24"/>
      </w:pPr>
    </w:p>
    <w:p w14:paraId="6277CA1F">
      <w:pPr>
        <w:pStyle w:val="72"/>
        <w:ind w:firstLine="0" w:firstLineChars="0"/>
        <w:jc w:val="center"/>
      </w:pPr>
      <w:bookmarkStart w:id="38" w:name="_Toc7101"/>
      <w:bookmarkStart w:id="39" w:name="BKCKWX"/>
      <w:bookmarkStart w:id="40" w:name="_Toc17878131"/>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8"/>
      <w:bookmarkEnd w:id="39"/>
      <w:bookmarkEnd w:id="40"/>
    </w:p>
    <w:p w14:paraId="6D708782">
      <w:pPr>
        <w:pStyle w:val="146"/>
        <w:numPr>
          <w:ilvl w:val="0"/>
          <w:numId w:val="21"/>
        </w:numPr>
        <w:ind w:left="0" w:firstLine="420"/>
        <w:rPr>
          <w:rFonts w:hAnsi="宋体" w:cs="宋体"/>
        </w:rPr>
      </w:pPr>
      <w:r>
        <w:rPr>
          <w:rFonts w:hint="eastAsia" w:hAnsi="宋体" w:cs="宋体"/>
        </w:rPr>
        <w:t>GB/T 37102 物流园区绩效指标体系</w:t>
      </w:r>
    </w:p>
    <w:p w14:paraId="4EA7F40F">
      <w:pPr>
        <w:pStyle w:val="146"/>
        <w:numPr>
          <w:ilvl w:val="0"/>
          <w:numId w:val="21"/>
        </w:numPr>
        <w:ind w:left="0" w:firstLine="420"/>
        <w:rPr>
          <w:rFonts w:hAnsi="宋体" w:cs="宋体"/>
        </w:rPr>
      </w:pPr>
      <w:r>
        <w:rPr>
          <w:rFonts w:hint="eastAsia" w:hAnsi="宋体" w:cs="宋体"/>
        </w:rPr>
        <w:t>GB/T 44459 物流园区数字化通用技术要求</w:t>
      </w:r>
    </w:p>
    <w:p w14:paraId="041E5E73">
      <w:pPr>
        <w:pStyle w:val="146"/>
        <w:numPr>
          <w:ilvl w:val="0"/>
          <w:numId w:val="21"/>
        </w:numPr>
        <w:ind w:left="0" w:firstLine="420"/>
        <w:rPr>
          <w:rFonts w:hAnsi="宋体" w:cs="宋体"/>
        </w:rPr>
      </w:pPr>
      <w:r>
        <w:rPr>
          <w:rFonts w:hint="eastAsia" w:hAnsi="宋体" w:cs="宋体"/>
        </w:rPr>
        <w:t>GB/T 50378</w:t>
      </w:r>
      <w:r>
        <w:rPr>
          <w:rFonts w:hint="eastAsia" w:hAnsi="宋体" w:cs="宋体"/>
          <w:color w:val="000000"/>
          <w:szCs w:val="24"/>
        </w:rPr>
        <w:t xml:space="preserve"> </w:t>
      </w:r>
      <w:r>
        <w:rPr>
          <w:rFonts w:hint="eastAsia" w:hAnsi="宋体" w:cs="宋体"/>
        </w:rPr>
        <w:t>绿色建筑评价标准</w:t>
      </w:r>
    </w:p>
    <w:p w14:paraId="1C1A24EA">
      <w:pPr>
        <w:pStyle w:val="146"/>
        <w:numPr>
          <w:ilvl w:val="0"/>
          <w:numId w:val="21"/>
        </w:numPr>
        <w:ind w:left="0" w:firstLine="420"/>
        <w:rPr>
          <w:rFonts w:hAnsi="宋体" w:cs="宋体"/>
        </w:rPr>
      </w:pPr>
      <w:r>
        <w:rPr>
          <w:rFonts w:hint="eastAsia" w:hAnsi="宋体" w:cs="宋体"/>
        </w:rPr>
        <w:t>GB/T 50878</w:t>
      </w:r>
      <w:r>
        <w:rPr>
          <w:rFonts w:hint="eastAsia" w:hAnsi="宋体" w:cs="宋体"/>
          <w:color w:val="000000"/>
          <w:szCs w:val="24"/>
        </w:rPr>
        <w:t xml:space="preserve"> </w:t>
      </w:r>
      <w:r>
        <w:rPr>
          <w:rFonts w:hint="eastAsia" w:hAnsi="宋体" w:cs="宋体"/>
        </w:rPr>
        <w:t>绿色工业建筑评价标准</w:t>
      </w:r>
    </w:p>
    <w:p w14:paraId="15781A49">
      <w:pPr>
        <w:pStyle w:val="146"/>
        <w:numPr>
          <w:ilvl w:val="0"/>
          <w:numId w:val="21"/>
        </w:numPr>
        <w:ind w:left="0" w:firstLine="420"/>
        <w:rPr>
          <w:rFonts w:hAnsi="宋体" w:cs="宋体"/>
        </w:rPr>
      </w:pPr>
      <w:r>
        <w:rPr>
          <w:rFonts w:hint="eastAsia" w:hAnsi="宋体" w:cs="宋体"/>
        </w:rPr>
        <w:t>GB/T 51350 近零能耗建筑技术标准</w:t>
      </w:r>
    </w:p>
    <w:p w14:paraId="5F224B8A">
      <w:pPr>
        <w:pStyle w:val="146"/>
        <w:numPr>
          <w:ilvl w:val="0"/>
          <w:numId w:val="21"/>
        </w:numPr>
        <w:ind w:left="0" w:firstLine="420"/>
        <w:rPr>
          <w:rFonts w:hAnsi="宋体" w:cs="宋体"/>
        </w:rPr>
      </w:pPr>
      <w:r>
        <w:rPr>
          <w:rFonts w:hint="eastAsia" w:hAnsi="宋体" w:cs="宋体"/>
        </w:rPr>
        <w:t>GB/T 51366</w:t>
      </w:r>
      <w:r>
        <w:rPr>
          <w:rFonts w:hint="eastAsia" w:hAnsi="宋体" w:cs="宋体"/>
          <w:color w:val="000000"/>
          <w:szCs w:val="24"/>
        </w:rPr>
        <w:t xml:space="preserve"> </w:t>
      </w:r>
      <w:r>
        <w:rPr>
          <w:rFonts w:hint="eastAsia" w:hAnsi="宋体" w:cs="宋体"/>
        </w:rPr>
        <w:t>建筑碳排放计算标准</w:t>
      </w:r>
    </w:p>
    <w:p w14:paraId="4FFBAD0F">
      <w:pPr>
        <w:pStyle w:val="146"/>
        <w:numPr>
          <w:ilvl w:val="0"/>
          <w:numId w:val="21"/>
        </w:numPr>
        <w:ind w:left="0" w:firstLine="420"/>
        <w:rPr>
          <w:rFonts w:hAnsi="宋体" w:cs="宋体"/>
        </w:rPr>
      </w:pPr>
      <w:r>
        <w:rPr>
          <w:rFonts w:hint="eastAsia" w:hAnsi="宋体" w:cs="宋体"/>
        </w:rPr>
        <w:t>JT/T 1537.1-2025近零碳交通设施技术要求 第1部分：货运枢纽（物流园区）</w:t>
      </w:r>
    </w:p>
    <w:p w14:paraId="309D2231">
      <w:pPr>
        <w:pStyle w:val="146"/>
        <w:numPr>
          <w:ilvl w:val="0"/>
          <w:numId w:val="21"/>
        </w:numPr>
        <w:ind w:left="0" w:firstLine="420"/>
        <w:rPr>
          <w:rFonts w:hAnsi="宋体" w:cs="宋体"/>
        </w:rPr>
      </w:pPr>
      <w:r>
        <w:rPr>
          <w:rFonts w:hint="eastAsia" w:hAnsi="宋体" w:cs="宋体"/>
        </w:rPr>
        <w:t>SB/T 11198-2017商贸物流园区建设与运营服务规范</w:t>
      </w:r>
    </w:p>
    <w:p w14:paraId="6E59CBDF">
      <w:pPr>
        <w:pStyle w:val="146"/>
        <w:numPr>
          <w:ilvl w:val="0"/>
          <w:numId w:val="21"/>
        </w:numPr>
        <w:ind w:left="0" w:firstLine="420"/>
        <w:rPr>
          <w:rFonts w:hAnsi="宋体" w:cs="宋体"/>
        </w:rPr>
      </w:pPr>
      <w:r>
        <w:rPr>
          <w:rFonts w:hint="eastAsia" w:hAnsi="宋体" w:cs="宋体"/>
        </w:rPr>
        <w:t>WB/T 1134 物流企业绿色物流评估指标</w:t>
      </w:r>
    </w:p>
    <w:p w14:paraId="3F7C5CEC">
      <w:pPr>
        <w:pStyle w:val="146"/>
        <w:numPr>
          <w:ilvl w:val="0"/>
          <w:numId w:val="21"/>
        </w:numPr>
        <w:ind w:left="0" w:firstLine="420"/>
        <w:rPr>
          <w:rFonts w:hAnsi="宋体" w:cs="宋体"/>
        </w:rPr>
      </w:pPr>
      <w:r>
        <w:rPr>
          <w:rFonts w:hint="eastAsia" w:hAnsi="宋体" w:cs="宋体"/>
        </w:rPr>
        <w:t>T/CECA-G 0344 零碳园区评价技术规范</w:t>
      </w:r>
    </w:p>
    <w:p w14:paraId="791254A0">
      <w:pPr>
        <w:pStyle w:val="146"/>
        <w:numPr>
          <w:ilvl w:val="0"/>
          <w:numId w:val="21"/>
        </w:numPr>
        <w:ind w:left="0" w:firstLine="420"/>
        <w:rPr>
          <w:rFonts w:hAnsi="宋体" w:cs="宋体"/>
        </w:rPr>
      </w:pPr>
      <w:r>
        <w:rPr>
          <w:rFonts w:hint="eastAsia" w:hAnsi="宋体" w:cs="宋体"/>
        </w:rPr>
        <w:t>T/CSUS 66-2023 智慧零碳园区评价标准</w:t>
      </w:r>
    </w:p>
    <w:p w14:paraId="42D19620">
      <w:pPr>
        <w:pStyle w:val="146"/>
        <w:numPr>
          <w:ilvl w:val="0"/>
          <w:numId w:val="21"/>
        </w:numPr>
        <w:ind w:left="0" w:firstLine="420"/>
        <w:rPr>
          <w:rFonts w:hAnsi="宋体" w:cs="宋体"/>
        </w:rPr>
      </w:pPr>
      <w:r>
        <w:rPr>
          <w:rFonts w:hint="eastAsia" w:hAnsi="宋体" w:cs="宋体"/>
        </w:rPr>
        <w:t>T/SEESA014 零碳物流园区创建与评价技术规范</w:t>
      </w:r>
    </w:p>
    <w:p w14:paraId="7D791CA4">
      <w:pPr>
        <w:pStyle w:val="146"/>
        <w:numPr>
          <w:ilvl w:val="0"/>
          <w:numId w:val="21"/>
        </w:numPr>
        <w:ind w:left="0" w:firstLine="420"/>
        <w:rPr>
          <w:rFonts w:hAnsi="宋体" w:cs="宋体"/>
        </w:rPr>
      </w:pPr>
      <w:r>
        <w:rPr>
          <w:rFonts w:hint="eastAsia" w:hAnsi="宋体" w:cs="宋体"/>
        </w:rPr>
        <w:t>ISO 14064-1 碳排放和清除的量化与报告的规范及指南</w:t>
      </w:r>
    </w:p>
    <w:p w14:paraId="52D820A9">
      <w:pPr>
        <w:pStyle w:val="146"/>
        <w:numPr>
          <w:ilvl w:val="0"/>
          <w:numId w:val="21"/>
        </w:numPr>
        <w:ind w:left="0" w:firstLine="420"/>
        <w:rPr>
          <w:rFonts w:hAnsi="宋体" w:cs="宋体"/>
        </w:rPr>
      </w:pPr>
      <w:r>
        <w:rPr>
          <w:rFonts w:hint="eastAsia" w:hAnsi="宋体"/>
        </w:rPr>
        <w:t>《重点用能产品设备能效先进水平、节能水平和准入水平（</w:t>
      </w:r>
      <w:r>
        <w:rPr>
          <w:rFonts w:hAnsi="宋体"/>
        </w:rPr>
        <w:t xml:space="preserve">2024 </w:t>
      </w:r>
      <w:r>
        <w:rPr>
          <w:rFonts w:hint="eastAsia" w:hAnsi="宋体"/>
        </w:rPr>
        <w:t>年版）》</w:t>
      </w:r>
    </w:p>
    <w:p w14:paraId="5EE19C55">
      <w:pPr>
        <w:pStyle w:val="127"/>
        <w:framePr w:wrap="around"/>
        <w:ind w:firstLine="0" w:firstLineChars="0"/>
      </w:pPr>
      <w:r>
        <w:t>_________________________________</w:t>
      </w:r>
    </w:p>
    <w:sectPr>
      <w:pgSz w:w="11906" w:h="16838"/>
      <w:pgMar w:top="567" w:right="1134" w:bottom="1134" w:left="1417"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2C15">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471C">
    <w:pPr>
      <w:pStyle w:val="69"/>
      <w:jc w:val="right"/>
    </w:pPr>
    <w:r>
      <w:fldChar w:fldCharType="begin"/>
    </w:r>
    <w:r>
      <w:instrText xml:space="preserve"> PAGE  \* MERGEFORMAT </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6DE2">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1087">
    <w:pPr>
      <w:pStyle w:val="44"/>
    </w:pP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228C">
    <w:pPr>
      <w:pStyle w:val="44"/>
    </w:pPr>
    <w:r>
      <w:fldChar w:fldCharType="begin"/>
    </w:r>
    <w:r>
      <w:instrText xml:space="preserve"> PAGE  \* MERGEFORMAT </w:instrText>
    </w:r>
    <w:r>
      <w:fldChar w:fldCharType="separate"/>
    </w:r>
    <w: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D6B6">
    <w:pPr>
      <w:pStyle w:val="69"/>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BA72">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DBA2">
    <w:pPr>
      <w:pStyle w:val="70"/>
      <w:jc w:val="right"/>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8C5C">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43C5">
    <w:pPr>
      <w:pStyle w:val="45"/>
      <w:rPr>
        <w:rFonts w:hAnsi="黑体"/>
      </w:rPr>
    </w:pPr>
    <w:r>
      <w:rPr>
        <w:rFonts w:hAnsi="黑体"/>
      </w:rPr>
      <w:t>DB11/T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7BC7">
    <w:pPr>
      <w:pStyle w:val="45"/>
    </w:pPr>
    <w:r>
      <w:t>DB11/T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F078">
    <w:pPr>
      <w:pStyle w:val="70"/>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5"/>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DA1C0A8"/>
    <w:multiLevelType w:val="multilevel"/>
    <w:tmpl w:val="4DA1C0A8"/>
    <w:lvl w:ilvl="0" w:tentative="0">
      <w:start w:val="1"/>
      <w:numFmt w:val="decimal"/>
      <w:suff w:val="spac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520F62E9"/>
    <w:multiLevelType w:val="multilevel"/>
    <w:tmpl w:val="520F62E9"/>
    <w:lvl w:ilvl="0" w:tentative="0">
      <w:start w:val="1"/>
      <w:numFmt w:val="decimal"/>
      <w:pStyle w:val="126"/>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default"/>
        <w:color w:val="auto"/>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24"/>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63"/>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9"/>
      <w:suff w:val="nothing"/>
      <w:lvlText w:val="%1%2　"/>
      <w:lvlJc w:val="left"/>
      <w:pPr>
        <w:ind w:left="0" w:firstLine="0"/>
      </w:pPr>
      <w:rPr>
        <w:rFonts w:hint="eastAsia" w:ascii="黑体" w:eastAsia="黑体"/>
        <w:b w:val="0"/>
        <w:i w:val="0"/>
        <w:sz w:val="21"/>
      </w:rPr>
    </w:lvl>
    <w:lvl w:ilvl="2" w:tentative="0">
      <w:start w:val="1"/>
      <w:numFmt w:val="decimal"/>
      <w:pStyle w:val="14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14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15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7"/>
  </w:num>
  <w:num w:numId="2">
    <w:abstractNumId w:val="2"/>
  </w:num>
  <w:num w:numId="3">
    <w:abstractNumId w:val="6"/>
  </w:num>
  <w:num w:numId="4">
    <w:abstractNumId w:val="13"/>
  </w:num>
  <w:num w:numId="5">
    <w:abstractNumId w:val="8"/>
  </w:num>
  <w:num w:numId="6">
    <w:abstractNumId w:val="1"/>
  </w:num>
  <w:num w:numId="7">
    <w:abstractNumId w:val="11"/>
  </w:num>
  <w:num w:numId="8">
    <w:abstractNumId w:val="16"/>
  </w:num>
  <w:num w:numId="9">
    <w:abstractNumId w:val="4"/>
  </w:num>
  <w:num w:numId="10">
    <w:abstractNumId w:val="0"/>
  </w:num>
  <w:num w:numId="11">
    <w:abstractNumId w:val="15"/>
  </w:num>
  <w:num w:numId="12">
    <w:abstractNumId w:val="12"/>
  </w:num>
  <w:num w:numId="13">
    <w:abstractNumId w:val="18"/>
  </w:num>
  <w:num w:numId="14">
    <w:abstractNumId w:val="5"/>
  </w:num>
  <w:num w:numId="15">
    <w:abstractNumId w:val="3"/>
  </w:num>
  <w:num w:numId="16">
    <w:abstractNumId w:val="14"/>
  </w:num>
  <w:num w:numId="17">
    <w:abstractNumId w:val="10"/>
  </w:num>
  <w:num w:numId="18">
    <w:abstractNumId w:val="17"/>
  </w:num>
  <w:num w:numId="19">
    <w:abstractNumId w:val="19"/>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mVhMmYyMmJjN2VhYzFhNDE2NDFlNWYzNGVjZDgifQ=="/>
  </w:docVars>
  <w:rsids>
    <w:rsidRoot w:val="00035925"/>
    <w:rsid w:val="00000244"/>
    <w:rsid w:val="00000BB3"/>
    <w:rsid w:val="0000185F"/>
    <w:rsid w:val="00004873"/>
    <w:rsid w:val="00004B91"/>
    <w:rsid w:val="00004E32"/>
    <w:rsid w:val="0000586F"/>
    <w:rsid w:val="00013D86"/>
    <w:rsid w:val="00013E02"/>
    <w:rsid w:val="00014623"/>
    <w:rsid w:val="000172DC"/>
    <w:rsid w:val="0002143C"/>
    <w:rsid w:val="00025A65"/>
    <w:rsid w:val="00026C31"/>
    <w:rsid w:val="00027280"/>
    <w:rsid w:val="0003043E"/>
    <w:rsid w:val="000320A7"/>
    <w:rsid w:val="000325EA"/>
    <w:rsid w:val="00033530"/>
    <w:rsid w:val="00035925"/>
    <w:rsid w:val="00036C2C"/>
    <w:rsid w:val="00042835"/>
    <w:rsid w:val="00044D1D"/>
    <w:rsid w:val="00045A7C"/>
    <w:rsid w:val="00055371"/>
    <w:rsid w:val="00056A24"/>
    <w:rsid w:val="00057CE5"/>
    <w:rsid w:val="000607A3"/>
    <w:rsid w:val="000657F7"/>
    <w:rsid w:val="000678C2"/>
    <w:rsid w:val="00067CDF"/>
    <w:rsid w:val="00074FBE"/>
    <w:rsid w:val="0007762A"/>
    <w:rsid w:val="00081F6E"/>
    <w:rsid w:val="00083A09"/>
    <w:rsid w:val="00083B44"/>
    <w:rsid w:val="00084875"/>
    <w:rsid w:val="0009005E"/>
    <w:rsid w:val="000918A9"/>
    <w:rsid w:val="00092001"/>
    <w:rsid w:val="00092618"/>
    <w:rsid w:val="00092857"/>
    <w:rsid w:val="00092BD8"/>
    <w:rsid w:val="000964C7"/>
    <w:rsid w:val="000968D7"/>
    <w:rsid w:val="000979D9"/>
    <w:rsid w:val="000A20A9"/>
    <w:rsid w:val="000A48B1"/>
    <w:rsid w:val="000B2F0E"/>
    <w:rsid w:val="000B3143"/>
    <w:rsid w:val="000B405D"/>
    <w:rsid w:val="000C2BE6"/>
    <w:rsid w:val="000C6B05"/>
    <w:rsid w:val="000C6DD6"/>
    <w:rsid w:val="000C73D4"/>
    <w:rsid w:val="000D22B0"/>
    <w:rsid w:val="000D3D4C"/>
    <w:rsid w:val="000D4F51"/>
    <w:rsid w:val="000D718B"/>
    <w:rsid w:val="000E0C46"/>
    <w:rsid w:val="000E15EE"/>
    <w:rsid w:val="000E7BA5"/>
    <w:rsid w:val="000F030C"/>
    <w:rsid w:val="000F129C"/>
    <w:rsid w:val="000F174F"/>
    <w:rsid w:val="000F5CF9"/>
    <w:rsid w:val="000F69AE"/>
    <w:rsid w:val="0010343F"/>
    <w:rsid w:val="00104E29"/>
    <w:rsid w:val="001056DE"/>
    <w:rsid w:val="0011090E"/>
    <w:rsid w:val="001124C0"/>
    <w:rsid w:val="00114610"/>
    <w:rsid w:val="00117A25"/>
    <w:rsid w:val="0012053B"/>
    <w:rsid w:val="00121293"/>
    <w:rsid w:val="0012429C"/>
    <w:rsid w:val="00126FF0"/>
    <w:rsid w:val="0013175F"/>
    <w:rsid w:val="00132283"/>
    <w:rsid w:val="0013283D"/>
    <w:rsid w:val="0013364D"/>
    <w:rsid w:val="001343BB"/>
    <w:rsid w:val="001432CC"/>
    <w:rsid w:val="00143E03"/>
    <w:rsid w:val="0014450D"/>
    <w:rsid w:val="00145160"/>
    <w:rsid w:val="001512B4"/>
    <w:rsid w:val="00153A26"/>
    <w:rsid w:val="00155C90"/>
    <w:rsid w:val="001620A5"/>
    <w:rsid w:val="00164E53"/>
    <w:rsid w:val="00165D35"/>
    <w:rsid w:val="0016699D"/>
    <w:rsid w:val="001670D9"/>
    <w:rsid w:val="0016727D"/>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A288E"/>
    <w:rsid w:val="001B36ED"/>
    <w:rsid w:val="001B4613"/>
    <w:rsid w:val="001B6DC2"/>
    <w:rsid w:val="001B754B"/>
    <w:rsid w:val="001C149C"/>
    <w:rsid w:val="001C21AC"/>
    <w:rsid w:val="001C2FA4"/>
    <w:rsid w:val="001C3689"/>
    <w:rsid w:val="001C47BA"/>
    <w:rsid w:val="001C59EA"/>
    <w:rsid w:val="001D1628"/>
    <w:rsid w:val="001D3556"/>
    <w:rsid w:val="001D406C"/>
    <w:rsid w:val="001D41EE"/>
    <w:rsid w:val="001D4BEB"/>
    <w:rsid w:val="001D71E6"/>
    <w:rsid w:val="001E02B5"/>
    <w:rsid w:val="001E0380"/>
    <w:rsid w:val="001E0B1B"/>
    <w:rsid w:val="001E13B1"/>
    <w:rsid w:val="001E1E6E"/>
    <w:rsid w:val="001E2153"/>
    <w:rsid w:val="001F389D"/>
    <w:rsid w:val="001F3A19"/>
    <w:rsid w:val="001F5D19"/>
    <w:rsid w:val="0020096A"/>
    <w:rsid w:val="002009E4"/>
    <w:rsid w:val="00201053"/>
    <w:rsid w:val="0020251B"/>
    <w:rsid w:val="002073D3"/>
    <w:rsid w:val="00215D48"/>
    <w:rsid w:val="0021624B"/>
    <w:rsid w:val="0022185E"/>
    <w:rsid w:val="00227FED"/>
    <w:rsid w:val="0023030A"/>
    <w:rsid w:val="00230F08"/>
    <w:rsid w:val="0023154F"/>
    <w:rsid w:val="00234467"/>
    <w:rsid w:val="00235BE6"/>
    <w:rsid w:val="00237D8D"/>
    <w:rsid w:val="00241DA2"/>
    <w:rsid w:val="0024711F"/>
    <w:rsid w:val="00247FEE"/>
    <w:rsid w:val="00250E7D"/>
    <w:rsid w:val="002523DB"/>
    <w:rsid w:val="002527DD"/>
    <w:rsid w:val="00252DAA"/>
    <w:rsid w:val="002565D5"/>
    <w:rsid w:val="00260054"/>
    <w:rsid w:val="002622C0"/>
    <w:rsid w:val="002778AE"/>
    <w:rsid w:val="00281FDC"/>
    <w:rsid w:val="0028269A"/>
    <w:rsid w:val="00283590"/>
    <w:rsid w:val="0028488E"/>
    <w:rsid w:val="00285D48"/>
    <w:rsid w:val="00286973"/>
    <w:rsid w:val="00287674"/>
    <w:rsid w:val="002938A4"/>
    <w:rsid w:val="00294E70"/>
    <w:rsid w:val="002954B8"/>
    <w:rsid w:val="002967B2"/>
    <w:rsid w:val="002A1924"/>
    <w:rsid w:val="002A7409"/>
    <w:rsid w:val="002A7420"/>
    <w:rsid w:val="002A7A7E"/>
    <w:rsid w:val="002B0F12"/>
    <w:rsid w:val="002B1308"/>
    <w:rsid w:val="002B4554"/>
    <w:rsid w:val="002B707C"/>
    <w:rsid w:val="002C124B"/>
    <w:rsid w:val="002C32FF"/>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2A3F"/>
    <w:rsid w:val="00303D27"/>
    <w:rsid w:val="0030500D"/>
    <w:rsid w:val="00305BEE"/>
    <w:rsid w:val="00313962"/>
    <w:rsid w:val="00322C71"/>
    <w:rsid w:val="003234E0"/>
    <w:rsid w:val="00325926"/>
    <w:rsid w:val="00327A8A"/>
    <w:rsid w:val="003339A3"/>
    <w:rsid w:val="00336610"/>
    <w:rsid w:val="00341F5C"/>
    <w:rsid w:val="00343D23"/>
    <w:rsid w:val="00343F73"/>
    <w:rsid w:val="00344591"/>
    <w:rsid w:val="00345060"/>
    <w:rsid w:val="003451FB"/>
    <w:rsid w:val="00346617"/>
    <w:rsid w:val="00352629"/>
    <w:rsid w:val="0035323B"/>
    <w:rsid w:val="00353D19"/>
    <w:rsid w:val="003553A9"/>
    <w:rsid w:val="0035785A"/>
    <w:rsid w:val="003609D2"/>
    <w:rsid w:val="00363F22"/>
    <w:rsid w:val="00364813"/>
    <w:rsid w:val="00364940"/>
    <w:rsid w:val="00366E88"/>
    <w:rsid w:val="00375564"/>
    <w:rsid w:val="00376489"/>
    <w:rsid w:val="00377BA4"/>
    <w:rsid w:val="00377DB9"/>
    <w:rsid w:val="00383191"/>
    <w:rsid w:val="003866F7"/>
    <w:rsid w:val="00386DED"/>
    <w:rsid w:val="003912E7"/>
    <w:rsid w:val="00393947"/>
    <w:rsid w:val="00395141"/>
    <w:rsid w:val="003A0E27"/>
    <w:rsid w:val="003A2275"/>
    <w:rsid w:val="003A4469"/>
    <w:rsid w:val="003A6A4F"/>
    <w:rsid w:val="003A7088"/>
    <w:rsid w:val="003B00DF"/>
    <w:rsid w:val="003B1275"/>
    <w:rsid w:val="003B1778"/>
    <w:rsid w:val="003B1E8E"/>
    <w:rsid w:val="003C11CB"/>
    <w:rsid w:val="003C2453"/>
    <w:rsid w:val="003C3017"/>
    <w:rsid w:val="003C31E0"/>
    <w:rsid w:val="003C6A77"/>
    <w:rsid w:val="003C75F3"/>
    <w:rsid w:val="003C78A3"/>
    <w:rsid w:val="003D1B88"/>
    <w:rsid w:val="003D36AB"/>
    <w:rsid w:val="003E1867"/>
    <w:rsid w:val="003E5729"/>
    <w:rsid w:val="003E724E"/>
    <w:rsid w:val="003E7CB0"/>
    <w:rsid w:val="003F1D40"/>
    <w:rsid w:val="003F22BB"/>
    <w:rsid w:val="003F2A5B"/>
    <w:rsid w:val="003F3015"/>
    <w:rsid w:val="003F4EE0"/>
    <w:rsid w:val="003F5559"/>
    <w:rsid w:val="00400473"/>
    <w:rsid w:val="00402153"/>
    <w:rsid w:val="00402E26"/>
    <w:rsid w:val="00402FC1"/>
    <w:rsid w:val="00404BCC"/>
    <w:rsid w:val="004200D9"/>
    <w:rsid w:val="00424A44"/>
    <w:rsid w:val="00425082"/>
    <w:rsid w:val="00431DEB"/>
    <w:rsid w:val="00433659"/>
    <w:rsid w:val="00434AFB"/>
    <w:rsid w:val="0044259D"/>
    <w:rsid w:val="004439D9"/>
    <w:rsid w:val="004444E6"/>
    <w:rsid w:val="00446B29"/>
    <w:rsid w:val="004524BE"/>
    <w:rsid w:val="00453F9A"/>
    <w:rsid w:val="00454CC3"/>
    <w:rsid w:val="00464903"/>
    <w:rsid w:val="00466752"/>
    <w:rsid w:val="00471E91"/>
    <w:rsid w:val="00473145"/>
    <w:rsid w:val="00474079"/>
    <w:rsid w:val="00474675"/>
    <w:rsid w:val="0047470C"/>
    <w:rsid w:val="004768A8"/>
    <w:rsid w:val="004826C0"/>
    <w:rsid w:val="0048440F"/>
    <w:rsid w:val="00484C88"/>
    <w:rsid w:val="004A1806"/>
    <w:rsid w:val="004A203E"/>
    <w:rsid w:val="004A35F9"/>
    <w:rsid w:val="004A3DD8"/>
    <w:rsid w:val="004A4662"/>
    <w:rsid w:val="004A6537"/>
    <w:rsid w:val="004A7DF8"/>
    <w:rsid w:val="004A7E02"/>
    <w:rsid w:val="004B157A"/>
    <w:rsid w:val="004B20D2"/>
    <w:rsid w:val="004B24C1"/>
    <w:rsid w:val="004B3092"/>
    <w:rsid w:val="004B49B1"/>
    <w:rsid w:val="004B557C"/>
    <w:rsid w:val="004C292F"/>
    <w:rsid w:val="004C5886"/>
    <w:rsid w:val="004C657F"/>
    <w:rsid w:val="004C76DD"/>
    <w:rsid w:val="004D306F"/>
    <w:rsid w:val="004D4B02"/>
    <w:rsid w:val="004D4E64"/>
    <w:rsid w:val="004D4F76"/>
    <w:rsid w:val="004E4B13"/>
    <w:rsid w:val="004E4B8C"/>
    <w:rsid w:val="004E5A47"/>
    <w:rsid w:val="004E7EB0"/>
    <w:rsid w:val="004F2EF3"/>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34BB"/>
    <w:rsid w:val="00534C02"/>
    <w:rsid w:val="0054044C"/>
    <w:rsid w:val="0054264B"/>
    <w:rsid w:val="00543786"/>
    <w:rsid w:val="00545A49"/>
    <w:rsid w:val="005463CC"/>
    <w:rsid w:val="00546D0D"/>
    <w:rsid w:val="0055099B"/>
    <w:rsid w:val="0055153A"/>
    <w:rsid w:val="005533D7"/>
    <w:rsid w:val="00554B63"/>
    <w:rsid w:val="00562CF6"/>
    <w:rsid w:val="00563FC9"/>
    <w:rsid w:val="0056544B"/>
    <w:rsid w:val="00567177"/>
    <w:rsid w:val="005703DE"/>
    <w:rsid w:val="005710BC"/>
    <w:rsid w:val="00573910"/>
    <w:rsid w:val="005755F1"/>
    <w:rsid w:val="00577AE9"/>
    <w:rsid w:val="00582BBE"/>
    <w:rsid w:val="005833F1"/>
    <w:rsid w:val="0058464E"/>
    <w:rsid w:val="00585563"/>
    <w:rsid w:val="0058650E"/>
    <w:rsid w:val="00592D29"/>
    <w:rsid w:val="005A01CB"/>
    <w:rsid w:val="005A19A9"/>
    <w:rsid w:val="005A58FF"/>
    <w:rsid w:val="005A5EAF"/>
    <w:rsid w:val="005A6491"/>
    <w:rsid w:val="005A64C0"/>
    <w:rsid w:val="005B1985"/>
    <w:rsid w:val="005B3C11"/>
    <w:rsid w:val="005B65B8"/>
    <w:rsid w:val="005C1C28"/>
    <w:rsid w:val="005C43D0"/>
    <w:rsid w:val="005C4D16"/>
    <w:rsid w:val="005C6628"/>
    <w:rsid w:val="005C6DB5"/>
    <w:rsid w:val="005D21C5"/>
    <w:rsid w:val="005D3077"/>
    <w:rsid w:val="005D3842"/>
    <w:rsid w:val="005D626D"/>
    <w:rsid w:val="005E140F"/>
    <w:rsid w:val="005E19E7"/>
    <w:rsid w:val="005E2346"/>
    <w:rsid w:val="005E2392"/>
    <w:rsid w:val="005F3CD8"/>
    <w:rsid w:val="0060073E"/>
    <w:rsid w:val="00601622"/>
    <w:rsid w:val="00603E2B"/>
    <w:rsid w:val="0060789B"/>
    <w:rsid w:val="0061037E"/>
    <w:rsid w:val="00613FAA"/>
    <w:rsid w:val="00616C36"/>
    <w:rsid w:val="0061716C"/>
    <w:rsid w:val="006171AF"/>
    <w:rsid w:val="00617868"/>
    <w:rsid w:val="006243A1"/>
    <w:rsid w:val="00626005"/>
    <w:rsid w:val="00626C40"/>
    <w:rsid w:val="00632E56"/>
    <w:rsid w:val="00635CBA"/>
    <w:rsid w:val="00636EFC"/>
    <w:rsid w:val="00640BCE"/>
    <w:rsid w:val="0064338B"/>
    <w:rsid w:val="00646542"/>
    <w:rsid w:val="006504F4"/>
    <w:rsid w:val="0065366F"/>
    <w:rsid w:val="00654BC9"/>
    <w:rsid w:val="006552FD"/>
    <w:rsid w:val="00656F0B"/>
    <w:rsid w:val="006600EE"/>
    <w:rsid w:val="00663733"/>
    <w:rsid w:val="00663AF3"/>
    <w:rsid w:val="00666B6C"/>
    <w:rsid w:val="006726B8"/>
    <w:rsid w:val="0067447F"/>
    <w:rsid w:val="00677B54"/>
    <w:rsid w:val="00682682"/>
    <w:rsid w:val="00682702"/>
    <w:rsid w:val="00683510"/>
    <w:rsid w:val="00692368"/>
    <w:rsid w:val="00695192"/>
    <w:rsid w:val="006A2EBC"/>
    <w:rsid w:val="006A5EA0"/>
    <w:rsid w:val="006A783B"/>
    <w:rsid w:val="006A7B33"/>
    <w:rsid w:val="006B37B1"/>
    <w:rsid w:val="006B497F"/>
    <w:rsid w:val="006B4E13"/>
    <w:rsid w:val="006B75DD"/>
    <w:rsid w:val="006C047C"/>
    <w:rsid w:val="006C1B85"/>
    <w:rsid w:val="006C3D8B"/>
    <w:rsid w:val="006C67E0"/>
    <w:rsid w:val="006C7ABA"/>
    <w:rsid w:val="006D0A13"/>
    <w:rsid w:val="006D0C1F"/>
    <w:rsid w:val="006D0D60"/>
    <w:rsid w:val="006D1122"/>
    <w:rsid w:val="006D317E"/>
    <w:rsid w:val="006D3B1E"/>
    <w:rsid w:val="006D3C00"/>
    <w:rsid w:val="006E06AD"/>
    <w:rsid w:val="006E3675"/>
    <w:rsid w:val="006E4A7F"/>
    <w:rsid w:val="006E6D31"/>
    <w:rsid w:val="006F0967"/>
    <w:rsid w:val="006F2274"/>
    <w:rsid w:val="006F64A0"/>
    <w:rsid w:val="0070038F"/>
    <w:rsid w:val="007027B1"/>
    <w:rsid w:val="0070286C"/>
    <w:rsid w:val="00704DF6"/>
    <w:rsid w:val="0070641D"/>
    <w:rsid w:val="0070651C"/>
    <w:rsid w:val="007132A3"/>
    <w:rsid w:val="007157FD"/>
    <w:rsid w:val="00716421"/>
    <w:rsid w:val="00721419"/>
    <w:rsid w:val="00724EFB"/>
    <w:rsid w:val="00725373"/>
    <w:rsid w:val="0072617B"/>
    <w:rsid w:val="00726575"/>
    <w:rsid w:val="00730310"/>
    <w:rsid w:val="00740A49"/>
    <w:rsid w:val="007419C3"/>
    <w:rsid w:val="00746559"/>
    <w:rsid w:val="007467A7"/>
    <w:rsid w:val="007469DD"/>
    <w:rsid w:val="0074741B"/>
    <w:rsid w:val="0074759E"/>
    <w:rsid w:val="007478EA"/>
    <w:rsid w:val="007536E7"/>
    <w:rsid w:val="0075415C"/>
    <w:rsid w:val="00757097"/>
    <w:rsid w:val="007606CB"/>
    <w:rsid w:val="00761E8B"/>
    <w:rsid w:val="00763502"/>
    <w:rsid w:val="00780238"/>
    <w:rsid w:val="00780DE2"/>
    <w:rsid w:val="007913AB"/>
    <w:rsid w:val="007914F7"/>
    <w:rsid w:val="00795C73"/>
    <w:rsid w:val="007A096A"/>
    <w:rsid w:val="007A11A0"/>
    <w:rsid w:val="007A2791"/>
    <w:rsid w:val="007A4809"/>
    <w:rsid w:val="007B1625"/>
    <w:rsid w:val="007B3F6F"/>
    <w:rsid w:val="007B5223"/>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54C"/>
    <w:rsid w:val="008071C6"/>
    <w:rsid w:val="00817474"/>
    <w:rsid w:val="00817A00"/>
    <w:rsid w:val="00820B95"/>
    <w:rsid w:val="00825891"/>
    <w:rsid w:val="00831631"/>
    <w:rsid w:val="0083228D"/>
    <w:rsid w:val="00833D07"/>
    <w:rsid w:val="00835DB3"/>
    <w:rsid w:val="0083617B"/>
    <w:rsid w:val="00836342"/>
    <w:rsid w:val="00836A2D"/>
    <w:rsid w:val="008371BD"/>
    <w:rsid w:val="00840EBF"/>
    <w:rsid w:val="008422EF"/>
    <w:rsid w:val="00842BC3"/>
    <w:rsid w:val="008504A8"/>
    <w:rsid w:val="008518FA"/>
    <w:rsid w:val="00851B58"/>
    <w:rsid w:val="0085282E"/>
    <w:rsid w:val="00857798"/>
    <w:rsid w:val="0086249E"/>
    <w:rsid w:val="0086297D"/>
    <w:rsid w:val="00867088"/>
    <w:rsid w:val="00871526"/>
    <w:rsid w:val="0087198C"/>
    <w:rsid w:val="00872C1F"/>
    <w:rsid w:val="00873B42"/>
    <w:rsid w:val="00877CB0"/>
    <w:rsid w:val="008805AC"/>
    <w:rsid w:val="00880D1A"/>
    <w:rsid w:val="008833B6"/>
    <w:rsid w:val="00884468"/>
    <w:rsid w:val="0088456C"/>
    <w:rsid w:val="008856D8"/>
    <w:rsid w:val="00892E82"/>
    <w:rsid w:val="00893277"/>
    <w:rsid w:val="00895FA9"/>
    <w:rsid w:val="00896149"/>
    <w:rsid w:val="008A1035"/>
    <w:rsid w:val="008A2A0E"/>
    <w:rsid w:val="008A4138"/>
    <w:rsid w:val="008A6E08"/>
    <w:rsid w:val="008B70BD"/>
    <w:rsid w:val="008C0BE9"/>
    <w:rsid w:val="008C1B58"/>
    <w:rsid w:val="008C39AE"/>
    <w:rsid w:val="008C40DF"/>
    <w:rsid w:val="008C590D"/>
    <w:rsid w:val="008C5B86"/>
    <w:rsid w:val="008D36A3"/>
    <w:rsid w:val="008D447E"/>
    <w:rsid w:val="008D7566"/>
    <w:rsid w:val="008E031B"/>
    <w:rsid w:val="008E0560"/>
    <w:rsid w:val="008E0C04"/>
    <w:rsid w:val="008E2D8C"/>
    <w:rsid w:val="008E7029"/>
    <w:rsid w:val="008E7EF6"/>
    <w:rsid w:val="008F1F98"/>
    <w:rsid w:val="008F2340"/>
    <w:rsid w:val="008F2790"/>
    <w:rsid w:val="008F6758"/>
    <w:rsid w:val="00904075"/>
    <w:rsid w:val="009040DD"/>
    <w:rsid w:val="009056A2"/>
    <w:rsid w:val="00905B47"/>
    <w:rsid w:val="0090690F"/>
    <w:rsid w:val="00906CA7"/>
    <w:rsid w:val="00910CE9"/>
    <w:rsid w:val="00911391"/>
    <w:rsid w:val="00911FB6"/>
    <w:rsid w:val="0091331C"/>
    <w:rsid w:val="009137BD"/>
    <w:rsid w:val="0091490B"/>
    <w:rsid w:val="0091503D"/>
    <w:rsid w:val="00915251"/>
    <w:rsid w:val="00915DA9"/>
    <w:rsid w:val="00920839"/>
    <w:rsid w:val="00923BEB"/>
    <w:rsid w:val="00925D64"/>
    <w:rsid w:val="00925E33"/>
    <w:rsid w:val="009279DE"/>
    <w:rsid w:val="00927AB9"/>
    <w:rsid w:val="00927B37"/>
    <w:rsid w:val="00930116"/>
    <w:rsid w:val="00930625"/>
    <w:rsid w:val="00941082"/>
    <w:rsid w:val="0094212C"/>
    <w:rsid w:val="00944853"/>
    <w:rsid w:val="00944A9D"/>
    <w:rsid w:val="0094609D"/>
    <w:rsid w:val="0095378C"/>
    <w:rsid w:val="00954689"/>
    <w:rsid w:val="0095472A"/>
    <w:rsid w:val="0096085A"/>
    <w:rsid w:val="009617C9"/>
    <w:rsid w:val="00961C93"/>
    <w:rsid w:val="00962B4E"/>
    <w:rsid w:val="00965324"/>
    <w:rsid w:val="00966C5B"/>
    <w:rsid w:val="0096748E"/>
    <w:rsid w:val="0097091E"/>
    <w:rsid w:val="009760D3"/>
    <w:rsid w:val="00977132"/>
    <w:rsid w:val="00981A4B"/>
    <w:rsid w:val="00982250"/>
    <w:rsid w:val="00982501"/>
    <w:rsid w:val="00983D33"/>
    <w:rsid w:val="00984358"/>
    <w:rsid w:val="00984F83"/>
    <w:rsid w:val="009874C6"/>
    <w:rsid w:val="009877D3"/>
    <w:rsid w:val="00987E80"/>
    <w:rsid w:val="00994E8F"/>
    <w:rsid w:val="009951DC"/>
    <w:rsid w:val="009959BB"/>
    <w:rsid w:val="00997158"/>
    <w:rsid w:val="009A0827"/>
    <w:rsid w:val="009A3A7C"/>
    <w:rsid w:val="009A5D33"/>
    <w:rsid w:val="009A7D84"/>
    <w:rsid w:val="009B1483"/>
    <w:rsid w:val="009B2323"/>
    <w:rsid w:val="009B2ADB"/>
    <w:rsid w:val="009B603A"/>
    <w:rsid w:val="009C2D0E"/>
    <w:rsid w:val="009C3018"/>
    <w:rsid w:val="009C3DAC"/>
    <w:rsid w:val="009C42E0"/>
    <w:rsid w:val="009D3230"/>
    <w:rsid w:val="009D4EA3"/>
    <w:rsid w:val="009D5362"/>
    <w:rsid w:val="009E1415"/>
    <w:rsid w:val="009E3EDD"/>
    <w:rsid w:val="009E5BF0"/>
    <w:rsid w:val="009E6116"/>
    <w:rsid w:val="009E7E25"/>
    <w:rsid w:val="009F0F20"/>
    <w:rsid w:val="00A01DAE"/>
    <w:rsid w:val="00A02E43"/>
    <w:rsid w:val="00A05368"/>
    <w:rsid w:val="00A065F9"/>
    <w:rsid w:val="00A07011"/>
    <w:rsid w:val="00A07F34"/>
    <w:rsid w:val="00A213E6"/>
    <w:rsid w:val="00A22154"/>
    <w:rsid w:val="00A24058"/>
    <w:rsid w:val="00A25C38"/>
    <w:rsid w:val="00A26108"/>
    <w:rsid w:val="00A35824"/>
    <w:rsid w:val="00A36BBE"/>
    <w:rsid w:val="00A37C20"/>
    <w:rsid w:val="00A40D9E"/>
    <w:rsid w:val="00A41DF7"/>
    <w:rsid w:val="00A420B1"/>
    <w:rsid w:val="00A42ECA"/>
    <w:rsid w:val="00A4307A"/>
    <w:rsid w:val="00A46DEF"/>
    <w:rsid w:val="00A47432"/>
    <w:rsid w:val="00A47EBB"/>
    <w:rsid w:val="00A51CDD"/>
    <w:rsid w:val="00A5621B"/>
    <w:rsid w:val="00A563F8"/>
    <w:rsid w:val="00A56BBA"/>
    <w:rsid w:val="00A56F61"/>
    <w:rsid w:val="00A57635"/>
    <w:rsid w:val="00A6730D"/>
    <w:rsid w:val="00A71625"/>
    <w:rsid w:val="00A71B9B"/>
    <w:rsid w:val="00A751C7"/>
    <w:rsid w:val="00A75A9E"/>
    <w:rsid w:val="00A80008"/>
    <w:rsid w:val="00A84CE5"/>
    <w:rsid w:val="00A87844"/>
    <w:rsid w:val="00A9227B"/>
    <w:rsid w:val="00A97A55"/>
    <w:rsid w:val="00AA038C"/>
    <w:rsid w:val="00AA69AF"/>
    <w:rsid w:val="00AA7A09"/>
    <w:rsid w:val="00AB39EC"/>
    <w:rsid w:val="00AB3B50"/>
    <w:rsid w:val="00AC05B1"/>
    <w:rsid w:val="00AC450C"/>
    <w:rsid w:val="00AD1CAB"/>
    <w:rsid w:val="00AD340B"/>
    <w:rsid w:val="00AD356C"/>
    <w:rsid w:val="00AD62A7"/>
    <w:rsid w:val="00AE2914"/>
    <w:rsid w:val="00AE2C40"/>
    <w:rsid w:val="00AE6D15"/>
    <w:rsid w:val="00AE7023"/>
    <w:rsid w:val="00AE78AA"/>
    <w:rsid w:val="00AF0348"/>
    <w:rsid w:val="00AF0EF3"/>
    <w:rsid w:val="00AF1F49"/>
    <w:rsid w:val="00AF2D81"/>
    <w:rsid w:val="00AF52BE"/>
    <w:rsid w:val="00B0161B"/>
    <w:rsid w:val="00B04182"/>
    <w:rsid w:val="00B05ECF"/>
    <w:rsid w:val="00B07AE3"/>
    <w:rsid w:val="00B11430"/>
    <w:rsid w:val="00B12A5D"/>
    <w:rsid w:val="00B14BF6"/>
    <w:rsid w:val="00B242F4"/>
    <w:rsid w:val="00B2477A"/>
    <w:rsid w:val="00B24D1C"/>
    <w:rsid w:val="00B30072"/>
    <w:rsid w:val="00B30481"/>
    <w:rsid w:val="00B324C0"/>
    <w:rsid w:val="00B3312F"/>
    <w:rsid w:val="00B3498D"/>
    <w:rsid w:val="00B353EB"/>
    <w:rsid w:val="00B375BC"/>
    <w:rsid w:val="00B4016F"/>
    <w:rsid w:val="00B407AC"/>
    <w:rsid w:val="00B439C4"/>
    <w:rsid w:val="00B44C68"/>
    <w:rsid w:val="00B4535E"/>
    <w:rsid w:val="00B52093"/>
    <w:rsid w:val="00B52A8C"/>
    <w:rsid w:val="00B54707"/>
    <w:rsid w:val="00B56155"/>
    <w:rsid w:val="00B5638D"/>
    <w:rsid w:val="00B62F11"/>
    <w:rsid w:val="00B63042"/>
    <w:rsid w:val="00B636A8"/>
    <w:rsid w:val="00B665C6"/>
    <w:rsid w:val="00B72AD8"/>
    <w:rsid w:val="00B74441"/>
    <w:rsid w:val="00B758A5"/>
    <w:rsid w:val="00B805AF"/>
    <w:rsid w:val="00B82BD5"/>
    <w:rsid w:val="00B869EC"/>
    <w:rsid w:val="00B92383"/>
    <w:rsid w:val="00B9261C"/>
    <w:rsid w:val="00B9397A"/>
    <w:rsid w:val="00B9633D"/>
    <w:rsid w:val="00B967D5"/>
    <w:rsid w:val="00BA2EBE"/>
    <w:rsid w:val="00BA6515"/>
    <w:rsid w:val="00BB0F28"/>
    <w:rsid w:val="00BB458A"/>
    <w:rsid w:val="00BB48CF"/>
    <w:rsid w:val="00BB61F7"/>
    <w:rsid w:val="00BB693F"/>
    <w:rsid w:val="00BB6C11"/>
    <w:rsid w:val="00BC5953"/>
    <w:rsid w:val="00BC6872"/>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0294"/>
    <w:rsid w:val="00C0379D"/>
    <w:rsid w:val="00C03931"/>
    <w:rsid w:val="00C05FE3"/>
    <w:rsid w:val="00C10004"/>
    <w:rsid w:val="00C11DA9"/>
    <w:rsid w:val="00C2136D"/>
    <w:rsid w:val="00C214EE"/>
    <w:rsid w:val="00C2226F"/>
    <w:rsid w:val="00C2314B"/>
    <w:rsid w:val="00C244A0"/>
    <w:rsid w:val="00C24971"/>
    <w:rsid w:val="00C25355"/>
    <w:rsid w:val="00C26BE5"/>
    <w:rsid w:val="00C26E4D"/>
    <w:rsid w:val="00C27909"/>
    <w:rsid w:val="00C27B03"/>
    <w:rsid w:val="00C314E1"/>
    <w:rsid w:val="00C32A57"/>
    <w:rsid w:val="00C34397"/>
    <w:rsid w:val="00C40503"/>
    <w:rsid w:val="00C4095D"/>
    <w:rsid w:val="00C43746"/>
    <w:rsid w:val="00C57A9C"/>
    <w:rsid w:val="00C601D2"/>
    <w:rsid w:val="00C6166B"/>
    <w:rsid w:val="00C65BCC"/>
    <w:rsid w:val="00C66970"/>
    <w:rsid w:val="00C70D89"/>
    <w:rsid w:val="00C71F4D"/>
    <w:rsid w:val="00C75205"/>
    <w:rsid w:val="00C77588"/>
    <w:rsid w:val="00C8029A"/>
    <w:rsid w:val="00C853CA"/>
    <w:rsid w:val="00C8691C"/>
    <w:rsid w:val="00C86CB4"/>
    <w:rsid w:val="00C86E99"/>
    <w:rsid w:val="00C934C5"/>
    <w:rsid w:val="00C96295"/>
    <w:rsid w:val="00C96364"/>
    <w:rsid w:val="00CA03DF"/>
    <w:rsid w:val="00CA168A"/>
    <w:rsid w:val="00CA2097"/>
    <w:rsid w:val="00CA357E"/>
    <w:rsid w:val="00CA44F9"/>
    <w:rsid w:val="00CA4A69"/>
    <w:rsid w:val="00CB722E"/>
    <w:rsid w:val="00CC33CC"/>
    <w:rsid w:val="00CC3E0C"/>
    <w:rsid w:val="00CC44B9"/>
    <w:rsid w:val="00CC58D3"/>
    <w:rsid w:val="00CC784D"/>
    <w:rsid w:val="00CD29C1"/>
    <w:rsid w:val="00CD76B1"/>
    <w:rsid w:val="00CF1E15"/>
    <w:rsid w:val="00CF6561"/>
    <w:rsid w:val="00CF772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1F99"/>
    <w:rsid w:val="00D633EB"/>
    <w:rsid w:val="00D6509F"/>
    <w:rsid w:val="00D736AC"/>
    <w:rsid w:val="00D747AA"/>
    <w:rsid w:val="00D75A7E"/>
    <w:rsid w:val="00D82FF7"/>
    <w:rsid w:val="00D83C6F"/>
    <w:rsid w:val="00D84271"/>
    <w:rsid w:val="00D847FE"/>
    <w:rsid w:val="00D86B9C"/>
    <w:rsid w:val="00D86CDA"/>
    <w:rsid w:val="00D87193"/>
    <w:rsid w:val="00D877DE"/>
    <w:rsid w:val="00D900CD"/>
    <w:rsid w:val="00D90A39"/>
    <w:rsid w:val="00D91872"/>
    <w:rsid w:val="00D94483"/>
    <w:rsid w:val="00D964EA"/>
    <w:rsid w:val="00D966D0"/>
    <w:rsid w:val="00DA0C59"/>
    <w:rsid w:val="00DA3991"/>
    <w:rsid w:val="00DA6A64"/>
    <w:rsid w:val="00DA72A1"/>
    <w:rsid w:val="00DA7F95"/>
    <w:rsid w:val="00DB01F1"/>
    <w:rsid w:val="00DB2F70"/>
    <w:rsid w:val="00DB3222"/>
    <w:rsid w:val="00DB7E6C"/>
    <w:rsid w:val="00DC4F68"/>
    <w:rsid w:val="00DC5E64"/>
    <w:rsid w:val="00DC64B0"/>
    <w:rsid w:val="00DC6B1E"/>
    <w:rsid w:val="00DD252A"/>
    <w:rsid w:val="00DD3D00"/>
    <w:rsid w:val="00DD5949"/>
    <w:rsid w:val="00DD5A29"/>
    <w:rsid w:val="00DD5D9D"/>
    <w:rsid w:val="00DE0B1C"/>
    <w:rsid w:val="00DE35CB"/>
    <w:rsid w:val="00DE5D40"/>
    <w:rsid w:val="00DF0EF0"/>
    <w:rsid w:val="00DF21E9"/>
    <w:rsid w:val="00DF22C7"/>
    <w:rsid w:val="00DF336D"/>
    <w:rsid w:val="00DF5588"/>
    <w:rsid w:val="00DF5C87"/>
    <w:rsid w:val="00DF5CC9"/>
    <w:rsid w:val="00E005D3"/>
    <w:rsid w:val="00E00F14"/>
    <w:rsid w:val="00E01CB8"/>
    <w:rsid w:val="00E06386"/>
    <w:rsid w:val="00E075C5"/>
    <w:rsid w:val="00E1051A"/>
    <w:rsid w:val="00E111F3"/>
    <w:rsid w:val="00E11668"/>
    <w:rsid w:val="00E118E7"/>
    <w:rsid w:val="00E122B7"/>
    <w:rsid w:val="00E150DF"/>
    <w:rsid w:val="00E1707C"/>
    <w:rsid w:val="00E21A65"/>
    <w:rsid w:val="00E21B55"/>
    <w:rsid w:val="00E221D3"/>
    <w:rsid w:val="00E226B0"/>
    <w:rsid w:val="00E24EB4"/>
    <w:rsid w:val="00E30635"/>
    <w:rsid w:val="00E320ED"/>
    <w:rsid w:val="00E33AFB"/>
    <w:rsid w:val="00E34218"/>
    <w:rsid w:val="00E4008C"/>
    <w:rsid w:val="00E4555B"/>
    <w:rsid w:val="00E46282"/>
    <w:rsid w:val="00E47410"/>
    <w:rsid w:val="00E5216E"/>
    <w:rsid w:val="00E5529C"/>
    <w:rsid w:val="00E657C6"/>
    <w:rsid w:val="00E674BA"/>
    <w:rsid w:val="00E7338A"/>
    <w:rsid w:val="00E75D40"/>
    <w:rsid w:val="00E81965"/>
    <w:rsid w:val="00E81A88"/>
    <w:rsid w:val="00E82344"/>
    <w:rsid w:val="00E84C82"/>
    <w:rsid w:val="00E84D64"/>
    <w:rsid w:val="00E856C8"/>
    <w:rsid w:val="00E85A9D"/>
    <w:rsid w:val="00E87408"/>
    <w:rsid w:val="00E914C4"/>
    <w:rsid w:val="00E934F5"/>
    <w:rsid w:val="00E96961"/>
    <w:rsid w:val="00EA178D"/>
    <w:rsid w:val="00EA72EC"/>
    <w:rsid w:val="00EB11CB"/>
    <w:rsid w:val="00EB1C71"/>
    <w:rsid w:val="00EB275A"/>
    <w:rsid w:val="00EB48A0"/>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5D60"/>
    <w:rsid w:val="00F07224"/>
    <w:rsid w:val="00F07FD3"/>
    <w:rsid w:val="00F11BB5"/>
    <w:rsid w:val="00F1296C"/>
    <w:rsid w:val="00F1417B"/>
    <w:rsid w:val="00F14A99"/>
    <w:rsid w:val="00F1712D"/>
    <w:rsid w:val="00F17A17"/>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4AE8"/>
    <w:rsid w:val="00F66940"/>
    <w:rsid w:val="00F7028B"/>
    <w:rsid w:val="00F73F99"/>
    <w:rsid w:val="00F75F80"/>
    <w:rsid w:val="00F81D29"/>
    <w:rsid w:val="00F863C8"/>
    <w:rsid w:val="00F9074A"/>
    <w:rsid w:val="00F90BE5"/>
    <w:rsid w:val="00F91C4D"/>
    <w:rsid w:val="00F92FD9"/>
    <w:rsid w:val="00F94210"/>
    <w:rsid w:val="00F94B53"/>
    <w:rsid w:val="00F95D19"/>
    <w:rsid w:val="00FA37B1"/>
    <w:rsid w:val="00FA3E0B"/>
    <w:rsid w:val="00FA5C60"/>
    <w:rsid w:val="00FA5EF7"/>
    <w:rsid w:val="00FA6684"/>
    <w:rsid w:val="00FA731E"/>
    <w:rsid w:val="00FA7BD0"/>
    <w:rsid w:val="00FB0E6D"/>
    <w:rsid w:val="00FB1DCF"/>
    <w:rsid w:val="00FB2B38"/>
    <w:rsid w:val="00FB61CE"/>
    <w:rsid w:val="00FB7A07"/>
    <w:rsid w:val="00FC038F"/>
    <w:rsid w:val="00FC04CC"/>
    <w:rsid w:val="00FC1C08"/>
    <w:rsid w:val="00FC2066"/>
    <w:rsid w:val="00FC3494"/>
    <w:rsid w:val="00FC6358"/>
    <w:rsid w:val="00FD1381"/>
    <w:rsid w:val="00FD320D"/>
    <w:rsid w:val="00FD513E"/>
    <w:rsid w:val="00FE1B98"/>
    <w:rsid w:val="00FE23DE"/>
    <w:rsid w:val="00FE7BB9"/>
    <w:rsid w:val="00FF1801"/>
    <w:rsid w:val="00FF3128"/>
    <w:rsid w:val="00FF6842"/>
    <w:rsid w:val="00FF7438"/>
    <w:rsid w:val="01607F92"/>
    <w:rsid w:val="0227319D"/>
    <w:rsid w:val="02702D13"/>
    <w:rsid w:val="02837130"/>
    <w:rsid w:val="02F50694"/>
    <w:rsid w:val="03425A83"/>
    <w:rsid w:val="03457CFC"/>
    <w:rsid w:val="04082AD7"/>
    <w:rsid w:val="04526EE6"/>
    <w:rsid w:val="04A647CA"/>
    <w:rsid w:val="051017B6"/>
    <w:rsid w:val="05355B4E"/>
    <w:rsid w:val="05801A42"/>
    <w:rsid w:val="05E2795B"/>
    <w:rsid w:val="06875229"/>
    <w:rsid w:val="071535E2"/>
    <w:rsid w:val="07E15B19"/>
    <w:rsid w:val="089D4136"/>
    <w:rsid w:val="08D833C0"/>
    <w:rsid w:val="09043664"/>
    <w:rsid w:val="091259B7"/>
    <w:rsid w:val="0923288D"/>
    <w:rsid w:val="096E3D68"/>
    <w:rsid w:val="0A856C30"/>
    <w:rsid w:val="0AA572D2"/>
    <w:rsid w:val="0B7078E0"/>
    <w:rsid w:val="0BBF2615"/>
    <w:rsid w:val="0BC52A31"/>
    <w:rsid w:val="0C6E02C3"/>
    <w:rsid w:val="0CD1621F"/>
    <w:rsid w:val="0E4F1A2E"/>
    <w:rsid w:val="0E601E8E"/>
    <w:rsid w:val="0F3A448D"/>
    <w:rsid w:val="10572E1C"/>
    <w:rsid w:val="10C95107"/>
    <w:rsid w:val="10CF6E57"/>
    <w:rsid w:val="11005262"/>
    <w:rsid w:val="11333889"/>
    <w:rsid w:val="11660CBD"/>
    <w:rsid w:val="11875983"/>
    <w:rsid w:val="124F46F3"/>
    <w:rsid w:val="12D44BF8"/>
    <w:rsid w:val="133B07D3"/>
    <w:rsid w:val="133D454B"/>
    <w:rsid w:val="13CC3181"/>
    <w:rsid w:val="13FD3BC1"/>
    <w:rsid w:val="147F1E78"/>
    <w:rsid w:val="151E03AD"/>
    <w:rsid w:val="1529799F"/>
    <w:rsid w:val="15A2310E"/>
    <w:rsid w:val="15D32F45"/>
    <w:rsid w:val="162B2D81"/>
    <w:rsid w:val="163559AE"/>
    <w:rsid w:val="163D2AB4"/>
    <w:rsid w:val="167E42A8"/>
    <w:rsid w:val="16E44F34"/>
    <w:rsid w:val="17E0220D"/>
    <w:rsid w:val="183C14D3"/>
    <w:rsid w:val="187A1D9E"/>
    <w:rsid w:val="189015C1"/>
    <w:rsid w:val="19523C51"/>
    <w:rsid w:val="198033E4"/>
    <w:rsid w:val="198B3B37"/>
    <w:rsid w:val="19952B52"/>
    <w:rsid w:val="19ED659F"/>
    <w:rsid w:val="1A220073"/>
    <w:rsid w:val="1A320343"/>
    <w:rsid w:val="1A3F1FD4"/>
    <w:rsid w:val="1A9F5AEC"/>
    <w:rsid w:val="1AAB4490"/>
    <w:rsid w:val="1ADF103D"/>
    <w:rsid w:val="1C99656B"/>
    <w:rsid w:val="1D6152DA"/>
    <w:rsid w:val="1D7B2840"/>
    <w:rsid w:val="1DEA1774"/>
    <w:rsid w:val="1E197963"/>
    <w:rsid w:val="1E432C32"/>
    <w:rsid w:val="20531852"/>
    <w:rsid w:val="20994D8B"/>
    <w:rsid w:val="215910CC"/>
    <w:rsid w:val="218E2416"/>
    <w:rsid w:val="219333A8"/>
    <w:rsid w:val="21AD6D40"/>
    <w:rsid w:val="222114DC"/>
    <w:rsid w:val="22CC58EC"/>
    <w:rsid w:val="22EA0446"/>
    <w:rsid w:val="232B2612"/>
    <w:rsid w:val="23940A69"/>
    <w:rsid w:val="23C44815"/>
    <w:rsid w:val="23E136EE"/>
    <w:rsid w:val="23FC3FAF"/>
    <w:rsid w:val="247973AD"/>
    <w:rsid w:val="25076767"/>
    <w:rsid w:val="252E0198"/>
    <w:rsid w:val="25453733"/>
    <w:rsid w:val="258B18E4"/>
    <w:rsid w:val="25DF5936"/>
    <w:rsid w:val="26325A66"/>
    <w:rsid w:val="263A2B6C"/>
    <w:rsid w:val="26C1503C"/>
    <w:rsid w:val="270A253F"/>
    <w:rsid w:val="27800A53"/>
    <w:rsid w:val="27853BE2"/>
    <w:rsid w:val="27D139D1"/>
    <w:rsid w:val="27F324C2"/>
    <w:rsid w:val="280571E1"/>
    <w:rsid w:val="28060F58"/>
    <w:rsid w:val="2838132E"/>
    <w:rsid w:val="28F2772E"/>
    <w:rsid w:val="298A5BB9"/>
    <w:rsid w:val="2996455E"/>
    <w:rsid w:val="2A703001"/>
    <w:rsid w:val="2A832D34"/>
    <w:rsid w:val="2AFF3560"/>
    <w:rsid w:val="2B7B1C5D"/>
    <w:rsid w:val="2BD104E0"/>
    <w:rsid w:val="2CAD3317"/>
    <w:rsid w:val="2CAF6062"/>
    <w:rsid w:val="2CD81CF1"/>
    <w:rsid w:val="2CED54DC"/>
    <w:rsid w:val="2D236108"/>
    <w:rsid w:val="2D2A393B"/>
    <w:rsid w:val="2D76477A"/>
    <w:rsid w:val="2DDD09AD"/>
    <w:rsid w:val="2E12724C"/>
    <w:rsid w:val="2E443E26"/>
    <w:rsid w:val="30095CB8"/>
    <w:rsid w:val="303643A5"/>
    <w:rsid w:val="304253E1"/>
    <w:rsid w:val="304C5976"/>
    <w:rsid w:val="305F1B4D"/>
    <w:rsid w:val="31140B8A"/>
    <w:rsid w:val="316F5DC0"/>
    <w:rsid w:val="318600D2"/>
    <w:rsid w:val="319E0453"/>
    <w:rsid w:val="31E00A6C"/>
    <w:rsid w:val="32CC47FF"/>
    <w:rsid w:val="334D2131"/>
    <w:rsid w:val="33EA5BD2"/>
    <w:rsid w:val="341E587B"/>
    <w:rsid w:val="352C2165"/>
    <w:rsid w:val="363C648D"/>
    <w:rsid w:val="363D24CE"/>
    <w:rsid w:val="36CC7811"/>
    <w:rsid w:val="37781747"/>
    <w:rsid w:val="37A64D4C"/>
    <w:rsid w:val="387C0200"/>
    <w:rsid w:val="38912AC0"/>
    <w:rsid w:val="38D064F5"/>
    <w:rsid w:val="39A405D1"/>
    <w:rsid w:val="39C40C73"/>
    <w:rsid w:val="39FF3A59"/>
    <w:rsid w:val="3A8B04D7"/>
    <w:rsid w:val="3A960861"/>
    <w:rsid w:val="3B3D2A8B"/>
    <w:rsid w:val="3B6E7B3C"/>
    <w:rsid w:val="3C6109FB"/>
    <w:rsid w:val="3CB1566E"/>
    <w:rsid w:val="3CFE792B"/>
    <w:rsid w:val="3E6F2877"/>
    <w:rsid w:val="3EDC080D"/>
    <w:rsid w:val="3F015BA5"/>
    <w:rsid w:val="3F316DAB"/>
    <w:rsid w:val="3F954A03"/>
    <w:rsid w:val="40A9304D"/>
    <w:rsid w:val="420513C7"/>
    <w:rsid w:val="420568BD"/>
    <w:rsid w:val="4221632B"/>
    <w:rsid w:val="42224789"/>
    <w:rsid w:val="424B51C7"/>
    <w:rsid w:val="42E3216A"/>
    <w:rsid w:val="43663830"/>
    <w:rsid w:val="437E00E5"/>
    <w:rsid w:val="43A22025"/>
    <w:rsid w:val="44472BCC"/>
    <w:rsid w:val="446D1ED1"/>
    <w:rsid w:val="44B20090"/>
    <w:rsid w:val="4505012D"/>
    <w:rsid w:val="45765517"/>
    <w:rsid w:val="45967968"/>
    <w:rsid w:val="4681606A"/>
    <w:rsid w:val="473016F6"/>
    <w:rsid w:val="47FE17F4"/>
    <w:rsid w:val="4839282C"/>
    <w:rsid w:val="491312CF"/>
    <w:rsid w:val="49521DF7"/>
    <w:rsid w:val="49697141"/>
    <w:rsid w:val="4A930919"/>
    <w:rsid w:val="4B3C2D5F"/>
    <w:rsid w:val="4B906C07"/>
    <w:rsid w:val="4BB5666E"/>
    <w:rsid w:val="4DFC4A28"/>
    <w:rsid w:val="4E38724E"/>
    <w:rsid w:val="4EA00746"/>
    <w:rsid w:val="4EF83441"/>
    <w:rsid w:val="4F0A4F22"/>
    <w:rsid w:val="4F710AFD"/>
    <w:rsid w:val="4FA53196"/>
    <w:rsid w:val="505E5526"/>
    <w:rsid w:val="506D5769"/>
    <w:rsid w:val="510C37AF"/>
    <w:rsid w:val="51326106"/>
    <w:rsid w:val="519D207E"/>
    <w:rsid w:val="51AB6549"/>
    <w:rsid w:val="51F36142"/>
    <w:rsid w:val="520605DB"/>
    <w:rsid w:val="52285DEB"/>
    <w:rsid w:val="52770B21"/>
    <w:rsid w:val="52B23907"/>
    <w:rsid w:val="52EA12F3"/>
    <w:rsid w:val="53242AC1"/>
    <w:rsid w:val="534F55FA"/>
    <w:rsid w:val="53DC0CED"/>
    <w:rsid w:val="553E6CA6"/>
    <w:rsid w:val="55A43DBE"/>
    <w:rsid w:val="56312D95"/>
    <w:rsid w:val="5886386C"/>
    <w:rsid w:val="5892543E"/>
    <w:rsid w:val="58B71C77"/>
    <w:rsid w:val="58D63B5A"/>
    <w:rsid w:val="59184A67"/>
    <w:rsid w:val="595C7C60"/>
    <w:rsid w:val="59AA358A"/>
    <w:rsid w:val="59B43E18"/>
    <w:rsid w:val="59DA7C53"/>
    <w:rsid w:val="5A105AE3"/>
    <w:rsid w:val="5A6C083F"/>
    <w:rsid w:val="5B2B24A8"/>
    <w:rsid w:val="5B3550D5"/>
    <w:rsid w:val="5C020F77"/>
    <w:rsid w:val="5E8A398A"/>
    <w:rsid w:val="5EF77271"/>
    <w:rsid w:val="5F117C07"/>
    <w:rsid w:val="5F770A66"/>
    <w:rsid w:val="60681AA9"/>
    <w:rsid w:val="608E59B3"/>
    <w:rsid w:val="61750921"/>
    <w:rsid w:val="624330B6"/>
    <w:rsid w:val="62FF66F4"/>
    <w:rsid w:val="6502071E"/>
    <w:rsid w:val="652E238B"/>
    <w:rsid w:val="656E746A"/>
    <w:rsid w:val="657131AE"/>
    <w:rsid w:val="663568D1"/>
    <w:rsid w:val="667E5B82"/>
    <w:rsid w:val="667F61A5"/>
    <w:rsid w:val="673E0E8E"/>
    <w:rsid w:val="677D0530"/>
    <w:rsid w:val="67F325A0"/>
    <w:rsid w:val="68232E85"/>
    <w:rsid w:val="693E5A9D"/>
    <w:rsid w:val="69BD2E65"/>
    <w:rsid w:val="69D16911"/>
    <w:rsid w:val="6A366852"/>
    <w:rsid w:val="6A684DE3"/>
    <w:rsid w:val="6A95793E"/>
    <w:rsid w:val="6ABC311D"/>
    <w:rsid w:val="6AF02DC7"/>
    <w:rsid w:val="6B4750DC"/>
    <w:rsid w:val="6BB650DA"/>
    <w:rsid w:val="6BD149A6"/>
    <w:rsid w:val="6C262F44"/>
    <w:rsid w:val="6D2F7BD6"/>
    <w:rsid w:val="6DAA54AF"/>
    <w:rsid w:val="6E250FD9"/>
    <w:rsid w:val="6E535B46"/>
    <w:rsid w:val="6F4C3EA0"/>
    <w:rsid w:val="6FD607DD"/>
    <w:rsid w:val="6FDE1813"/>
    <w:rsid w:val="705D2CAC"/>
    <w:rsid w:val="716B13F9"/>
    <w:rsid w:val="719B5840"/>
    <w:rsid w:val="719B7F30"/>
    <w:rsid w:val="71D6488B"/>
    <w:rsid w:val="723111D9"/>
    <w:rsid w:val="72516841"/>
    <w:rsid w:val="727E6B0B"/>
    <w:rsid w:val="72AE3C93"/>
    <w:rsid w:val="72CC5EC7"/>
    <w:rsid w:val="730C0858"/>
    <w:rsid w:val="73852C46"/>
    <w:rsid w:val="74986093"/>
    <w:rsid w:val="74CD1412"/>
    <w:rsid w:val="75CD4430"/>
    <w:rsid w:val="762C03C9"/>
    <w:rsid w:val="76AC1737"/>
    <w:rsid w:val="76DF5D07"/>
    <w:rsid w:val="7726192C"/>
    <w:rsid w:val="773504DF"/>
    <w:rsid w:val="774E15A1"/>
    <w:rsid w:val="775D4523"/>
    <w:rsid w:val="776B3F01"/>
    <w:rsid w:val="776E579F"/>
    <w:rsid w:val="77775441"/>
    <w:rsid w:val="781B5927"/>
    <w:rsid w:val="788334CC"/>
    <w:rsid w:val="78D174D9"/>
    <w:rsid w:val="793E3EE5"/>
    <w:rsid w:val="7ACD0A2E"/>
    <w:rsid w:val="7B1D19B6"/>
    <w:rsid w:val="7B220D7A"/>
    <w:rsid w:val="7BEB5610"/>
    <w:rsid w:val="7D384885"/>
    <w:rsid w:val="7D391E12"/>
    <w:rsid w:val="7D494CE4"/>
    <w:rsid w:val="7E7523DA"/>
    <w:rsid w:val="7E971A7F"/>
    <w:rsid w:val="7F756C12"/>
    <w:rsid w:val="7FBE053E"/>
    <w:rsid w:val="DAFED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b/>
      <w:bCs/>
      <w:kern w:val="0"/>
      <w:sz w:val="27"/>
      <w:szCs w:val="27"/>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3">
    <w:name w:val="toc 7"/>
    <w:basedOn w:val="1"/>
    <w:next w:val="1"/>
    <w:autoRedefine/>
    <w:semiHidden/>
    <w:qFormat/>
    <w:uiPriority w:val="0"/>
    <w:pPr>
      <w:tabs>
        <w:tab w:val="right" w:leader="dot" w:pos="9241"/>
      </w:tabs>
      <w:ind w:firstLine="505" w:firstLineChars="500"/>
    </w:pPr>
    <w:rPr>
      <w:rFonts w:ascii="宋体"/>
      <w:szCs w:val="21"/>
    </w:rPr>
  </w:style>
  <w:style w:type="paragraph" w:styleId="4">
    <w:name w:val="index 8"/>
    <w:basedOn w:val="1"/>
    <w:next w:val="1"/>
    <w:autoRedefine/>
    <w:qFormat/>
    <w:uiPriority w:val="0"/>
    <w:pPr>
      <w:ind w:left="1680" w:hanging="210"/>
    </w:pPr>
    <w:rPr>
      <w:rFonts w:ascii="Calibri" w:hAnsi="Calibri"/>
      <w:sz w:val="20"/>
      <w:szCs w:val="20"/>
    </w:rPr>
  </w:style>
  <w:style w:type="paragraph" w:styleId="5">
    <w:name w:val="caption"/>
    <w:basedOn w:val="1"/>
    <w:next w:val="1"/>
    <w:autoRedefine/>
    <w:qFormat/>
    <w:uiPriority w:val="0"/>
    <w:pPr>
      <w:spacing w:before="152" w:after="160"/>
    </w:pPr>
    <w:rPr>
      <w:rFonts w:ascii="Arial" w:hAnsi="Arial" w:eastAsia="黑体" w:cs="Arial"/>
      <w:sz w:val="20"/>
      <w:szCs w:val="20"/>
    </w:rPr>
  </w:style>
  <w:style w:type="paragraph" w:styleId="6">
    <w:name w:val="index 5"/>
    <w:basedOn w:val="1"/>
    <w:next w:val="1"/>
    <w:autoRedefine/>
    <w:qFormat/>
    <w:uiPriority w:val="0"/>
    <w:pPr>
      <w:ind w:left="1050" w:hanging="210"/>
    </w:pPr>
    <w:rPr>
      <w:rFonts w:ascii="Calibri" w:hAnsi="Calibri"/>
      <w:sz w:val="20"/>
      <w:szCs w:val="20"/>
    </w:rPr>
  </w:style>
  <w:style w:type="paragraph" w:styleId="7">
    <w:name w:val="Document Map"/>
    <w:basedOn w:val="1"/>
    <w:autoRedefine/>
    <w:semiHidden/>
    <w:qFormat/>
    <w:uiPriority w:val="0"/>
    <w:pPr>
      <w:shd w:val="clear" w:color="auto" w:fill="000080"/>
    </w:pPr>
  </w:style>
  <w:style w:type="paragraph" w:styleId="8">
    <w:name w:val="annotation text"/>
    <w:basedOn w:val="1"/>
    <w:link w:val="153"/>
    <w:unhideWhenUsed/>
    <w:qFormat/>
    <w:uiPriority w:val="0"/>
  </w:style>
  <w:style w:type="paragraph" w:styleId="9">
    <w:name w:val="index 6"/>
    <w:basedOn w:val="1"/>
    <w:next w:val="1"/>
    <w:autoRedefine/>
    <w:qFormat/>
    <w:uiPriority w:val="0"/>
    <w:pPr>
      <w:ind w:left="1260" w:hanging="210"/>
    </w:pPr>
    <w:rPr>
      <w:rFonts w:ascii="Calibri" w:hAnsi="Calibri"/>
      <w:sz w:val="20"/>
      <w:szCs w:val="20"/>
    </w:rPr>
  </w:style>
  <w:style w:type="paragraph" w:styleId="10">
    <w:name w:val="Body Text"/>
    <w:basedOn w:val="1"/>
    <w:qFormat/>
    <w:uiPriority w:val="0"/>
    <w:pPr>
      <w:spacing w:after="120"/>
    </w:pPr>
  </w:style>
  <w:style w:type="paragraph" w:styleId="11">
    <w:name w:val="index 4"/>
    <w:basedOn w:val="1"/>
    <w:next w:val="1"/>
    <w:autoRedefine/>
    <w:qFormat/>
    <w:uiPriority w:val="0"/>
    <w:pPr>
      <w:ind w:left="840" w:hanging="210"/>
    </w:pPr>
    <w:rPr>
      <w:rFonts w:ascii="Calibri" w:hAnsi="Calibri"/>
      <w:sz w:val="20"/>
      <w:szCs w:val="20"/>
    </w:rPr>
  </w:style>
  <w:style w:type="paragraph" w:styleId="12">
    <w:name w:val="toc 5"/>
    <w:basedOn w:val="1"/>
    <w:next w:val="1"/>
    <w:autoRedefine/>
    <w:semiHidden/>
    <w:qFormat/>
    <w:uiPriority w:val="0"/>
    <w:pPr>
      <w:tabs>
        <w:tab w:val="right" w:leader="dot" w:pos="9241"/>
      </w:tabs>
      <w:ind w:firstLine="300" w:firstLineChars="300"/>
    </w:pPr>
    <w:rPr>
      <w:rFonts w:ascii="宋体"/>
      <w:szCs w:val="21"/>
    </w:rPr>
  </w:style>
  <w:style w:type="paragraph" w:styleId="13">
    <w:name w:val="toc 3"/>
    <w:basedOn w:val="1"/>
    <w:next w:val="1"/>
    <w:autoRedefine/>
    <w:semiHidden/>
    <w:qFormat/>
    <w:uiPriority w:val="0"/>
    <w:pPr>
      <w:tabs>
        <w:tab w:val="right" w:leader="dot" w:pos="9241"/>
      </w:tabs>
      <w:ind w:firstLine="102" w:firstLineChars="100"/>
    </w:pPr>
    <w:rPr>
      <w:rFonts w:ascii="宋体"/>
      <w:szCs w:val="21"/>
    </w:rPr>
  </w:style>
  <w:style w:type="paragraph" w:styleId="14">
    <w:name w:val="toc 8"/>
    <w:basedOn w:val="1"/>
    <w:next w:val="1"/>
    <w:autoRedefine/>
    <w:semiHidden/>
    <w:qFormat/>
    <w:uiPriority w:val="0"/>
    <w:pPr>
      <w:tabs>
        <w:tab w:val="right" w:leader="dot" w:pos="9241"/>
      </w:tabs>
      <w:ind w:firstLine="607" w:firstLineChars="600"/>
    </w:pPr>
    <w:rPr>
      <w:rFonts w:ascii="宋体"/>
      <w:szCs w:val="21"/>
    </w:rPr>
  </w:style>
  <w:style w:type="paragraph" w:styleId="15">
    <w:name w:val="index 3"/>
    <w:basedOn w:val="1"/>
    <w:next w:val="1"/>
    <w:autoRedefine/>
    <w:qFormat/>
    <w:uiPriority w:val="0"/>
    <w:pPr>
      <w:ind w:left="630" w:hanging="210"/>
    </w:pPr>
    <w:rPr>
      <w:rFonts w:ascii="Calibri" w:hAnsi="Calibri"/>
      <w:sz w:val="20"/>
      <w:szCs w:val="20"/>
    </w:rPr>
  </w:style>
  <w:style w:type="paragraph" w:styleId="16">
    <w:name w:val="endnote text"/>
    <w:basedOn w:val="1"/>
    <w:autoRedefine/>
    <w:semiHidden/>
    <w:qFormat/>
    <w:uiPriority w:val="0"/>
    <w:pPr>
      <w:snapToGrid w:val="0"/>
    </w:pPr>
  </w:style>
  <w:style w:type="paragraph" w:styleId="17">
    <w:name w:val="Balloon Text"/>
    <w:basedOn w:val="1"/>
    <w:link w:val="143"/>
    <w:autoRedefine/>
    <w:qFormat/>
    <w:uiPriority w:val="0"/>
    <w:rPr>
      <w:sz w:val="18"/>
      <w:szCs w:val="18"/>
    </w:rPr>
  </w:style>
  <w:style w:type="paragraph" w:styleId="18">
    <w:name w:val="footer"/>
    <w:basedOn w:val="1"/>
    <w:autoRedefine/>
    <w:qFormat/>
    <w:uiPriority w:val="0"/>
    <w:pPr>
      <w:snapToGrid w:val="0"/>
      <w:ind w:right="210" w:rightChars="100"/>
      <w:jc w:val="right"/>
    </w:pPr>
    <w:rPr>
      <w:sz w:val="18"/>
      <w:szCs w:val="18"/>
    </w:rPr>
  </w:style>
  <w:style w:type="paragraph" w:styleId="19">
    <w:name w:val="header"/>
    <w:basedOn w:val="1"/>
    <w:autoRedefine/>
    <w:qFormat/>
    <w:uiPriority w:val="0"/>
    <w:pPr>
      <w:snapToGrid w:val="0"/>
    </w:pPr>
    <w:rPr>
      <w:sz w:val="18"/>
      <w:szCs w:val="18"/>
    </w:rPr>
  </w:style>
  <w:style w:type="paragraph" w:styleId="20">
    <w:name w:val="toc 1"/>
    <w:basedOn w:val="1"/>
    <w:next w:val="1"/>
    <w:autoRedefine/>
    <w:qFormat/>
    <w:uiPriority w:val="39"/>
    <w:pPr>
      <w:tabs>
        <w:tab w:val="right" w:leader="dot" w:pos="9241"/>
      </w:tabs>
      <w:spacing w:beforeLines="25" w:afterLines="25"/>
    </w:pPr>
    <w:rPr>
      <w:rFonts w:ascii="宋体"/>
      <w:szCs w:val="21"/>
    </w:rPr>
  </w:style>
  <w:style w:type="paragraph" w:styleId="21">
    <w:name w:val="toc 4"/>
    <w:basedOn w:val="1"/>
    <w:next w:val="1"/>
    <w:autoRedefine/>
    <w:semiHidden/>
    <w:qFormat/>
    <w:uiPriority w:val="0"/>
    <w:pPr>
      <w:tabs>
        <w:tab w:val="right" w:leader="dot" w:pos="9241"/>
      </w:tabs>
      <w:ind w:firstLine="198"/>
    </w:pPr>
    <w:rPr>
      <w:rFonts w:ascii="宋体"/>
      <w:szCs w:val="21"/>
    </w:rPr>
  </w:style>
  <w:style w:type="paragraph" w:styleId="22">
    <w:name w:val="index heading"/>
    <w:basedOn w:val="1"/>
    <w:next w:val="23"/>
    <w:autoRedefine/>
    <w:qFormat/>
    <w:uiPriority w:val="0"/>
    <w:pPr>
      <w:spacing w:before="120" w:after="120"/>
    </w:pPr>
    <w:rPr>
      <w:rFonts w:ascii="Calibri" w:hAnsi="Calibri"/>
      <w:b/>
      <w:bCs/>
      <w:iCs/>
      <w:szCs w:val="20"/>
    </w:rPr>
  </w:style>
  <w:style w:type="paragraph" w:styleId="23">
    <w:name w:val="index 1"/>
    <w:basedOn w:val="1"/>
    <w:next w:val="24"/>
    <w:autoRedefine/>
    <w:qFormat/>
    <w:uiPriority w:val="0"/>
    <w:pPr>
      <w:tabs>
        <w:tab w:val="right" w:leader="dot" w:pos="9299"/>
      </w:tabs>
    </w:pPr>
    <w:rPr>
      <w:rFonts w:ascii="宋体"/>
      <w:szCs w:val="21"/>
    </w:rPr>
  </w:style>
  <w:style w:type="paragraph" w:customStyle="1" w:styleId="24">
    <w:name w:val="段"/>
    <w:link w:val="136"/>
    <w:autoRedefine/>
    <w:qFormat/>
    <w:uiPriority w:val="0"/>
    <w:pPr>
      <w:tabs>
        <w:tab w:val="center" w:pos="4201"/>
        <w:tab w:val="right" w:leader="dot" w:pos="9298"/>
      </w:tabs>
      <w:autoSpaceDE w:val="0"/>
      <w:autoSpaceDN w:val="0"/>
      <w:ind w:firstLine="420" w:firstLineChars="200"/>
    </w:pPr>
    <w:rPr>
      <w:rFonts w:ascii="宋体" w:hAnsi="Times New Roman" w:eastAsia="宋体" w:cs="Times New Roman"/>
      <w:sz w:val="21"/>
      <w:lang w:val="en-US" w:eastAsia="zh-CN" w:bidi="ar-SA"/>
    </w:rPr>
  </w:style>
  <w:style w:type="paragraph" w:styleId="25">
    <w:name w:val="footnote text"/>
    <w:basedOn w:val="1"/>
    <w:autoRedefine/>
    <w:qFormat/>
    <w:uiPriority w:val="0"/>
    <w:pPr>
      <w:numPr>
        <w:ilvl w:val="0"/>
        <w:numId w:val="1"/>
      </w:numPr>
      <w:snapToGrid w:val="0"/>
    </w:pPr>
    <w:rPr>
      <w:rFonts w:ascii="宋体"/>
      <w:sz w:val="18"/>
      <w:szCs w:val="18"/>
    </w:rPr>
  </w:style>
  <w:style w:type="paragraph" w:styleId="26">
    <w:name w:val="toc 6"/>
    <w:basedOn w:val="1"/>
    <w:next w:val="1"/>
    <w:autoRedefine/>
    <w:semiHidden/>
    <w:qFormat/>
    <w:uiPriority w:val="0"/>
    <w:pPr>
      <w:tabs>
        <w:tab w:val="right" w:leader="dot" w:pos="9241"/>
      </w:tabs>
      <w:ind w:firstLine="403" w:firstLineChars="400"/>
    </w:pPr>
    <w:rPr>
      <w:rFonts w:ascii="宋体"/>
      <w:szCs w:val="21"/>
    </w:rPr>
  </w:style>
  <w:style w:type="paragraph" w:styleId="27">
    <w:name w:val="index 7"/>
    <w:basedOn w:val="1"/>
    <w:next w:val="1"/>
    <w:autoRedefine/>
    <w:qFormat/>
    <w:uiPriority w:val="0"/>
    <w:pPr>
      <w:ind w:left="1470" w:hanging="210"/>
    </w:pPr>
    <w:rPr>
      <w:rFonts w:ascii="Calibri" w:hAnsi="Calibri"/>
      <w:sz w:val="20"/>
      <w:szCs w:val="20"/>
    </w:rPr>
  </w:style>
  <w:style w:type="paragraph" w:styleId="28">
    <w:name w:val="index 9"/>
    <w:basedOn w:val="1"/>
    <w:next w:val="1"/>
    <w:autoRedefine/>
    <w:qFormat/>
    <w:uiPriority w:val="0"/>
    <w:pPr>
      <w:ind w:left="1890" w:hanging="210"/>
    </w:pPr>
    <w:rPr>
      <w:rFonts w:ascii="Calibri" w:hAnsi="Calibri"/>
      <w:sz w:val="20"/>
      <w:szCs w:val="20"/>
    </w:rPr>
  </w:style>
  <w:style w:type="paragraph" w:styleId="29">
    <w:name w:val="toc 2"/>
    <w:basedOn w:val="1"/>
    <w:next w:val="1"/>
    <w:autoRedefine/>
    <w:semiHidden/>
    <w:qFormat/>
    <w:uiPriority w:val="0"/>
    <w:pPr>
      <w:tabs>
        <w:tab w:val="right" w:leader="dot" w:pos="9241"/>
      </w:tabs>
    </w:pPr>
    <w:rPr>
      <w:rFonts w:ascii="宋体"/>
      <w:szCs w:val="21"/>
    </w:rPr>
  </w:style>
  <w:style w:type="paragraph" w:styleId="30">
    <w:name w:val="toc 9"/>
    <w:basedOn w:val="1"/>
    <w:next w:val="1"/>
    <w:autoRedefine/>
    <w:semiHidden/>
    <w:qFormat/>
    <w:uiPriority w:val="0"/>
    <w:pPr>
      <w:ind w:left="1470"/>
    </w:pPr>
    <w:rPr>
      <w:sz w:val="20"/>
      <w:szCs w:val="20"/>
    </w:rPr>
  </w:style>
  <w:style w:type="paragraph" w:styleId="31">
    <w:name w:val="index 2"/>
    <w:basedOn w:val="1"/>
    <w:next w:val="1"/>
    <w:autoRedefine/>
    <w:qFormat/>
    <w:uiPriority w:val="0"/>
    <w:pPr>
      <w:ind w:left="420" w:hanging="210"/>
    </w:pPr>
    <w:rPr>
      <w:rFonts w:ascii="Calibri" w:hAnsi="Calibri"/>
      <w:sz w:val="20"/>
      <w:szCs w:val="20"/>
    </w:rPr>
  </w:style>
  <w:style w:type="paragraph" w:styleId="32">
    <w:name w:val="annotation subject"/>
    <w:basedOn w:val="8"/>
    <w:next w:val="8"/>
    <w:link w:val="154"/>
    <w:semiHidden/>
    <w:unhideWhenUsed/>
    <w:qFormat/>
    <w:uiPriority w:val="0"/>
    <w:rPr>
      <w:b/>
      <w:bCs/>
    </w:rPr>
  </w:style>
  <w:style w:type="table" w:styleId="34">
    <w:name w:val="Table Grid"/>
    <w:basedOn w:val="33"/>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22"/>
    <w:rPr>
      <w:b/>
      <w:bCs/>
    </w:rPr>
  </w:style>
  <w:style w:type="character" w:styleId="37">
    <w:name w:val="endnote reference"/>
    <w:autoRedefine/>
    <w:semiHidden/>
    <w:qFormat/>
    <w:uiPriority w:val="0"/>
    <w:rPr>
      <w:vertAlign w:val="superscript"/>
    </w:rPr>
  </w:style>
  <w:style w:type="character" w:styleId="38">
    <w:name w:val="page number"/>
    <w:autoRedefine/>
    <w:qFormat/>
    <w:uiPriority w:val="0"/>
    <w:rPr>
      <w:rFonts w:ascii="Times New Roman" w:hAnsi="Times New Roman" w:eastAsia="宋体"/>
      <w:sz w:val="18"/>
    </w:rPr>
  </w:style>
  <w:style w:type="character" w:styleId="39">
    <w:name w:val="FollowedHyperlink"/>
    <w:autoRedefine/>
    <w:qFormat/>
    <w:uiPriority w:val="0"/>
    <w:rPr>
      <w:color w:val="800080"/>
      <w:u w:val="single"/>
    </w:rPr>
  </w:style>
  <w:style w:type="character" w:styleId="40">
    <w:name w:val="Hyperlink"/>
    <w:autoRedefine/>
    <w:qFormat/>
    <w:uiPriority w:val="99"/>
    <w:rPr>
      <w:color w:val="0000FF"/>
      <w:spacing w:val="0"/>
      <w:w w:val="100"/>
      <w:szCs w:val="21"/>
      <w:u w:val="single"/>
    </w:rPr>
  </w:style>
  <w:style w:type="character" w:styleId="41">
    <w:name w:val="annotation reference"/>
    <w:basedOn w:val="35"/>
    <w:semiHidden/>
    <w:unhideWhenUsed/>
    <w:qFormat/>
    <w:uiPriority w:val="0"/>
    <w:rPr>
      <w:sz w:val="21"/>
      <w:szCs w:val="21"/>
    </w:rPr>
  </w:style>
  <w:style w:type="character" w:styleId="42">
    <w:name w:val="footnote reference"/>
    <w:autoRedefine/>
    <w:semiHidden/>
    <w:qFormat/>
    <w:uiPriority w:val="0"/>
    <w:rPr>
      <w:vertAlign w:val="superscript"/>
    </w:rPr>
  </w:style>
  <w:style w:type="paragraph" w:customStyle="1" w:styleId="43">
    <w:name w:val="一级条标题"/>
    <w:next w:val="24"/>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4"/>
    <w:autoRedefine/>
    <w:qFormat/>
    <w:uiPriority w:val="0"/>
    <w:pPr>
      <w:numPr>
        <w:ilvl w:val="0"/>
        <w:numId w:val="2"/>
      </w:numPr>
      <w:spacing w:before="312" w:beforeLines="100" w:after="312" w:afterLines="100"/>
      <w:jc w:val="both"/>
      <w:outlineLvl w:val="0"/>
    </w:pPr>
    <w:rPr>
      <w:rFonts w:ascii="黑体" w:hAnsi="Times New Roman" w:eastAsia="黑体" w:cs="Times New Roman"/>
      <w:sz w:val="21"/>
      <w:lang w:val="en-US" w:eastAsia="zh-CN" w:bidi="ar-SA"/>
    </w:rPr>
  </w:style>
  <w:style w:type="paragraph" w:customStyle="1" w:styleId="47">
    <w:name w:val="二级条标题"/>
    <w:basedOn w:val="43"/>
    <w:next w:val="24"/>
    <w:autoRedefine/>
    <w:qFormat/>
    <w:uiPriority w:val="0"/>
    <w:pPr>
      <w:numPr>
        <w:ilvl w:val="2"/>
      </w:numPr>
      <w:spacing w:beforeLines="0" w:afterLines="0"/>
      <w:jc w:val="both"/>
      <w:outlineLvl w:val="9"/>
    </w:pPr>
    <w:rPr>
      <w:rFonts w:hAnsi="黑体"/>
    </w:rPr>
  </w:style>
  <w:style w:type="paragraph" w:customStyle="1" w:styleId="48">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4"/>
    <w:link w:val="141"/>
    <w:autoRedefine/>
    <w:qFormat/>
    <w:uiPriority w:val="0"/>
    <w:pPr>
      <w:keepNext/>
      <w:pageBreakBefore/>
      <w:widowControl/>
      <w:shd w:val="clear" w:color="FFFFFF" w:fill="FFFFFF"/>
      <w:spacing w:before="640" w:after="560" w:line="460" w:lineRule="exact"/>
      <w:ind w:firstLine="640"/>
      <w:jc w:val="center"/>
      <w:outlineLvl w:val="0"/>
    </w:pPr>
    <w:rPr>
      <w:rFonts w:ascii="黑体" w:eastAsia="黑体"/>
      <w:kern w:val="0"/>
      <w:sz w:val="32"/>
      <w:szCs w:val="20"/>
    </w:rPr>
  </w:style>
  <w:style w:type="paragraph" w:customStyle="1" w:styleId="52">
    <w:name w:val="三级条标题"/>
    <w:basedOn w:val="47"/>
    <w:next w:val="24"/>
    <w:autoRedefine/>
    <w:qFormat/>
    <w:uiPriority w:val="0"/>
    <w:pPr>
      <w:numPr>
        <w:ilvl w:val="3"/>
      </w:numPr>
      <w:outlineLvl w:val="4"/>
    </w:pPr>
  </w:style>
  <w:style w:type="paragraph" w:customStyle="1" w:styleId="53">
    <w:name w:val="示例"/>
    <w:next w:val="54"/>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6">
    <w:name w:val="四级条标题"/>
    <w:basedOn w:val="52"/>
    <w:next w:val="24"/>
    <w:autoRedefine/>
    <w:qFormat/>
    <w:uiPriority w:val="0"/>
    <w:pPr>
      <w:numPr>
        <w:ilvl w:val="4"/>
      </w:numPr>
      <w:outlineLvl w:val="5"/>
    </w:pPr>
  </w:style>
  <w:style w:type="paragraph" w:customStyle="1" w:styleId="57">
    <w:name w:val="五级条标题"/>
    <w:basedOn w:val="56"/>
    <w:next w:val="24"/>
    <w:autoRedefine/>
    <w:qFormat/>
    <w:uiPriority w:val="0"/>
    <w:pPr>
      <w:numPr>
        <w:ilvl w:val="5"/>
      </w:numPr>
      <w:outlineLvl w:val="6"/>
    </w:pPr>
  </w:style>
  <w:style w:type="paragraph" w:customStyle="1" w:styleId="58">
    <w:name w:val="注："/>
    <w:next w:val="24"/>
    <w:autoRedefine/>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9">
    <w:name w:val="注×："/>
    <w:autoRedefine/>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0">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autoRedefine/>
    <w:qFormat/>
    <w:uiPriority w:val="0"/>
    <w:pPr>
      <w:numPr>
        <w:ilvl w:val="2"/>
        <w:numId w:val="3"/>
      </w:numPr>
    </w:pPr>
    <w:rPr>
      <w:rFonts w:ascii="宋体"/>
      <w:szCs w:val="21"/>
    </w:rPr>
  </w:style>
  <w:style w:type="paragraph" w:customStyle="1" w:styleId="62">
    <w:name w:val="编号列项（三级）"/>
    <w:autoRedefine/>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63">
    <w:name w:val="示例×："/>
    <w:basedOn w:val="46"/>
    <w:autoRedefine/>
    <w:qFormat/>
    <w:uiPriority w:val="0"/>
    <w:pPr>
      <w:numPr>
        <w:numId w:val="8"/>
      </w:numPr>
      <w:spacing w:beforeLines="0" w:afterLines="0"/>
      <w:outlineLvl w:val="9"/>
    </w:pPr>
    <w:rPr>
      <w:rFonts w:ascii="宋体" w:eastAsia="宋体"/>
      <w:sz w:val="18"/>
      <w:szCs w:val="18"/>
    </w:rPr>
  </w:style>
  <w:style w:type="paragraph" w:customStyle="1" w:styleId="64">
    <w:name w:val="二级无"/>
    <w:basedOn w:val="47"/>
    <w:autoRedefine/>
    <w:qFormat/>
    <w:uiPriority w:val="0"/>
    <w:rPr>
      <w:rFonts w:ascii="宋体" w:eastAsia="宋体"/>
    </w:rPr>
  </w:style>
  <w:style w:type="paragraph" w:customStyle="1" w:styleId="65">
    <w:name w:val="注：（正文）"/>
    <w:basedOn w:val="58"/>
    <w:next w:val="24"/>
    <w:autoRedefine/>
    <w:qFormat/>
    <w:uiPriority w:val="0"/>
    <w:pPr>
      <w:numPr>
        <w:numId w:val="9"/>
      </w:numPr>
      <w:ind w:left="726" w:hanging="363"/>
    </w:pPr>
  </w:style>
  <w:style w:type="paragraph" w:customStyle="1" w:styleId="66">
    <w:name w:val="注×：（正文）"/>
    <w:autoRedefine/>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autoRedefine/>
    <w:qFormat/>
    <w:uiPriority w:val="0"/>
    <w:pPr>
      <w:jc w:val="left"/>
    </w:pPr>
  </w:style>
  <w:style w:type="paragraph" w:customStyle="1" w:styleId="71">
    <w:name w:val="标准书眉一"/>
    <w:autoRedefine/>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4"/>
    <w:autoRedefine/>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73">
    <w:name w:val="参考文献、索引标题"/>
    <w:basedOn w:val="1"/>
    <w:next w:val="24"/>
    <w:autoRedefine/>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74">
    <w:name w:val="发布部门"/>
    <w:next w:val="2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autoRedefine/>
    <w:qFormat/>
    <w:uiPriority w:val="0"/>
    <w:rPr>
      <w:rFonts w:ascii="Times New Roman" w:hAnsi="Times New Roman" w:eastAsia="黑体" w:cs="Times New Roman"/>
      <w:sz w:val="28"/>
      <w:lang w:val="en-US" w:eastAsia="zh-CN" w:bidi="ar-SA"/>
    </w:rPr>
  </w:style>
  <w:style w:type="paragraph" w:customStyle="1" w:styleId="76">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autoRedefine/>
    <w:qFormat/>
    <w:uiPriority w:val="0"/>
    <w:pPr>
      <w:framePr w:wrap="around" w:vAnchor="margin" w:hAnchor="text" w:y="1"/>
      <w:spacing w:before="370" w:line="400" w:lineRule="exact"/>
    </w:pPr>
    <w:rPr>
      <w:rFonts w:ascii="Times New Roman"/>
      <w:sz w:val="28"/>
      <w:szCs w:val="28"/>
    </w:rPr>
  </w:style>
  <w:style w:type="paragraph" w:customStyle="1" w:styleId="80">
    <w:name w:val="封面一致性程度标识"/>
    <w:basedOn w:val="79"/>
    <w:autoRedefine/>
    <w:qFormat/>
    <w:uiPriority w:val="0"/>
    <w:pPr>
      <w:framePr w:wrap="around"/>
      <w:spacing w:before="440"/>
    </w:pPr>
    <w:rPr>
      <w:rFonts w:ascii="宋体" w:eastAsia="宋体"/>
    </w:rPr>
  </w:style>
  <w:style w:type="paragraph" w:customStyle="1" w:styleId="81">
    <w:name w:val="封面标准文稿类别"/>
    <w:basedOn w:val="80"/>
    <w:autoRedefine/>
    <w:qFormat/>
    <w:uiPriority w:val="0"/>
    <w:pPr>
      <w:framePr w:wrap="around"/>
      <w:spacing w:after="160" w:line="240" w:lineRule="auto"/>
    </w:pPr>
    <w:rPr>
      <w:sz w:val="24"/>
    </w:rPr>
  </w:style>
  <w:style w:type="paragraph" w:customStyle="1" w:styleId="82">
    <w:name w:val="封面标准文稿编辑信息"/>
    <w:basedOn w:val="81"/>
    <w:autoRedefine/>
    <w:qFormat/>
    <w:uiPriority w:val="0"/>
    <w:pPr>
      <w:framePr w:wrap="around"/>
      <w:spacing w:before="180" w:line="180" w:lineRule="exact"/>
    </w:pPr>
    <w:rPr>
      <w:sz w:val="21"/>
    </w:rPr>
  </w:style>
  <w:style w:type="paragraph" w:customStyle="1" w:styleId="83">
    <w:name w:val="封面正文"/>
    <w:autoRedefine/>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4"/>
    <w:autoRedefine/>
    <w:qFormat/>
    <w:uiPriority w:val="0"/>
    <w:pPr>
      <w:keepNext/>
      <w:widowControl/>
      <w:numPr>
        <w:ilvl w:val="0"/>
        <w:numId w:val="11"/>
      </w:numPr>
      <w:shd w:val="clear" w:color="FFFFFF" w:fill="FFFFFF"/>
      <w:tabs>
        <w:tab w:val="left" w:pos="360"/>
        <w:tab w:val="left" w:pos="6405"/>
      </w:tabs>
      <w:spacing w:before="640" w:after="280"/>
      <w:ind w:firstLineChars="0"/>
      <w:jc w:val="center"/>
      <w:outlineLvl w:val="0"/>
    </w:pPr>
    <w:rPr>
      <w:rFonts w:ascii="黑体" w:eastAsia="黑体"/>
      <w:kern w:val="0"/>
      <w:szCs w:val="20"/>
    </w:rPr>
  </w:style>
  <w:style w:type="paragraph" w:customStyle="1" w:styleId="85">
    <w:name w:val="附录标题"/>
    <w:basedOn w:val="24"/>
    <w:next w:val="24"/>
    <w:autoRedefine/>
    <w:qFormat/>
    <w:uiPriority w:val="0"/>
    <w:pPr>
      <w:ind w:firstLine="0" w:firstLineChars="0"/>
      <w:jc w:val="center"/>
    </w:pPr>
    <w:rPr>
      <w:rFonts w:ascii="黑体" w:eastAsia="黑体"/>
    </w:rPr>
  </w:style>
  <w:style w:type="paragraph" w:customStyle="1" w:styleId="86">
    <w:name w:val="附录表标号"/>
    <w:basedOn w:val="1"/>
    <w:next w:val="24"/>
    <w:autoRedefine/>
    <w:qFormat/>
    <w:uiPriority w:val="0"/>
    <w:pPr>
      <w:numPr>
        <w:ilvl w:val="0"/>
        <w:numId w:val="12"/>
      </w:numPr>
      <w:spacing w:line="14" w:lineRule="exact"/>
      <w:ind w:left="811" w:hanging="448"/>
      <w:outlineLvl w:val="0"/>
    </w:pPr>
    <w:rPr>
      <w:color w:val="FFFFFF"/>
    </w:rPr>
  </w:style>
  <w:style w:type="paragraph" w:customStyle="1" w:styleId="87">
    <w:name w:val="附录表标题"/>
    <w:basedOn w:val="1"/>
    <w:next w:val="24"/>
    <w:autoRedefine/>
    <w:qFormat/>
    <w:uiPriority w:val="0"/>
    <w:pPr>
      <w:numPr>
        <w:ilvl w:val="1"/>
        <w:numId w:val="12"/>
      </w:numPr>
      <w:tabs>
        <w:tab w:val="left" w:pos="0"/>
        <w:tab w:val="left" w:pos="180"/>
      </w:tabs>
      <w:spacing w:before="156" w:beforeLines="50" w:after="156" w:afterLines="50"/>
      <w:ind w:left="0" w:firstLine="0"/>
      <w:jc w:val="center"/>
    </w:pPr>
    <w:rPr>
      <w:rFonts w:ascii="黑体" w:eastAsia="黑体"/>
      <w:szCs w:val="21"/>
    </w:rPr>
  </w:style>
  <w:style w:type="paragraph" w:customStyle="1" w:styleId="88">
    <w:name w:val="附录二级条标题"/>
    <w:basedOn w:val="1"/>
    <w:next w:val="24"/>
    <w:autoRedefine/>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autoRedefine/>
    <w:qFormat/>
    <w:uiPriority w:val="0"/>
    <w:pPr>
      <w:tabs>
        <w:tab w:val="clear" w:pos="360"/>
      </w:tabs>
      <w:spacing w:beforeLines="0" w:afterLines="0"/>
    </w:pPr>
    <w:rPr>
      <w:rFonts w:ascii="宋体" w:eastAsia="宋体"/>
      <w:szCs w:val="21"/>
    </w:rPr>
  </w:style>
  <w:style w:type="paragraph" w:customStyle="1" w:styleId="90">
    <w:name w:val="附录公式"/>
    <w:basedOn w:val="24"/>
    <w:next w:val="24"/>
    <w:link w:val="138"/>
    <w:autoRedefine/>
    <w:qFormat/>
    <w:uiPriority w:val="0"/>
  </w:style>
  <w:style w:type="paragraph" w:customStyle="1" w:styleId="91">
    <w:name w:val="附录公式编号制表符"/>
    <w:basedOn w:val="1"/>
    <w:next w:val="24"/>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8"/>
    <w:next w:val="24"/>
    <w:autoRedefine/>
    <w:qFormat/>
    <w:uiPriority w:val="0"/>
    <w:pPr>
      <w:numPr>
        <w:ilvl w:val="4"/>
      </w:numPr>
      <w:outlineLvl w:val="4"/>
    </w:pPr>
  </w:style>
  <w:style w:type="paragraph" w:customStyle="1" w:styleId="93">
    <w:name w:val="附录三级无"/>
    <w:basedOn w:val="92"/>
    <w:autoRedefine/>
    <w:qFormat/>
    <w:uiPriority w:val="0"/>
    <w:pPr>
      <w:tabs>
        <w:tab w:val="clear" w:pos="360"/>
      </w:tabs>
      <w:spacing w:beforeLines="0" w:afterLines="0"/>
    </w:pPr>
    <w:rPr>
      <w:rFonts w:ascii="宋体" w:eastAsia="宋体"/>
      <w:szCs w:val="21"/>
    </w:rPr>
  </w:style>
  <w:style w:type="paragraph" w:customStyle="1" w:styleId="94">
    <w:name w:val="附录数字编号列项（二级）"/>
    <w:autoRedefine/>
    <w:qFormat/>
    <w:uiPriority w:val="0"/>
    <w:pPr>
      <w:numPr>
        <w:ilvl w:val="1"/>
        <w:numId w:val="13"/>
      </w:numPr>
      <w:tabs>
        <w:tab w:val="left" w:pos="839"/>
        <w:tab w:val="clear" w:pos="840"/>
      </w:tabs>
    </w:pPr>
    <w:rPr>
      <w:rFonts w:ascii="宋体" w:hAnsi="Times New Roman" w:eastAsia="宋体" w:cs="Times New Roman"/>
      <w:sz w:val="21"/>
      <w:lang w:val="en-US" w:eastAsia="zh-CN" w:bidi="ar-SA"/>
    </w:rPr>
  </w:style>
  <w:style w:type="paragraph" w:customStyle="1" w:styleId="95">
    <w:name w:val="附录四级条标题"/>
    <w:basedOn w:val="92"/>
    <w:next w:val="24"/>
    <w:autoRedefine/>
    <w:qFormat/>
    <w:uiPriority w:val="0"/>
    <w:pPr>
      <w:numPr>
        <w:ilvl w:val="5"/>
      </w:numPr>
      <w:outlineLvl w:val="5"/>
    </w:pPr>
  </w:style>
  <w:style w:type="paragraph" w:customStyle="1" w:styleId="96">
    <w:name w:val="附录四级无"/>
    <w:basedOn w:val="95"/>
    <w:autoRedefine/>
    <w:qFormat/>
    <w:uiPriority w:val="0"/>
    <w:pPr>
      <w:tabs>
        <w:tab w:val="clear" w:pos="360"/>
      </w:tabs>
      <w:spacing w:beforeLines="0" w:afterLines="0"/>
    </w:pPr>
    <w:rPr>
      <w:rFonts w:ascii="宋体" w:eastAsia="宋体"/>
      <w:szCs w:val="21"/>
    </w:rPr>
  </w:style>
  <w:style w:type="paragraph" w:customStyle="1" w:styleId="97">
    <w:name w:val="附录图标号"/>
    <w:basedOn w:val="1"/>
    <w:autoRedefine/>
    <w:qFormat/>
    <w:uiPriority w:val="0"/>
    <w:pPr>
      <w:keepNext/>
      <w:pageBreakBefore/>
      <w:widowControl/>
      <w:numPr>
        <w:ilvl w:val="0"/>
        <w:numId w:val="14"/>
      </w:numPr>
      <w:spacing w:line="14" w:lineRule="exact"/>
      <w:ind w:left="0" w:firstLine="363"/>
      <w:outlineLvl w:val="0"/>
    </w:pPr>
    <w:rPr>
      <w:color w:val="FFFFFF"/>
    </w:rPr>
  </w:style>
  <w:style w:type="paragraph" w:customStyle="1" w:styleId="98">
    <w:name w:val="附录图标题"/>
    <w:basedOn w:val="1"/>
    <w:next w:val="24"/>
    <w:autoRedefine/>
    <w:qFormat/>
    <w:uiPriority w:val="0"/>
    <w:pPr>
      <w:numPr>
        <w:ilvl w:val="1"/>
        <w:numId w:val="14"/>
      </w:numPr>
      <w:tabs>
        <w:tab w:val="left" w:pos="363"/>
      </w:tabs>
      <w:spacing w:beforeLines="50" w:afterLines="50"/>
      <w:ind w:left="0" w:firstLine="0"/>
    </w:pPr>
    <w:rPr>
      <w:rFonts w:ascii="黑体" w:eastAsia="黑体"/>
      <w:szCs w:val="21"/>
    </w:rPr>
  </w:style>
  <w:style w:type="paragraph" w:customStyle="1" w:styleId="99">
    <w:name w:val="附录五级条标题"/>
    <w:basedOn w:val="95"/>
    <w:next w:val="24"/>
    <w:autoRedefine/>
    <w:qFormat/>
    <w:uiPriority w:val="0"/>
    <w:pPr>
      <w:numPr>
        <w:ilvl w:val="6"/>
      </w:numPr>
      <w:outlineLvl w:val="6"/>
    </w:pPr>
  </w:style>
  <w:style w:type="paragraph" w:customStyle="1" w:styleId="100">
    <w:name w:val="附录五级无"/>
    <w:basedOn w:val="99"/>
    <w:autoRedefine/>
    <w:qFormat/>
    <w:uiPriority w:val="0"/>
    <w:pPr>
      <w:tabs>
        <w:tab w:val="clear" w:pos="360"/>
      </w:tabs>
      <w:spacing w:beforeLines="0" w:afterLines="0"/>
    </w:pPr>
    <w:rPr>
      <w:rFonts w:ascii="宋体" w:eastAsia="宋体"/>
      <w:szCs w:val="21"/>
    </w:rPr>
  </w:style>
  <w:style w:type="paragraph" w:customStyle="1" w:styleId="101">
    <w:name w:val="附录章标题"/>
    <w:next w:val="24"/>
    <w:autoRedefine/>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4"/>
    <w:autoRedefine/>
    <w:qFormat/>
    <w:uiPriority w:val="0"/>
    <w:pPr>
      <w:numPr>
        <w:ilvl w:val="2"/>
      </w:numPr>
      <w:autoSpaceDN w:val="0"/>
      <w:spacing w:beforeLines="50" w:afterLines="50"/>
      <w:outlineLvl w:val="2"/>
    </w:pPr>
  </w:style>
  <w:style w:type="paragraph" w:customStyle="1" w:styleId="103">
    <w:name w:val="附录一级无"/>
    <w:basedOn w:val="102"/>
    <w:autoRedefine/>
    <w:qFormat/>
    <w:uiPriority w:val="0"/>
    <w:pPr>
      <w:tabs>
        <w:tab w:val="clear" w:pos="360"/>
      </w:tabs>
      <w:spacing w:beforeLines="0" w:afterLines="0"/>
    </w:pPr>
    <w:rPr>
      <w:rFonts w:ascii="宋体" w:eastAsia="宋体"/>
      <w:szCs w:val="21"/>
    </w:rPr>
  </w:style>
  <w:style w:type="paragraph" w:customStyle="1" w:styleId="104">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105">
    <w:name w:val="列项说明"/>
    <w:basedOn w:val="1"/>
    <w:autoRedefine/>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0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7"/>
    <w:autoRedefine/>
    <w:qFormat/>
    <w:uiPriority w:val="0"/>
    <w:pPr>
      <w:framePr w:w="6101" w:wrap="around" w:vAnchor="page" w:hAnchor="page" w:x="4673" w:y="942"/>
    </w:pPr>
    <w:rPr>
      <w:w w:val="130"/>
    </w:rPr>
  </w:style>
  <w:style w:type="paragraph" w:customStyle="1" w:styleId="10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4"/>
    <w:autoRedefine/>
    <w:qFormat/>
    <w:uiPriority w:val="0"/>
    <w:pPr>
      <w:framePr w:wrap="around" w:y="15310"/>
      <w:spacing w:line="0" w:lineRule="atLeast"/>
    </w:pPr>
    <w:rPr>
      <w:rFonts w:ascii="黑体" w:eastAsia="黑体"/>
      <w:b w:val="0"/>
    </w:rPr>
  </w:style>
  <w:style w:type="paragraph" w:customStyle="1" w:styleId="111">
    <w:name w:val="前言、引言标题"/>
    <w:next w:val="24"/>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2"/>
    <w:autoRedefine/>
    <w:qFormat/>
    <w:uiPriority w:val="0"/>
    <w:rPr>
      <w:rFonts w:ascii="宋体" w:eastAsia="宋体"/>
    </w:rPr>
  </w:style>
  <w:style w:type="paragraph" w:customStyle="1" w:styleId="113">
    <w:name w:val="实施日期"/>
    <w:autoRedefine/>
    <w:qFormat/>
    <w:uiPriority w:val="0"/>
    <w:pPr>
      <w:jc w:val="right"/>
    </w:pPr>
    <w:rPr>
      <w:rFonts w:ascii="Times New Roman" w:hAnsi="Times New Roman" w:eastAsia="黑体" w:cs="Times New Roman"/>
      <w:sz w:val="28"/>
      <w:lang w:val="en-US" w:eastAsia="zh-CN" w:bidi="ar-SA"/>
    </w:rPr>
  </w:style>
  <w:style w:type="paragraph" w:customStyle="1" w:styleId="114">
    <w:name w:val="示例后文字"/>
    <w:basedOn w:val="24"/>
    <w:next w:val="24"/>
    <w:autoRedefine/>
    <w:qFormat/>
    <w:uiPriority w:val="0"/>
    <w:pPr>
      <w:ind w:firstLine="360"/>
    </w:pPr>
    <w:rPr>
      <w:sz w:val="18"/>
    </w:rPr>
  </w:style>
  <w:style w:type="paragraph" w:customStyle="1" w:styleId="115">
    <w:name w:val="首示例"/>
    <w:next w:val="24"/>
    <w:link w:val="139"/>
    <w:autoRedefine/>
    <w:qFormat/>
    <w:uiPriority w:val="0"/>
    <w:pPr>
      <w:tabs>
        <w:tab w:val="left" w:pos="360"/>
      </w:tabs>
    </w:pPr>
    <w:rPr>
      <w:rFonts w:ascii="宋体" w:hAnsi="宋体" w:eastAsia="宋体" w:cs="Times New Roman"/>
      <w:kern w:val="2"/>
      <w:sz w:val="18"/>
      <w:szCs w:val="18"/>
      <w:lang w:val="en-US" w:eastAsia="zh-CN" w:bidi="ar-SA"/>
    </w:rPr>
  </w:style>
  <w:style w:type="paragraph" w:customStyle="1" w:styleId="116">
    <w:name w:val="四级无"/>
    <w:basedOn w:val="56"/>
    <w:autoRedefine/>
    <w:qFormat/>
    <w:uiPriority w:val="0"/>
    <w:rPr>
      <w:rFonts w:ascii="宋体" w:eastAsia="宋体"/>
    </w:rPr>
  </w:style>
  <w:style w:type="paragraph" w:customStyle="1" w:styleId="117">
    <w:name w:val="条文脚注"/>
    <w:basedOn w:val="25"/>
    <w:autoRedefine/>
    <w:qFormat/>
    <w:uiPriority w:val="0"/>
    <w:pPr>
      <w:numPr>
        <w:numId w:val="0"/>
      </w:numPr>
      <w:jc w:val="both"/>
    </w:pPr>
  </w:style>
  <w:style w:type="paragraph" w:customStyle="1" w:styleId="118">
    <w:name w:val="图标脚注说明"/>
    <w:basedOn w:val="24"/>
    <w:autoRedefine/>
    <w:qFormat/>
    <w:uiPriority w:val="0"/>
    <w:pPr>
      <w:ind w:left="840" w:hanging="420" w:firstLineChars="0"/>
    </w:pPr>
    <w:rPr>
      <w:sz w:val="18"/>
      <w:szCs w:val="18"/>
    </w:rPr>
  </w:style>
  <w:style w:type="paragraph" w:customStyle="1" w:styleId="119">
    <w:name w:val="图表脚注说明"/>
    <w:basedOn w:val="1"/>
    <w:autoRedefine/>
    <w:qFormat/>
    <w:uiPriority w:val="0"/>
    <w:pPr>
      <w:numPr>
        <w:ilvl w:val="0"/>
        <w:numId w:val="15"/>
      </w:numPr>
    </w:pPr>
    <w:rPr>
      <w:rFonts w:ascii="宋体"/>
      <w:sz w:val="18"/>
      <w:szCs w:val="18"/>
    </w:rPr>
  </w:style>
  <w:style w:type="paragraph" w:customStyle="1" w:styleId="120">
    <w:name w:val="图的脚注"/>
    <w:next w:val="24"/>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2">
    <w:name w:val="五级无"/>
    <w:basedOn w:val="57"/>
    <w:autoRedefine/>
    <w:qFormat/>
    <w:uiPriority w:val="0"/>
    <w:rPr>
      <w:rFonts w:ascii="宋体" w:eastAsia="宋体"/>
    </w:rPr>
  </w:style>
  <w:style w:type="paragraph" w:customStyle="1" w:styleId="123">
    <w:name w:val="一级无"/>
    <w:basedOn w:val="43"/>
    <w:autoRedefine/>
    <w:qFormat/>
    <w:uiPriority w:val="0"/>
    <w:pPr>
      <w:spacing w:beforeLines="0" w:afterLines="0"/>
    </w:pPr>
    <w:rPr>
      <w:rFonts w:ascii="宋体" w:eastAsia="宋体"/>
    </w:rPr>
  </w:style>
  <w:style w:type="paragraph" w:customStyle="1" w:styleId="124">
    <w:name w:val="正文表标题"/>
    <w:next w:val="24"/>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5">
    <w:name w:val="正文公式编号制表符"/>
    <w:basedOn w:val="24"/>
    <w:next w:val="24"/>
    <w:autoRedefine/>
    <w:qFormat/>
    <w:uiPriority w:val="0"/>
    <w:pPr>
      <w:ind w:firstLine="0" w:firstLineChars="0"/>
    </w:pPr>
  </w:style>
  <w:style w:type="paragraph" w:customStyle="1" w:styleId="126">
    <w:name w:val="正文图标题"/>
    <w:next w:val="24"/>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7">
    <w:name w:val="终结线"/>
    <w:basedOn w:val="1"/>
    <w:autoRedefine/>
    <w:qFormat/>
    <w:uiPriority w:val="0"/>
    <w:pPr>
      <w:framePr w:hSpace="181" w:vSpace="181" w:wrap="around" w:vAnchor="text" w:hAnchor="margin" w:xAlign="center" w:y="285"/>
    </w:pPr>
  </w:style>
  <w:style w:type="paragraph" w:customStyle="1" w:styleId="128">
    <w:name w:val="其他发布日期"/>
    <w:autoRedefine/>
    <w:qFormat/>
    <w:uiPriority w:val="0"/>
    <w:rPr>
      <w:rFonts w:ascii="Times New Roman" w:hAnsi="Times New Roman" w:eastAsia="黑体" w:cs="Times New Roman"/>
      <w:sz w:val="28"/>
      <w:lang w:val="en-US" w:eastAsia="zh-CN" w:bidi="ar-SA"/>
    </w:rPr>
  </w:style>
  <w:style w:type="paragraph" w:customStyle="1" w:styleId="129">
    <w:name w:val="其他实施日期"/>
    <w:basedOn w:val="113"/>
    <w:autoRedefine/>
    <w:qFormat/>
    <w:uiPriority w:val="0"/>
    <w:pPr>
      <w:framePr w:wrap="around" w:vAnchor="margin" w:hAnchor="text" w:y="1"/>
    </w:pPr>
  </w:style>
  <w:style w:type="paragraph" w:customStyle="1" w:styleId="130">
    <w:name w:val="封面标准名称2"/>
    <w:basedOn w:val="78"/>
    <w:autoRedefine/>
    <w:qFormat/>
    <w:uiPriority w:val="0"/>
    <w:pPr>
      <w:framePr w:wrap="around" w:vAnchor="margin" w:hAnchor="text" w:y="4469"/>
      <w:spacing w:beforeLines="630"/>
    </w:pPr>
  </w:style>
  <w:style w:type="paragraph" w:customStyle="1" w:styleId="131">
    <w:name w:val="封面标准英文名称2"/>
    <w:basedOn w:val="79"/>
    <w:autoRedefine/>
    <w:qFormat/>
    <w:uiPriority w:val="0"/>
    <w:pPr>
      <w:framePr w:wrap="around" w:y="4469"/>
    </w:pPr>
  </w:style>
  <w:style w:type="paragraph" w:customStyle="1" w:styleId="132">
    <w:name w:val="封面一致性程度标识2"/>
    <w:basedOn w:val="80"/>
    <w:autoRedefine/>
    <w:qFormat/>
    <w:uiPriority w:val="0"/>
    <w:pPr>
      <w:framePr w:wrap="around" w:y="4469"/>
    </w:pPr>
  </w:style>
  <w:style w:type="paragraph" w:customStyle="1" w:styleId="133">
    <w:name w:val="封面标准文稿类别2"/>
    <w:basedOn w:val="81"/>
    <w:autoRedefine/>
    <w:qFormat/>
    <w:uiPriority w:val="0"/>
    <w:pPr>
      <w:framePr w:wrap="around" w:y="4469"/>
    </w:pPr>
  </w:style>
  <w:style w:type="paragraph" w:customStyle="1" w:styleId="134">
    <w:name w:val="封面标准文稿编辑信息2"/>
    <w:basedOn w:val="82"/>
    <w:autoRedefine/>
    <w:qFormat/>
    <w:uiPriority w:val="0"/>
    <w:pPr>
      <w:framePr w:wrap="around" w:y="4469"/>
    </w:pPr>
  </w:style>
  <w:style w:type="paragraph" w:customStyle="1" w:styleId="135">
    <w:name w:val="标准名称"/>
    <w:basedOn w:val="51"/>
    <w:link w:val="142"/>
    <w:autoRedefine/>
    <w:qFormat/>
    <w:uiPriority w:val="0"/>
  </w:style>
  <w:style w:type="character" w:customStyle="1" w:styleId="136">
    <w:name w:val="段 Char"/>
    <w:link w:val="24"/>
    <w:autoRedefine/>
    <w:qFormat/>
    <w:uiPriority w:val="0"/>
    <w:rPr>
      <w:rFonts w:ascii="宋体"/>
      <w:sz w:val="21"/>
    </w:rPr>
  </w:style>
  <w:style w:type="character" w:customStyle="1" w:styleId="137">
    <w:name w:val="发布"/>
    <w:autoRedefine/>
    <w:qFormat/>
    <w:uiPriority w:val="0"/>
    <w:rPr>
      <w:rFonts w:ascii="黑体" w:eastAsia="黑体"/>
      <w:spacing w:val="85"/>
      <w:w w:val="100"/>
      <w:position w:val="3"/>
      <w:sz w:val="28"/>
      <w:szCs w:val="28"/>
    </w:rPr>
  </w:style>
  <w:style w:type="character" w:customStyle="1" w:styleId="138">
    <w:name w:val="附录公式 Char"/>
    <w:basedOn w:val="136"/>
    <w:link w:val="90"/>
    <w:autoRedefine/>
    <w:qFormat/>
    <w:uiPriority w:val="0"/>
    <w:rPr>
      <w:rFonts w:ascii="宋体"/>
      <w:sz w:val="21"/>
      <w:lang w:val="en-US" w:eastAsia="zh-CN" w:bidi="ar-SA"/>
    </w:rPr>
  </w:style>
  <w:style w:type="character" w:customStyle="1" w:styleId="139">
    <w:name w:val="首示例 Char"/>
    <w:link w:val="115"/>
    <w:autoRedefine/>
    <w:qFormat/>
    <w:uiPriority w:val="0"/>
    <w:rPr>
      <w:rFonts w:ascii="宋体" w:hAnsi="宋体"/>
      <w:kern w:val="2"/>
      <w:sz w:val="18"/>
      <w:szCs w:val="18"/>
    </w:rPr>
  </w:style>
  <w:style w:type="character" w:customStyle="1" w:styleId="140">
    <w:name w:val="占位符文本1"/>
    <w:basedOn w:val="35"/>
    <w:autoRedefine/>
    <w:semiHidden/>
    <w:qFormat/>
    <w:uiPriority w:val="99"/>
    <w:rPr>
      <w:color w:val="808080"/>
    </w:rPr>
  </w:style>
  <w:style w:type="character" w:customStyle="1" w:styleId="141">
    <w:name w:val="目次、标准名称标题 Char"/>
    <w:basedOn w:val="35"/>
    <w:link w:val="51"/>
    <w:autoRedefine/>
    <w:qFormat/>
    <w:uiPriority w:val="0"/>
    <w:rPr>
      <w:rFonts w:ascii="黑体" w:eastAsia="黑体"/>
      <w:sz w:val="32"/>
      <w:shd w:val="clear" w:color="FFFFFF" w:fill="FFFFFF"/>
    </w:rPr>
  </w:style>
  <w:style w:type="character" w:customStyle="1" w:styleId="142">
    <w:name w:val="标准名称 Char"/>
    <w:basedOn w:val="141"/>
    <w:link w:val="135"/>
    <w:autoRedefine/>
    <w:qFormat/>
    <w:uiPriority w:val="0"/>
    <w:rPr>
      <w:rFonts w:ascii="黑体" w:eastAsia="黑体"/>
      <w:sz w:val="32"/>
      <w:shd w:val="clear" w:color="FFFFFF" w:fill="FFFFFF"/>
    </w:rPr>
  </w:style>
  <w:style w:type="character" w:customStyle="1" w:styleId="143">
    <w:name w:val="批注框文本 字符"/>
    <w:basedOn w:val="35"/>
    <w:link w:val="17"/>
    <w:autoRedefine/>
    <w:qFormat/>
    <w:uiPriority w:val="0"/>
    <w:rPr>
      <w:kern w:val="2"/>
      <w:sz w:val="18"/>
      <w:szCs w:val="18"/>
    </w:rPr>
  </w:style>
  <w:style w:type="paragraph" w:customStyle="1" w:styleId="144">
    <w:name w:val="标准文件_二级无标题"/>
    <w:basedOn w:val="145"/>
    <w:qFormat/>
    <w:uiPriority w:val="0"/>
    <w:pPr>
      <w:spacing w:before="0" w:beforeLines="0" w:after="0" w:afterLines="0"/>
      <w:outlineLvl w:val="9"/>
    </w:pPr>
    <w:rPr>
      <w:rFonts w:ascii="宋体" w:eastAsia="宋体"/>
    </w:rPr>
  </w:style>
  <w:style w:type="paragraph" w:customStyle="1" w:styleId="145">
    <w:name w:val="标准文件_二级条标题"/>
    <w:next w:val="146"/>
    <w:qFormat/>
    <w:uiPriority w:val="0"/>
    <w:pPr>
      <w:widowControl w:val="0"/>
      <w:numPr>
        <w:ilvl w:val="3"/>
        <w:numId w:val="1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4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标准文件_一级无标题"/>
    <w:basedOn w:val="148"/>
    <w:qFormat/>
    <w:uiPriority w:val="0"/>
    <w:pPr>
      <w:spacing w:before="0" w:beforeLines="0" w:after="0" w:afterLines="0"/>
      <w:outlineLvl w:val="9"/>
    </w:pPr>
    <w:rPr>
      <w:rFonts w:ascii="宋体" w:eastAsia="宋体"/>
    </w:rPr>
  </w:style>
  <w:style w:type="paragraph" w:customStyle="1" w:styleId="148">
    <w:name w:val="标准文件_一级条标题"/>
    <w:basedOn w:val="149"/>
    <w:next w:val="146"/>
    <w:qFormat/>
    <w:uiPriority w:val="0"/>
    <w:pPr>
      <w:numPr>
        <w:ilvl w:val="2"/>
      </w:numPr>
      <w:spacing w:before="50" w:beforeLines="50" w:after="50" w:afterLines="50"/>
      <w:outlineLvl w:val="1"/>
    </w:pPr>
  </w:style>
  <w:style w:type="paragraph" w:customStyle="1" w:styleId="149">
    <w:name w:val="标准文件_章标题"/>
    <w:next w:val="146"/>
    <w:qFormat/>
    <w:uiPriority w:val="0"/>
    <w:pPr>
      <w:numPr>
        <w:ilvl w:val="1"/>
        <w:numId w:val="1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0">
    <w:name w:val="标准文件_注："/>
    <w:next w:val="146"/>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5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3">
    <w:name w:val="批注文字 字符"/>
    <w:basedOn w:val="35"/>
    <w:link w:val="8"/>
    <w:qFormat/>
    <w:uiPriority w:val="0"/>
    <w:rPr>
      <w:kern w:val="2"/>
      <w:sz w:val="21"/>
      <w:szCs w:val="24"/>
    </w:rPr>
  </w:style>
  <w:style w:type="character" w:customStyle="1" w:styleId="154">
    <w:name w:val="批注主题 字符"/>
    <w:basedOn w:val="153"/>
    <w:link w:val="32"/>
    <w:semiHidden/>
    <w:qFormat/>
    <w:uiPriority w:val="0"/>
    <w:rPr>
      <w:b/>
      <w:bCs/>
      <w:kern w:val="2"/>
      <w:sz w:val="21"/>
      <w:szCs w:val="24"/>
    </w:rPr>
  </w:style>
  <w:style w:type="paragraph" w:styleId="155">
    <w:name w:val="List Paragraph"/>
    <w:basedOn w:val="1"/>
    <w:unhideWhenUsed/>
    <w:qFormat/>
    <w:uiPriority w:val="99"/>
  </w:style>
  <w:style w:type="paragraph" w:customStyle="1" w:styleId="1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11</Pages>
  <Words>975</Words>
  <Characters>5564</Characters>
  <Lines>46</Lines>
  <Paragraphs>13</Paragraphs>
  <TotalTime>256</TotalTime>
  <ScaleCrop>false</ScaleCrop>
  <LinksUpToDate>false</LinksUpToDate>
  <CharactersWithSpaces>6526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2025-09-30T12:00:00Z</dcterms:created>
  <dc:creator>CNIS</dc:creator>
  <cp:lastModifiedBy>焕美</cp:lastModifiedBy>
  <cp:lastPrinted>2025-09-22T14:53:00Z</cp:lastPrinted>
  <dcterms:modified xsi:type="dcterms:W3CDTF">2025-10-09T16:46:08Z</dcterms:modified>
  <dc:title>标准名称</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54D9E9AB47DAC62A5076E7685C7B2B0E_43</vt:lpwstr>
  </property>
  <property fmtid="{D5CDD505-2E9C-101B-9397-08002B2CF9AE}" pid="4" name="KSOTemplateDocerSaveRecord">
    <vt:lpwstr>eyJoZGlkIjoiZGQxODNiMTliMDllMGNlYjVlY2RmNWRlNjdlNGYzYjIiLCJ1c2VySWQiOiIxMzA3MDc1MjQwIn0=</vt:lpwstr>
  </property>
</Properties>
</file>