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92"/>
        <w:jc w:val="left"/>
        <w:rPr>
          <w:b/>
          <w:bCs/>
          <w:spacing w:val="20"/>
          <w:sz w:val="21"/>
          <w:szCs w:val="21"/>
        </w:rPr>
      </w:pPr>
      <w:bookmarkStart w:id="703" w:name="_GoBack"/>
      <w:bookmarkEnd w:id="703"/>
      <w:r>
        <w:rPr>
          <w:b/>
          <w:bCs/>
          <w:spacing w:val="20"/>
          <w:sz w:val="21"/>
          <w:szCs w:val="21"/>
        </w:rPr>
        <w:t xml:space="preserve">             </w:t>
      </w:r>
    </w:p>
    <w:p>
      <w:pPr>
        <w:ind w:firstLine="592"/>
        <w:jc w:val="left"/>
        <w:rPr>
          <w:b/>
          <w:bCs/>
          <w:spacing w:val="20"/>
          <w:sz w:val="21"/>
          <w:szCs w:val="21"/>
        </w:rPr>
      </w:pPr>
    </w:p>
    <w:p>
      <w:pPr>
        <w:ind w:firstLine="592"/>
        <w:jc w:val="left"/>
        <w:rPr>
          <w:b/>
          <w:bCs/>
          <w:spacing w:val="20"/>
          <w:sz w:val="21"/>
          <w:szCs w:val="21"/>
        </w:rPr>
      </w:pPr>
    </w:p>
    <w:p>
      <w:pPr>
        <w:tabs>
          <w:tab w:val="center" w:pos="4111"/>
          <w:tab w:val="right" w:pos="8222"/>
        </w:tabs>
        <w:snapToGrid w:val="0"/>
        <w:rPr>
          <w:rFonts w:ascii="黑体" w:hAnsi="黑体" w:eastAsia="黑体"/>
          <w:b/>
          <w:bCs/>
          <w:spacing w:val="20"/>
          <w:sz w:val="44"/>
          <w:szCs w:val="44"/>
        </w:rPr>
      </w:pPr>
      <w:r>
        <w:rPr>
          <w:rFonts w:ascii="黑体" w:hAnsi="黑体" w:eastAsia="黑体"/>
          <w:b/>
          <w:bCs/>
          <w:spacing w:val="20"/>
          <w:sz w:val="44"/>
          <w:szCs w:val="44"/>
        </w:rPr>
        <w:tab/>
      </w:r>
      <w:r>
        <w:rPr>
          <w:rFonts w:hint="eastAsia" w:ascii="黑体" w:hAnsi="黑体" w:eastAsia="黑体"/>
          <w:b/>
          <w:bCs/>
          <w:spacing w:val="20"/>
          <w:sz w:val="44"/>
          <w:szCs w:val="44"/>
        </w:rPr>
        <w:t>北京市地方标准</w:t>
      </w:r>
      <w:r>
        <w:rPr>
          <w:rFonts w:ascii="黑体" w:hAnsi="黑体" w:eastAsia="黑体"/>
          <w:b/>
          <w:bCs/>
          <w:spacing w:val="20"/>
          <w:sz w:val="44"/>
          <w:szCs w:val="44"/>
        </w:rPr>
        <w:tab/>
      </w:r>
      <w:r>
        <w:rPr>
          <w:rFonts w:eastAsia="黑体"/>
          <w:b/>
          <w:bCs/>
          <w:spacing w:val="20"/>
          <w:sz w:val="84"/>
          <w:szCs w:val="84"/>
        </w:rPr>
        <w:t>DB</w:t>
      </w:r>
    </w:p>
    <w:p>
      <w:pPr>
        <w:tabs>
          <w:tab w:val="left" w:pos="5599"/>
        </w:tabs>
        <w:snapToGrid w:val="0"/>
        <w:ind w:firstLine="592"/>
        <w:rPr>
          <w:rFonts w:ascii="黑体" w:hAnsi="黑体" w:eastAsia="黑体"/>
          <w:b/>
          <w:bCs/>
          <w:spacing w:val="20"/>
          <w:sz w:val="21"/>
          <w:szCs w:val="21"/>
        </w:rPr>
      </w:pPr>
      <w:r>
        <w:rPr>
          <w:rFonts w:ascii="黑体" w:hAnsi="黑体" w:eastAsia="黑体"/>
          <w:b/>
          <w:bCs/>
          <w:spacing w:val="20"/>
          <w:sz w:val="21"/>
          <w:szCs w:val="21"/>
        </w:rPr>
        <w:tab/>
      </w:r>
      <w:r>
        <w:rPr>
          <w:rFonts w:hint="eastAsia" w:ascii="黑体" w:hAnsi="黑体" w:eastAsia="黑体"/>
          <w:b/>
          <w:bCs/>
          <w:spacing w:val="20"/>
          <w:sz w:val="21"/>
          <w:szCs w:val="21"/>
        </w:rPr>
        <w:t>编　号：</w:t>
      </w:r>
      <w:r>
        <w:rPr>
          <w:rFonts w:eastAsia="黑体"/>
          <w:spacing w:val="20"/>
          <w:sz w:val="21"/>
          <w:szCs w:val="21"/>
        </w:rPr>
        <w:t>DB11/xxxx-202x</w:t>
      </w:r>
    </w:p>
    <w:p>
      <w:pPr>
        <w:tabs>
          <w:tab w:val="left" w:pos="5599"/>
        </w:tabs>
        <w:snapToGrid w:val="0"/>
        <w:ind w:firstLine="592"/>
        <w:rPr>
          <w:rFonts w:ascii="黑体" w:hAnsi="黑体" w:eastAsia="黑体"/>
          <w:b/>
          <w:bCs/>
          <w:spacing w:val="20"/>
          <w:sz w:val="21"/>
          <w:szCs w:val="21"/>
        </w:rPr>
      </w:pPr>
      <w:r>
        <w:rPr>
          <w:b/>
          <w:bCs/>
          <w:spacing w:val="20"/>
          <w:sz w:val="32"/>
          <w:szCs w:val="32"/>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211455</wp:posOffset>
                </wp:positionV>
                <wp:extent cx="5248275" cy="0"/>
                <wp:effectExtent l="0" t="0" r="0" b="0"/>
                <wp:wrapNone/>
                <wp:docPr id="14" name="直线 37"/>
                <wp:cNvGraphicFramePr/>
                <a:graphic xmlns:a="http://schemas.openxmlformats.org/drawingml/2006/main">
                  <a:graphicData uri="http://schemas.microsoft.com/office/word/2010/wordprocessingShape">
                    <wps:wsp>
                      <wps:cNvCnPr>
                        <a:cxnSpLocks noChangeShapeType="true"/>
                      </wps:cNvCnPr>
                      <wps:spPr bwMode="auto">
                        <a:xfrm>
                          <a:off x="0" y="0"/>
                          <a:ext cx="5248122" cy="0"/>
                        </a:xfrm>
                        <a:prstGeom prst="line">
                          <a:avLst/>
                        </a:prstGeom>
                        <a:noFill/>
                        <a:ln w="9525">
                          <a:solidFill>
                            <a:srgbClr val="000000"/>
                          </a:solidFill>
                          <a:round/>
                        </a:ln>
                      </wps:spPr>
                      <wps:bodyPr/>
                    </wps:wsp>
                  </a:graphicData>
                </a:graphic>
              </wp:anchor>
            </w:drawing>
          </mc:Choice>
          <mc:Fallback>
            <w:pict>
              <v:line id="直线 37" o:spid="_x0000_s1026" o:spt="20" style="position:absolute;left:0pt;margin-left:-2.5pt;margin-top:16.65pt;height:0pt;width:413.25pt;z-index:251659264;mso-width-relative:page;mso-height-relative:page;" filled="f" stroked="t" coordsize="21600,21600" o:gfxdata="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D67cN61gAAAAgBAAAPAAAAAAAAAAEAIAAA&#10;ADgAAABkcnMvZG93bnJldi54bWxQSwECFAAUAAAACACHTuJA4Fe1hL8BAABYAwAADgAAAAAAAAAB&#10;ACAAAAA7AQAAZHJzL2Uyb0RvYy54bWxQSwUGAAAAAAYABgBZAQAAbAUAAAAA&#10;">
                <v:fill on="f" focussize="0,0"/>
                <v:stroke color="#000000" joinstyle="round"/>
                <v:imagedata o:title=""/>
                <o:lock v:ext="edit" aspectratio="f"/>
              </v:line>
            </w:pict>
          </mc:Fallback>
        </mc:AlternateContent>
      </w:r>
      <w:r>
        <w:rPr>
          <w:rFonts w:ascii="黑体" w:hAnsi="黑体" w:eastAsia="黑体"/>
          <w:b/>
          <w:bCs/>
          <w:spacing w:val="20"/>
          <w:sz w:val="21"/>
          <w:szCs w:val="21"/>
        </w:rPr>
        <w:tab/>
      </w:r>
      <w:r>
        <w:rPr>
          <w:rFonts w:hint="eastAsia" w:ascii="黑体" w:hAnsi="黑体" w:eastAsia="黑体"/>
          <w:b/>
          <w:bCs/>
          <w:spacing w:val="20"/>
          <w:sz w:val="21"/>
          <w:szCs w:val="21"/>
        </w:rPr>
        <w:t>备案号：</w:t>
      </w:r>
      <w:r>
        <w:rPr>
          <w:rFonts w:eastAsia="黑体"/>
          <w:spacing w:val="20"/>
          <w:sz w:val="21"/>
          <w:szCs w:val="21"/>
        </w:rPr>
        <w:t>J1XXXX-202X</w:t>
      </w:r>
    </w:p>
    <w:p>
      <w:pPr>
        <w:snapToGrid w:val="0"/>
        <w:spacing w:line="360" w:lineRule="auto"/>
        <w:ind w:firstLine="1042"/>
        <w:jc w:val="center"/>
        <w:rPr>
          <w:rFonts w:eastAsia="黑体"/>
          <w:b/>
          <w:sz w:val="44"/>
          <w:szCs w:val="44"/>
        </w:rPr>
      </w:pPr>
    </w:p>
    <w:p>
      <w:pPr>
        <w:snapToGrid w:val="0"/>
        <w:spacing w:line="360" w:lineRule="auto"/>
        <w:ind w:firstLine="1042"/>
        <w:jc w:val="center"/>
        <w:rPr>
          <w:rFonts w:eastAsia="黑体"/>
          <w:b/>
          <w:sz w:val="44"/>
          <w:szCs w:val="44"/>
        </w:rPr>
      </w:pPr>
    </w:p>
    <w:p>
      <w:pPr>
        <w:snapToGrid w:val="0"/>
        <w:jc w:val="center"/>
        <w:rPr>
          <w:rFonts w:eastAsia="黑体"/>
          <w:b/>
          <w:sz w:val="52"/>
          <w:szCs w:val="52"/>
        </w:rPr>
      </w:pPr>
      <w:r>
        <w:rPr>
          <w:rFonts w:hint="eastAsia" w:eastAsia="黑体"/>
          <w:b/>
          <w:sz w:val="52"/>
          <w:szCs w:val="52"/>
        </w:rPr>
        <w:t>预应力压接装配式结构技术规程</w:t>
      </w:r>
    </w:p>
    <w:p>
      <w:pPr>
        <w:snapToGrid w:val="0"/>
        <w:jc w:val="center"/>
        <w:rPr>
          <w:rFonts w:ascii="宋体" w:hAnsi="宋体" w:eastAsia="黑体"/>
          <w:b/>
          <w:sz w:val="36"/>
          <w:szCs w:val="36"/>
        </w:rPr>
      </w:pPr>
      <w:r>
        <w:rPr>
          <w:rFonts w:ascii="宋体" w:hAnsi="宋体" w:eastAsia="黑体"/>
          <w:b/>
          <w:sz w:val="36"/>
          <w:szCs w:val="36"/>
        </w:rPr>
        <w:t>（</w:t>
      </w:r>
      <w:r>
        <w:rPr>
          <w:rFonts w:hint="eastAsia" w:ascii="宋体" w:hAnsi="宋体" w:eastAsia="黑体"/>
          <w:b/>
          <w:sz w:val="36"/>
          <w:szCs w:val="36"/>
        </w:rPr>
        <w:t>征求意见稿</w:t>
      </w:r>
      <w:r>
        <w:rPr>
          <w:rFonts w:ascii="宋体" w:hAnsi="宋体" w:eastAsia="黑体"/>
          <w:b/>
          <w:sz w:val="36"/>
          <w:szCs w:val="36"/>
        </w:rPr>
        <w:t>）</w:t>
      </w:r>
    </w:p>
    <w:p>
      <w:pPr>
        <w:snapToGrid w:val="0"/>
        <w:jc w:val="center"/>
        <w:rPr>
          <w:b/>
          <w:spacing w:val="-4"/>
          <w:szCs w:val="21"/>
        </w:rPr>
      </w:pPr>
    </w:p>
    <w:p>
      <w:pPr>
        <w:snapToGrid w:val="0"/>
        <w:jc w:val="center"/>
        <w:rPr>
          <w:b/>
          <w:bCs/>
          <w:spacing w:val="-4"/>
          <w:sz w:val="36"/>
          <w:szCs w:val="36"/>
        </w:rPr>
      </w:pPr>
      <w:r>
        <w:rPr>
          <w:b/>
          <w:bCs/>
          <w:spacing w:val="-4"/>
          <w:sz w:val="36"/>
          <w:szCs w:val="36"/>
        </w:rPr>
        <w:t>Technical specification of prestressed precast concrete</w:t>
      </w:r>
      <w:r>
        <w:rPr>
          <w:rFonts w:hint="eastAsia"/>
          <w:b/>
          <w:bCs/>
          <w:spacing w:val="-4"/>
          <w:sz w:val="36"/>
          <w:szCs w:val="36"/>
        </w:rPr>
        <w:t xml:space="preserve"> </w:t>
      </w:r>
      <w:r>
        <w:rPr>
          <w:b/>
          <w:bCs/>
          <w:spacing w:val="-4"/>
          <w:sz w:val="36"/>
          <w:szCs w:val="36"/>
        </w:rPr>
        <w:t>structure</w:t>
      </w:r>
    </w:p>
    <w:p>
      <w:pPr>
        <w:snapToGrid w:val="0"/>
        <w:jc w:val="center"/>
        <w:rPr>
          <w:spacing w:val="-4"/>
          <w:sz w:val="21"/>
          <w:szCs w:val="21"/>
        </w:rPr>
      </w:pPr>
      <w:r>
        <w:rPr>
          <w:b/>
          <w:bCs/>
          <w:spacing w:val="-4"/>
          <w:sz w:val="36"/>
          <w:szCs w:val="36"/>
        </w:rPr>
        <w:t>（Draft）</w:t>
      </w:r>
    </w:p>
    <w:p>
      <w:pPr>
        <w:snapToGrid w:val="0"/>
        <w:jc w:val="center"/>
        <w:rPr>
          <w:szCs w:val="21"/>
        </w:rPr>
      </w:pPr>
    </w:p>
    <w:p>
      <w:pPr>
        <w:pStyle w:val="18"/>
        <w:snapToGrid w:val="0"/>
        <w:spacing w:line="360" w:lineRule="auto"/>
        <w:ind w:left="2001" w:leftChars="258" w:hanging="1382" w:hangingChars="576"/>
        <w:rPr>
          <w:rFonts w:ascii="Times New Roman" w:hAnsi="Times New Roman" w:eastAsia="黑体" w:cs="Times New Roman"/>
        </w:rPr>
      </w:pPr>
    </w:p>
    <w:p>
      <w:pPr>
        <w:pStyle w:val="18"/>
        <w:snapToGrid w:val="0"/>
        <w:spacing w:line="360" w:lineRule="auto"/>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snapToGrid w:val="0"/>
        <w:jc w:val="center"/>
        <w:rPr>
          <w:rFonts w:ascii="Times New Roman" w:hAnsi="Times New Roman" w:cs="Times New Roman"/>
        </w:rPr>
      </w:pPr>
    </w:p>
    <w:p>
      <w:pPr>
        <w:pStyle w:val="18"/>
        <w:tabs>
          <w:tab w:val="left" w:pos="0"/>
          <w:tab w:val="right" w:pos="8222"/>
        </w:tabs>
        <w:jc w:val="center"/>
        <w:rPr>
          <w:rFonts w:ascii="黑体" w:hAnsi="黑体" w:eastAsia="黑体" w:cs="Times New Roman"/>
          <w:sz w:val="32"/>
          <w:szCs w:val="32"/>
        </w:rPr>
      </w:pPr>
      <w:r>
        <w:rPr>
          <w:rFonts w:ascii="Times New Roman" w:hAnsi="Times New Roman" w:eastAsia="黑体" w:cs="Times New Roman"/>
          <w:sz w:val="32"/>
          <w:szCs w:val="32"/>
        </w:rPr>
        <w:t>Xxxx-xx-xx</w:t>
      </w:r>
      <w:r>
        <w:rPr>
          <w:rFonts w:hint="eastAsia" w:ascii="黑体" w:hAnsi="黑体" w:eastAsia="黑体" w:cs="Times New Roman"/>
          <w:sz w:val="32"/>
          <w:szCs w:val="32"/>
        </w:rPr>
        <w:t>发布</w:t>
      </w:r>
      <w:r>
        <w:rPr>
          <w:rFonts w:ascii="黑体" w:hAnsi="黑体" w:eastAsia="黑体" w:cs="Times New Roman"/>
          <w:sz w:val="32"/>
          <w:szCs w:val="32"/>
        </w:rPr>
        <w:tab/>
      </w:r>
      <w:r>
        <w:rPr>
          <w:rFonts w:ascii="Times New Roman" w:hAnsi="Times New Roman" w:eastAsia="黑体" w:cs="Times New Roman"/>
          <w:sz w:val="32"/>
          <w:szCs w:val="32"/>
        </w:rPr>
        <w:t>Xxxx-xx-xx</w:t>
      </w:r>
      <w:r>
        <w:rPr>
          <w:rFonts w:hint="eastAsia" w:ascii="黑体" w:hAnsi="黑体" w:eastAsia="黑体" w:cs="Times New Roman"/>
          <w:sz w:val="32"/>
          <w:szCs w:val="32"/>
        </w:rPr>
        <w:t>实施</w:t>
      </w:r>
    </w:p>
    <w:p>
      <w:pPr>
        <w:pStyle w:val="18"/>
        <w:ind w:firstLine="758"/>
        <w:jc w:val="center"/>
        <w:rPr>
          <w:rFonts w:ascii="Times New Roman" w:hAnsi="Times New Roman" w:cs="Times New Roman"/>
        </w:rPr>
      </w:pPr>
      <w:r>
        <w:rPr>
          <w:b/>
          <w:bCs/>
          <w:spacing w:val="20"/>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17145</wp:posOffset>
                </wp:positionV>
                <wp:extent cx="5248275" cy="0"/>
                <wp:effectExtent l="0" t="0" r="0" b="0"/>
                <wp:wrapNone/>
                <wp:docPr id="4" name="直线 37"/>
                <wp:cNvGraphicFramePr/>
                <a:graphic xmlns:a="http://schemas.openxmlformats.org/drawingml/2006/main">
                  <a:graphicData uri="http://schemas.microsoft.com/office/word/2010/wordprocessingShape">
                    <wps:wsp>
                      <wps:cNvCnPr>
                        <a:cxnSpLocks noChangeShapeType="true"/>
                      </wps:cNvCnPr>
                      <wps:spPr bwMode="auto">
                        <a:xfrm>
                          <a:off x="0" y="0"/>
                          <a:ext cx="5248122" cy="0"/>
                        </a:xfrm>
                        <a:prstGeom prst="line">
                          <a:avLst/>
                        </a:prstGeom>
                        <a:noFill/>
                        <a:ln w="9525">
                          <a:solidFill>
                            <a:srgbClr val="000000"/>
                          </a:solidFill>
                          <a:round/>
                        </a:ln>
                      </wps:spPr>
                      <wps:bodyPr/>
                    </wps:wsp>
                  </a:graphicData>
                </a:graphic>
              </wp:anchor>
            </w:drawing>
          </mc:Choice>
          <mc:Fallback>
            <w:pict>
              <v:line id="直线 37" o:spid="_x0000_s1026" o:spt="20" style="position:absolute;left:0pt;margin-left:0pt;margin-top:1.35pt;height:0pt;width:413.25pt;z-index:251660288;mso-width-relative:page;mso-height-relative:page;" filled="f" stroked="t" coordsize="21600,21600" o:gfxdata="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KitHmXTAAAABAEAAA8AAAAAAAAAAQAgAAAAOAAA&#10;AGRycy9kb3ducmV2LnhtbFBLAQIUABQAAAAIAIdO4kA/wTngvgEAAFcDAAAOAAAAAAAAAAEAIAAA&#10;ADgBAABkcnMvZTJvRG9jLnhtbFBLBQYAAAAABgAGAFkBAABoBQAAAAA=&#10;">
                <v:fill on="f" focussize="0,0"/>
                <v:stroke color="#000000" joinstyle="round"/>
                <v:imagedata o:title=""/>
                <o:lock v:ext="edit" aspectratio="f"/>
              </v:line>
            </w:pict>
          </mc:Fallback>
        </mc:AlternateContent>
      </w:r>
    </w:p>
    <w:p>
      <w:pPr>
        <w:pStyle w:val="18"/>
        <w:snapToGrid w:val="0"/>
        <w:jc w:val="center"/>
        <w:rPr>
          <w:rFonts w:ascii="黑体" w:hAnsi="黑体" w:eastAsia="黑体" w:cs="Times New Roman"/>
          <w:sz w:val="44"/>
          <w:szCs w:val="44"/>
        </w:rPr>
      </w:pPr>
      <w:r>
        <w:rPr>
          <w:rFonts w:ascii="黑体" w:hAnsi="黑体" w:eastAsia="黑体" w:cs="Times New Roman"/>
          <w:sz w:val="44"/>
          <w:szCs w:val="44"/>
        </w:rPr>
        <mc:AlternateContent>
          <mc:Choice Requires="wps">
            <w:drawing>
              <wp:anchor distT="45720" distB="45720" distL="114300" distR="114300" simplePos="0" relativeHeight="251661312" behindDoc="0" locked="0" layoutInCell="1" allowOverlap="1">
                <wp:simplePos x="0" y="0"/>
                <wp:positionH relativeFrom="column">
                  <wp:posOffset>3870325</wp:posOffset>
                </wp:positionH>
                <wp:positionV relativeFrom="paragraph">
                  <wp:posOffset>91440</wp:posOffset>
                </wp:positionV>
                <wp:extent cx="1377950" cy="1404620"/>
                <wp:effectExtent l="0" t="0" r="0" b="0"/>
                <wp:wrapSquare wrapText="bothSides"/>
                <wp:docPr id="21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377950" cy="1404620"/>
                        </a:xfrm>
                        <a:prstGeom prst="rect">
                          <a:avLst/>
                        </a:prstGeom>
                        <a:solidFill>
                          <a:srgbClr val="FFFFFF"/>
                        </a:solidFill>
                        <a:ln w="9525">
                          <a:noFill/>
                          <a:miter lim="800000"/>
                        </a:ln>
                      </wps:spPr>
                      <wps:txbx>
                        <w:txbxContent>
                          <w:p>
                            <w:pPr>
                              <w:rPr>
                                <w:rFonts w:ascii="黑体" w:hAnsi="黑体" w:eastAsia="黑体"/>
                                <w:sz w:val="44"/>
                                <w:szCs w:val="44"/>
                              </w:rPr>
                            </w:pPr>
                            <w:r>
                              <w:rPr>
                                <w:rFonts w:ascii="黑体" w:hAnsi="黑体" w:eastAsia="黑体"/>
                                <w:sz w:val="44"/>
                                <w:szCs w:val="44"/>
                              </w:rPr>
                              <w:t>联</w:t>
                            </w:r>
                            <w:r>
                              <w:rPr>
                                <w:rFonts w:hint="eastAsia" w:ascii="黑体" w:hAnsi="黑体" w:eastAsia="黑体"/>
                                <w:sz w:val="44"/>
                                <w:szCs w:val="44"/>
                              </w:rPr>
                              <w:t>合发布</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4.75pt;margin-top:7.2pt;height:110.6pt;width:108.5pt;mso-wrap-distance-bottom:3.6pt;mso-wrap-distance-left:9pt;mso-wrap-distance-right:9pt;mso-wrap-distance-top:3.6pt;z-index:251661312;mso-width-relative:page;mso-height-relative:margin;mso-height-percent:200;" fillcolor="#FFFFFF" filled="t" stroked="f" coordsize="21600,21600" o:gfxdata="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d5FVm2AAAAAoBAAAPAAAAAAAAAAEAIAAAADgAAABkcnMv&#10;ZG93bnJldi54bWxQSwECFAAUAAAACACHTuJAysUJ7CYCAAARBAAADgAAAAAAAAABACAAAAA9AQAA&#10;ZHJzL2Uyb0RvYy54bWxQSwUGAAAAAAYABgBZAQAA1QUAAAAA&#10;">
                <v:fill on="t" focussize="0,0"/>
                <v:stroke on="f" miterlimit="8" joinstyle="miter"/>
                <v:imagedata o:title=""/>
                <o:lock v:ext="edit" aspectratio="f"/>
                <v:textbox style="mso-fit-shape-to-text:t;">
                  <w:txbxContent>
                    <w:p>
                      <w:pPr>
                        <w:rPr>
                          <w:rFonts w:ascii="黑体" w:hAnsi="黑体" w:eastAsia="黑体"/>
                          <w:sz w:val="44"/>
                          <w:szCs w:val="44"/>
                        </w:rPr>
                      </w:pPr>
                      <w:r>
                        <w:rPr>
                          <w:rFonts w:ascii="黑体" w:hAnsi="黑体" w:eastAsia="黑体"/>
                          <w:sz w:val="44"/>
                          <w:szCs w:val="44"/>
                        </w:rPr>
                        <w:t>联</w:t>
                      </w:r>
                      <w:r>
                        <w:rPr>
                          <w:rFonts w:hint="eastAsia" w:ascii="黑体" w:hAnsi="黑体" w:eastAsia="黑体"/>
                          <w:sz w:val="44"/>
                          <w:szCs w:val="44"/>
                        </w:rPr>
                        <w:t>合发布</w:t>
                      </w:r>
                    </w:p>
                  </w:txbxContent>
                </v:textbox>
                <w10:wrap type="square"/>
              </v:shape>
            </w:pict>
          </mc:Fallback>
        </mc:AlternateContent>
      </w:r>
      <w:r>
        <w:rPr>
          <w:rFonts w:hint="eastAsia" w:ascii="黑体" w:hAnsi="黑体" w:eastAsia="黑体" w:cs="Times New Roman"/>
          <w:spacing w:val="1"/>
          <w:w w:val="87"/>
          <w:kern w:val="0"/>
          <w:sz w:val="44"/>
          <w:szCs w:val="44"/>
          <w:fitText w:val="4995" w:id="-686627071"/>
        </w:rPr>
        <w:t>北京市住房和城乡建设委员</w:t>
      </w:r>
      <w:r>
        <w:rPr>
          <w:rFonts w:hint="eastAsia" w:ascii="黑体" w:hAnsi="黑体" w:eastAsia="黑体" w:cs="Times New Roman"/>
          <w:spacing w:val="17"/>
          <w:w w:val="87"/>
          <w:kern w:val="0"/>
          <w:sz w:val="44"/>
          <w:szCs w:val="44"/>
          <w:fitText w:val="4995" w:id="-686627071"/>
        </w:rPr>
        <w:t>会</w:t>
      </w:r>
    </w:p>
    <w:p>
      <w:pPr>
        <w:pStyle w:val="18"/>
        <w:snapToGrid w:val="0"/>
        <w:jc w:val="center"/>
        <w:rPr>
          <w:rFonts w:ascii="Times New Roman" w:hAnsi="Times New Roman" w:cs="Times New Roman"/>
          <w:sz w:val="44"/>
          <w:szCs w:val="44"/>
        </w:rPr>
      </w:pPr>
      <w:r>
        <w:rPr>
          <w:rFonts w:hint="eastAsia" w:ascii="黑体" w:hAnsi="黑体" w:eastAsia="黑体" w:cs="Times New Roman"/>
          <w:spacing w:val="33"/>
          <w:w w:val="100"/>
          <w:kern w:val="0"/>
          <w:sz w:val="44"/>
          <w:szCs w:val="44"/>
          <w:fitText w:val="4995" w:id="-686627071"/>
        </w:rPr>
        <w:t>北京市市场监督管理</w:t>
      </w:r>
      <w:r>
        <w:rPr>
          <w:rFonts w:hint="eastAsia" w:ascii="黑体" w:hAnsi="黑体" w:eastAsia="黑体" w:cs="Times New Roman"/>
          <w:spacing w:val="0"/>
          <w:w w:val="100"/>
          <w:kern w:val="0"/>
          <w:sz w:val="44"/>
          <w:szCs w:val="44"/>
          <w:fitText w:val="4995" w:id="-686627071"/>
        </w:rPr>
        <w:t>局</w:t>
      </w:r>
    </w:p>
    <w:p>
      <w:pPr>
        <w:pStyle w:val="18"/>
        <w:jc w:val="center"/>
        <w:rPr>
          <w:rFonts w:ascii="Times New Roman" w:hAnsi="Times New Roman" w:cs="Times New Roman"/>
        </w:rPr>
      </w:pPr>
    </w:p>
    <w:p>
      <w:pPr>
        <w:pStyle w:val="18"/>
        <w:jc w:val="center"/>
        <w:rPr>
          <w:rFonts w:ascii="Times New Roman" w:hAnsi="Times New Roman" w:cs="Times New Roman"/>
        </w:rPr>
      </w:pPr>
      <w:r>
        <w:rPr>
          <w:rFonts w:ascii="Times New Roman" w:hAnsi="Times New Roman" w:cs="Times New Roman"/>
        </w:rPr>
        <w:br w:type="page"/>
      </w:r>
    </w:p>
    <w:p>
      <w:pPr>
        <w:pStyle w:val="18"/>
        <w:jc w:val="center"/>
        <w:rPr>
          <w:rFonts w:ascii="Times New Roman" w:hAnsi="Times New Roman" w:cs="Times New Roman"/>
        </w:rPr>
      </w:pPr>
    </w:p>
    <w:p>
      <w:pPr>
        <w:pStyle w:val="18"/>
        <w:jc w:val="center"/>
        <w:rPr>
          <w:rFonts w:ascii="Times New Roman" w:hAnsi="Times New Roman" w:cs="Times New Roman"/>
        </w:rPr>
      </w:pPr>
    </w:p>
    <w:p>
      <w:pPr>
        <w:pStyle w:val="18"/>
        <w:jc w:val="center"/>
        <w:rPr>
          <w:rFonts w:ascii="Times New Roman" w:hAnsi="Times New Roman" w:cs="Times New Roman"/>
        </w:rPr>
      </w:pPr>
    </w:p>
    <w:p>
      <w:pPr>
        <w:pStyle w:val="18"/>
        <w:jc w:val="center"/>
        <w:rPr>
          <w:rFonts w:ascii="Times New Roman" w:hAnsi="Times New Roman" w:cs="Times New Roman"/>
        </w:rPr>
      </w:pPr>
      <w:r>
        <w:rPr>
          <w:rFonts w:ascii="Times New Roman" w:hAnsi="Times New Roman" w:cs="Times New Roman"/>
        </w:rPr>
        <w:br w:type="page"/>
      </w:r>
    </w:p>
    <w:p>
      <w:pPr>
        <w:pStyle w:val="18"/>
        <w:jc w:val="center"/>
        <w:rPr>
          <w:rFonts w:ascii="Times New Roman" w:hAnsi="Times New Roman" w:cs="Times New Roman"/>
        </w:rPr>
      </w:pPr>
    </w:p>
    <w:p>
      <w:pPr>
        <w:snapToGrid w:val="0"/>
        <w:ind w:firstLine="1137"/>
        <w:jc w:val="center"/>
        <w:rPr>
          <w:b/>
          <w:bCs/>
          <w:snapToGrid w:val="0"/>
          <w:spacing w:val="20"/>
          <w:sz w:val="44"/>
          <w:szCs w:val="44"/>
        </w:rPr>
      </w:pPr>
    </w:p>
    <w:p>
      <w:pPr>
        <w:snapToGrid w:val="0"/>
        <w:ind w:firstLine="1137"/>
        <w:jc w:val="center"/>
        <w:rPr>
          <w:rFonts w:hint="eastAsia"/>
          <w:b/>
          <w:bCs/>
          <w:snapToGrid w:val="0"/>
          <w:spacing w:val="20"/>
          <w:sz w:val="44"/>
          <w:szCs w:val="44"/>
        </w:rPr>
      </w:pPr>
    </w:p>
    <w:p>
      <w:pPr>
        <w:snapToGrid w:val="0"/>
        <w:jc w:val="center"/>
        <w:rPr>
          <w:rFonts w:eastAsia="黑体"/>
          <w:bCs/>
          <w:snapToGrid w:val="0"/>
          <w:spacing w:val="20"/>
          <w:sz w:val="28"/>
          <w:szCs w:val="40"/>
        </w:rPr>
      </w:pPr>
      <w:r>
        <w:rPr>
          <w:rFonts w:hint="eastAsia" w:eastAsia="黑体"/>
          <w:bCs/>
          <w:snapToGrid w:val="0"/>
          <w:spacing w:val="20"/>
          <w:sz w:val="28"/>
          <w:szCs w:val="40"/>
        </w:rPr>
        <w:t>北京市地方</w:t>
      </w:r>
      <w:r>
        <w:rPr>
          <w:rFonts w:eastAsia="黑体"/>
          <w:bCs/>
          <w:snapToGrid w:val="0"/>
          <w:spacing w:val="20"/>
          <w:sz w:val="28"/>
          <w:szCs w:val="40"/>
        </w:rPr>
        <w:t>标准</w:t>
      </w:r>
    </w:p>
    <w:p>
      <w:pPr>
        <w:snapToGrid w:val="0"/>
        <w:spacing w:line="360" w:lineRule="auto"/>
        <w:ind w:firstLine="1042"/>
        <w:jc w:val="center"/>
        <w:rPr>
          <w:rFonts w:eastAsia="黑体"/>
          <w:b/>
          <w:snapToGrid w:val="0"/>
          <w:sz w:val="44"/>
          <w:szCs w:val="44"/>
        </w:rPr>
      </w:pPr>
    </w:p>
    <w:p>
      <w:pPr>
        <w:snapToGrid w:val="0"/>
        <w:spacing w:line="360" w:lineRule="auto"/>
        <w:ind w:firstLine="1042"/>
        <w:jc w:val="center"/>
        <w:rPr>
          <w:rFonts w:eastAsia="黑体"/>
          <w:b/>
          <w:snapToGrid w:val="0"/>
          <w:sz w:val="44"/>
          <w:szCs w:val="44"/>
        </w:rPr>
      </w:pPr>
    </w:p>
    <w:p>
      <w:pPr>
        <w:snapToGrid w:val="0"/>
        <w:jc w:val="center"/>
        <w:rPr>
          <w:rFonts w:ascii="黑体" w:hAnsi="黑体" w:eastAsia="黑体"/>
          <w:snapToGrid w:val="0"/>
          <w:spacing w:val="-4"/>
          <w:sz w:val="44"/>
          <w:szCs w:val="44"/>
        </w:rPr>
      </w:pPr>
      <w:r>
        <w:rPr>
          <w:rFonts w:hint="eastAsia" w:ascii="黑体" w:hAnsi="黑体" w:eastAsia="黑体"/>
          <w:snapToGrid w:val="0"/>
          <w:sz w:val="44"/>
          <w:szCs w:val="44"/>
        </w:rPr>
        <w:t>预应力压接装配式结构技术规程</w:t>
      </w:r>
    </w:p>
    <w:p>
      <w:pPr>
        <w:tabs>
          <w:tab w:val="left" w:pos="8222"/>
        </w:tabs>
        <w:adjustRightInd w:val="0"/>
        <w:snapToGrid w:val="0"/>
        <w:ind w:right="84" w:rightChars="35"/>
        <w:jc w:val="center"/>
        <w:rPr>
          <w:snapToGrid w:val="0"/>
          <w:sz w:val="36"/>
          <w:szCs w:val="36"/>
        </w:rPr>
      </w:pPr>
      <w:r>
        <w:rPr>
          <w:snapToGrid w:val="0"/>
          <w:sz w:val="36"/>
          <w:szCs w:val="36"/>
        </w:rPr>
        <w:t xml:space="preserve">Technical specification </w:t>
      </w:r>
      <w:r>
        <w:rPr>
          <w:rFonts w:hint="eastAsia"/>
          <w:snapToGrid w:val="0"/>
          <w:sz w:val="36"/>
          <w:szCs w:val="36"/>
        </w:rPr>
        <w:t>of</w:t>
      </w:r>
      <w:r>
        <w:rPr>
          <w:snapToGrid w:val="0"/>
          <w:sz w:val="36"/>
          <w:szCs w:val="36"/>
        </w:rPr>
        <w:t xml:space="preserve"> prestressed precast concrete</w:t>
      </w:r>
      <w:r>
        <w:rPr>
          <w:rFonts w:hint="eastAsia"/>
          <w:snapToGrid w:val="0"/>
          <w:sz w:val="36"/>
          <w:szCs w:val="36"/>
        </w:rPr>
        <w:t xml:space="preserve"> </w:t>
      </w:r>
      <w:r>
        <w:rPr>
          <w:snapToGrid w:val="0"/>
          <w:sz w:val="36"/>
          <w:szCs w:val="36"/>
        </w:rPr>
        <w:t>structure</w:t>
      </w:r>
    </w:p>
    <w:p>
      <w:pPr>
        <w:snapToGrid w:val="0"/>
        <w:spacing w:line="360" w:lineRule="auto"/>
        <w:ind w:firstLine="2891" w:firstLineChars="1200"/>
        <w:rPr>
          <w:b/>
          <w:snapToGrid w:val="0"/>
          <w:szCs w:val="30"/>
        </w:rPr>
      </w:pPr>
    </w:p>
    <w:p>
      <w:pPr>
        <w:snapToGrid w:val="0"/>
        <w:spacing w:line="360" w:lineRule="auto"/>
        <w:ind w:firstLine="2891" w:firstLineChars="1200"/>
        <w:rPr>
          <w:b/>
          <w:snapToGrid w:val="0"/>
          <w:szCs w:val="30"/>
        </w:rPr>
      </w:pPr>
    </w:p>
    <w:p>
      <w:pPr>
        <w:tabs>
          <w:tab w:val="left" w:pos="2410"/>
        </w:tabs>
        <w:snapToGrid w:val="0"/>
        <w:spacing w:line="360" w:lineRule="auto"/>
        <w:rPr>
          <w:rFonts w:ascii="黑体" w:hAnsi="黑体" w:eastAsia="黑体"/>
          <w:b/>
          <w:snapToGrid w:val="0"/>
        </w:rPr>
      </w:pPr>
      <w:r>
        <w:rPr>
          <w:rFonts w:ascii="黑体" w:hAnsi="黑体" w:eastAsia="黑体"/>
          <w:b/>
          <w:snapToGrid w:val="0"/>
        </w:rPr>
        <w:tab/>
      </w:r>
      <w:r>
        <w:rPr>
          <w:rFonts w:hint="eastAsia" w:ascii="黑体" w:hAnsi="黑体" w:eastAsia="黑体"/>
          <w:b/>
          <w:snapToGrid w:val="0"/>
        </w:rPr>
        <w:t>编</w:t>
      </w:r>
      <w:r>
        <w:rPr>
          <w:rFonts w:hint="eastAsia" w:ascii="黑体" w:hAnsi="黑体" w:eastAsia="黑体"/>
          <w:b/>
          <w:bCs/>
          <w:spacing w:val="20"/>
          <w:sz w:val="21"/>
          <w:szCs w:val="21"/>
        </w:rPr>
        <w:t>　</w:t>
      </w:r>
      <w:r>
        <w:rPr>
          <w:rFonts w:hint="eastAsia" w:ascii="黑体" w:hAnsi="黑体" w:eastAsia="黑体"/>
          <w:b/>
          <w:snapToGrid w:val="0"/>
        </w:rPr>
        <w:t>号：</w:t>
      </w:r>
      <w:r>
        <w:rPr>
          <w:rFonts w:eastAsia="黑体"/>
          <w:bCs/>
          <w:snapToGrid w:val="0"/>
        </w:rPr>
        <w:t>DB11/T xxxx-202X</w:t>
      </w:r>
    </w:p>
    <w:p>
      <w:pPr>
        <w:tabs>
          <w:tab w:val="left" w:pos="2410"/>
        </w:tabs>
        <w:snapToGrid w:val="0"/>
        <w:spacing w:line="360" w:lineRule="auto"/>
        <w:rPr>
          <w:rFonts w:ascii="黑体" w:hAnsi="黑体" w:eastAsia="黑体"/>
          <w:b/>
          <w:snapToGrid w:val="0"/>
        </w:rPr>
      </w:pPr>
      <w:r>
        <w:rPr>
          <w:rFonts w:ascii="黑体" w:hAnsi="黑体" w:eastAsia="黑体"/>
          <w:b/>
          <w:snapToGrid w:val="0"/>
        </w:rPr>
        <w:tab/>
      </w:r>
      <w:r>
        <w:rPr>
          <w:rFonts w:hint="eastAsia" w:ascii="黑体" w:hAnsi="黑体" w:eastAsia="黑体"/>
          <w:b/>
          <w:snapToGrid w:val="0"/>
        </w:rPr>
        <w:t>备案号：</w:t>
      </w:r>
      <w:r>
        <w:rPr>
          <w:rFonts w:eastAsia="黑体"/>
          <w:bCs/>
          <w:snapToGrid w:val="0"/>
        </w:rPr>
        <w:t>J1XXXX-202X</w:t>
      </w:r>
    </w:p>
    <w:p>
      <w:pPr>
        <w:snapToGrid w:val="0"/>
        <w:ind w:firstLine="711"/>
        <w:jc w:val="center"/>
        <w:rPr>
          <w:b/>
          <w:snapToGrid w:val="0"/>
          <w:sz w:val="30"/>
          <w:szCs w:val="30"/>
        </w:rPr>
      </w:pPr>
    </w:p>
    <w:p>
      <w:pPr>
        <w:snapToGrid w:val="0"/>
        <w:ind w:firstLine="711"/>
        <w:jc w:val="center"/>
        <w:rPr>
          <w:b/>
          <w:snapToGrid w:val="0"/>
          <w:sz w:val="30"/>
          <w:szCs w:val="30"/>
        </w:rPr>
      </w:pPr>
    </w:p>
    <w:p>
      <w:pPr>
        <w:snapToGrid w:val="0"/>
        <w:ind w:firstLine="711"/>
        <w:jc w:val="center"/>
        <w:rPr>
          <w:b/>
          <w:snapToGrid w:val="0"/>
          <w:sz w:val="30"/>
          <w:szCs w:val="30"/>
        </w:rPr>
      </w:pPr>
    </w:p>
    <w:p>
      <w:pPr>
        <w:snapToGrid w:val="0"/>
        <w:ind w:firstLine="711"/>
        <w:jc w:val="center"/>
        <w:rPr>
          <w:b/>
          <w:snapToGrid w:val="0"/>
          <w:sz w:val="30"/>
          <w:szCs w:val="30"/>
        </w:rPr>
      </w:pPr>
    </w:p>
    <w:p>
      <w:pPr>
        <w:tabs>
          <w:tab w:val="left" w:pos="2552"/>
        </w:tabs>
        <w:snapToGrid w:val="0"/>
        <w:spacing w:line="276" w:lineRule="auto"/>
        <w:ind w:firstLine="1336" w:firstLineChars="557"/>
        <w:rPr>
          <w:rFonts w:ascii="宋体" w:hAnsi="宋体"/>
          <w:snapToGrid w:val="0"/>
        </w:rPr>
      </w:pPr>
      <w:r>
        <w:rPr>
          <w:rFonts w:ascii="宋体" w:hAnsi="宋体"/>
          <w:snapToGrid w:val="0"/>
        </w:rPr>
        <w:t>主编单位：</w:t>
      </w:r>
      <w:r>
        <w:rPr>
          <w:rFonts w:ascii="宋体" w:hAnsi="宋体"/>
          <w:snapToGrid w:val="0"/>
        </w:rPr>
        <w:tab/>
      </w:r>
      <w:r>
        <w:rPr>
          <w:rFonts w:hint="eastAsia" w:ascii="宋体" w:hAnsi="宋体"/>
          <w:snapToGrid w:val="0"/>
        </w:rPr>
        <w:t>中国建筑一局（集团）有限公司</w:t>
      </w:r>
    </w:p>
    <w:p>
      <w:pPr>
        <w:tabs>
          <w:tab w:val="left" w:pos="2552"/>
        </w:tabs>
        <w:snapToGrid w:val="0"/>
        <w:spacing w:line="276" w:lineRule="auto"/>
        <w:ind w:firstLine="1336" w:firstLineChars="557"/>
        <w:rPr>
          <w:rFonts w:ascii="宋体" w:hAnsi="宋体"/>
          <w:snapToGrid w:val="0"/>
        </w:rPr>
      </w:pPr>
      <w:r>
        <w:rPr>
          <w:rFonts w:ascii="宋体" w:hAnsi="宋体"/>
          <w:snapToGrid w:val="0"/>
        </w:rPr>
        <w:tab/>
      </w:r>
      <w:r>
        <w:rPr>
          <w:rFonts w:hint="eastAsia" w:ascii="宋体" w:hAnsi="宋体"/>
          <w:snapToGrid w:val="0"/>
        </w:rPr>
        <w:t>北京市建筑设计研究院有限公司</w:t>
      </w:r>
    </w:p>
    <w:p>
      <w:pPr>
        <w:tabs>
          <w:tab w:val="left" w:pos="2552"/>
        </w:tabs>
        <w:snapToGrid w:val="0"/>
        <w:spacing w:line="276" w:lineRule="auto"/>
        <w:ind w:firstLine="1336" w:firstLineChars="557"/>
        <w:rPr>
          <w:rFonts w:ascii="宋体" w:hAnsi="宋体"/>
          <w:snapToGrid w:val="0"/>
        </w:rPr>
      </w:pPr>
      <w:r>
        <w:rPr>
          <w:rFonts w:ascii="宋体" w:hAnsi="宋体"/>
          <w:snapToGrid w:val="0"/>
        </w:rPr>
        <w:tab/>
      </w:r>
      <w:r>
        <w:rPr>
          <w:rFonts w:hint="eastAsia" w:ascii="宋体" w:hAnsi="宋体"/>
          <w:snapToGrid w:val="0"/>
        </w:rPr>
        <w:t>中国标准设计研究院有限公司</w:t>
      </w:r>
    </w:p>
    <w:p>
      <w:pPr>
        <w:tabs>
          <w:tab w:val="left" w:pos="2552"/>
        </w:tabs>
        <w:snapToGrid w:val="0"/>
        <w:spacing w:line="276" w:lineRule="auto"/>
        <w:ind w:firstLine="1336" w:firstLineChars="557"/>
        <w:rPr>
          <w:rFonts w:ascii="宋体" w:hAnsi="宋体"/>
          <w:snapToGrid w:val="0"/>
        </w:rPr>
      </w:pPr>
      <w:r>
        <w:rPr>
          <w:rFonts w:ascii="宋体" w:hAnsi="宋体"/>
          <w:snapToGrid w:val="0"/>
        </w:rPr>
        <w:t>批准单位：</w:t>
      </w:r>
      <w:r>
        <w:rPr>
          <w:rFonts w:ascii="宋体" w:hAnsi="宋体"/>
          <w:snapToGrid w:val="0"/>
        </w:rPr>
        <w:tab/>
      </w:r>
      <w:r>
        <w:rPr>
          <w:rFonts w:hint="eastAsia" w:ascii="宋体" w:hAnsi="宋体"/>
          <w:snapToGrid w:val="0"/>
        </w:rPr>
        <w:t>北京市市场监督管理局</w:t>
      </w:r>
    </w:p>
    <w:p>
      <w:pPr>
        <w:tabs>
          <w:tab w:val="left" w:pos="2552"/>
        </w:tabs>
        <w:snapToGrid w:val="0"/>
        <w:spacing w:line="276" w:lineRule="auto"/>
        <w:ind w:firstLine="1336" w:firstLineChars="557"/>
        <w:rPr>
          <w:snapToGrid w:val="0"/>
          <w:sz w:val="28"/>
          <w:szCs w:val="30"/>
        </w:rPr>
      </w:pPr>
      <w:r>
        <w:rPr>
          <w:rFonts w:ascii="宋体" w:hAnsi="宋体"/>
          <w:snapToGrid w:val="0"/>
        </w:rPr>
        <w:t>施</w:t>
      </w:r>
      <w:r>
        <w:rPr>
          <w:rFonts w:hint="eastAsia" w:ascii="宋体" w:hAnsi="宋体"/>
          <w:snapToGrid w:val="0"/>
        </w:rPr>
        <w:t>行</w:t>
      </w:r>
      <w:r>
        <w:rPr>
          <w:rFonts w:ascii="宋体" w:hAnsi="宋体"/>
          <w:snapToGrid w:val="0"/>
        </w:rPr>
        <w:t>日期：</w:t>
      </w:r>
      <w:r>
        <w:rPr>
          <w:rFonts w:ascii="宋体" w:hAnsi="宋体"/>
          <w:snapToGrid w:val="0"/>
        </w:rPr>
        <w:tab/>
      </w:r>
      <w:r>
        <w:rPr>
          <w:rFonts w:ascii="宋体" w:hAnsi="宋体"/>
          <w:snapToGrid w:val="0"/>
        </w:rPr>
        <w:t>202X年XX月 X 日</w:t>
      </w:r>
    </w:p>
    <w:p>
      <w:pPr>
        <w:snapToGrid w:val="0"/>
        <w:ind w:firstLine="708"/>
        <w:jc w:val="center"/>
        <w:rPr>
          <w:snapToGrid w:val="0"/>
          <w:sz w:val="30"/>
          <w:szCs w:val="30"/>
        </w:rPr>
      </w:pPr>
    </w:p>
    <w:p>
      <w:pPr>
        <w:snapToGrid w:val="0"/>
        <w:ind w:firstLine="708"/>
        <w:jc w:val="center"/>
        <w:rPr>
          <w:snapToGrid w:val="0"/>
          <w:sz w:val="30"/>
          <w:szCs w:val="30"/>
        </w:rPr>
      </w:pPr>
    </w:p>
    <w:p>
      <w:pPr>
        <w:snapToGrid w:val="0"/>
        <w:ind w:firstLine="708"/>
        <w:jc w:val="center"/>
        <w:rPr>
          <w:rFonts w:hint="eastAsia"/>
          <w:snapToGrid w:val="0"/>
          <w:sz w:val="30"/>
          <w:szCs w:val="30"/>
        </w:rPr>
      </w:pPr>
    </w:p>
    <w:p>
      <w:pPr>
        <w:snapToGrid w:val="0"/>
        <w:ind w:firstLine="708"/>
        <w:jc w:val="center"/>
        <w:rPr>
          <w:snapToGrid w:val="0"/>
          <w:sz w:val="30"/>
          <w:szCs w:val="30"/>
        </w:rPr>
      </w:pPr>
    </w:p>
    <w:p>
      <w:pPr>
        <w:snapToGrid w:val="0"/>
        <w:ind w:firstLine="708"/>
        <w:jc w:val="center"/>
        <w:rPr>
          <w:snapToGrid w:val="0"/>
          <w:sz w:val="30"/>
          <w:szCs w:val="30"/>
        </w:rPr>
      </w:pPr>
    </w:p>
    <w:p>
      <w:pPr>
        <w:snapToGrid w:val="0"/>
        <w:ind w:firstLine="708"/>
        <w:jc w:val="center"/>
        <w:rPr>
          <w:snapToGrid w:val="0"/>
          <w:sz w:val="30"/>
          <w:szCs w:val="30"/>
        </w:rPr>
      </w:pPr>
    </w:p>
    <w:p>
      <w:pPr>
        <w:snapToGrid w:val="0"/>
        <w:ind w:firstLine="708"/>
        <w:jc w:val="center"/>
        <w:rPr>
          <w:snapToGrid w:val="0"/>
          <w:sz w:val="30"/>
          <w:szCs w:val="30"/>
        </w:rPr>
      </w:pPr>
    </w:p>
    <w:p>
      <w:pPr>
        <w:snapToGrid w:val="0"/>
        <w:spacing w:line="360" w:lineRule="auto"/>
        <w:jc w:val="center"/>
      </w:pPr>
      <w:r>
        <w:rPr>
          <w:rFonts w:eastAsia="黑体"/>
          <w:snapToGrid w:val="0"/>
          <w:szCs w:val="21"/>
        </w:rPr>
        <w:t>202x年　北　京</w:t>
      </w:r>
    </w:p>
    <w:p>
      <w:r>
        <w:br w:type="page"/>
      </w:r>
    </w:p>
    <w:p/>
    <w:p>
      <w:r>
        <w:br w:type="page"/>
      </w:r>
    </w:p>
    <w:p/>
    <w:p>
      <w:pPr>
        <w:spacing w:line="360" w:lineRule="auto"/>
        <w:ind w:firstLine="755"/>
        <w:jc w:val="center"/>
        <w:rPr>
          <w:rFonts w:eastAsia="黑体"/>
          <w:kern w:val="1"/>
          <w:sz w:val="32"/>
          <w:szCs w:val="32"/>
        </w:rPr>
      </w:pPr>
      <w:r>
        <w:rPr>
          <w:rFonts w:eastAsia="黑体"/>
          <w:kern w:val="1"/>
          <w:sz w:val="32"/>
          <w:szCs w:val="32"/>
        </w:rPr>
        <w:t>前  言</w:t>
      </w:r>
    </w:p>
    <w:p>
      <w:pPr>
        <w:spacing w:line="360" w:lineRule="auto"/>
        <w:ind w:right="724"/>
        <w:rPr>
          <w:kern w:val="1"/>
        </w:rPr>
      </w:pPr>
    </w:p>
    <w:p>
      <w:pPr>
        <w:pStyle w:val="109"/>
        <w:ind w:firstLine="567"/>
      </w:pPr>
      <w:r>
        <w:rPr>
          <w:rFonts w:hint="eastAsia"/>
        </w:rPr>
        <w:t>根据北京市市场监督管理局《关于印发2024年北京市地方标准制定项目计划的通知》</w:t>
      </w:r>
      <w:r>
        <w:t>（京市监发〔2024〕4</w:t>
      </w:r>
      <w:r>
        <w:rPr>
          <w:rFonts w:hint="eastAsia"/>
        </w:rPr>
        <w:t>号）的要求，规程编制组经广泛调查研究，认真总结实践经验和科研成果，参考国内外相关标准，并在广泛征求意见的基础上，制订本规程。</w:t>
      </w:r>
    </w:p>
    <w:p>
      <w:pPr>
        <w:pStyle w:val="109"/>
        <w:ind w:firstLine="567"/>
      </w:pPr>
      <w:r>
        <w:rPr>
          <w:rFonts w:hint="eastAsia"/>
        </w:rPr>
        <w:t>本规程的主要技术内容是：1.</w:t>
      </w:r>
      <w:r>
        <w:t xml:space="preserve"> </w:t>
      </w:r>
      <w:r>
        <w:rPr>
          <w:rFonts w:hint="eastAsia"/>
        </w:rPr>
        <w:t>总则；2.</w:t>
      </w:r>
      <w:r>
        <w:t xml:space="preserve"> </w:t>
      </w:r>
      <w:r>
        <w:rPr>
          <w:rFonts w:hint="eastAsia"/>
        </w:rPr>
        <w:t>术语和符号；3.</w:t>
      </w:r>
      <w:r>
        <w:t xml:space="preserve"> </w:t>
      </w:r>
      <w:r>
        <w:rPr>
          <w:rFonts w:hint="eastAsia"/>
        </w:rPr>
        <w:t>基本规定；4.</w:t>
      </w:r>
      <w:r>
        <w:t xml:space="preserve"> </w:t>
      </w:r>
      <w:r>
        <w:rPr>
          <w:rFonts w:hint="eastAsia"/>
        </w:rPr>
        <w:t>材料；</w:t>
      </w:r>
      <w:r>
        <w:t>5</w:t>
      </w:r>
      <w:r>
        <w:rPr>
          <w:rFonts w:hint="eastAsia"/>
        </w:rPr>
        <w:t>.</w:t>
      </w:r>
      <w:r>
        <w:t xml:space="preserve"> </w:t>
      </w:r>
      <w:r>
        <w:rPr>
          <w:rFonts w:hint="eastAsia"/>
        </w:rPr>
        <w:t>结构分析与设计；</w:t>
      </w:r>
      <w:r>
        <w:t>6</w:t>
      </w:r>
      <w:r>
        <w:rPr>
          <w:rFonts w:hint="eastAsia"/>
        </w:rPr>
        <w:t>.</w:t>
      </w:r>
      <w:r>
        <w:t xml:space="preserve"> </w:t>
      </w:r>
      <w:r>
        <w:rPr>
          <w:rFonts w:hint="eastAsia"/>
        </w:rPr>
        <w:t>构件制作与运输；</w:t>
      </w:r>
      <w:r>
        <w:t>7</w:t>
      </w:r>
      <w:r>
        <w:rPr>
          <w:rFonts w:hint="eastAsia"/>
        </w:rPr>
        <w:t>.</w:t>
      </w:r>
      <w:r>
        <w:t xml:space="preserve"> </w:t>
      </w:r>
      <w:r>
        <w:rPr>
          <w:rFonts w:hint="eastAsia"/>
        </w:rPr>
        <w:t>施工安装；</w:t>
      </w:r>
      <w:r>
        <w:t xml:space="preserve">8. </w:t>
      </w:r>
      <w:r>
        <w:rPr>
          <w:rFonts w:hint="eastAsia"/>
        </w:rPr>
        <w:t>质量验收。</w:t>
      </w:r>
    </w:p>
    <w:p>
      <w:pPr>
        <w:pStyle w:val="109"/>
        <w:ind w:firstLine="567"/>
      </w:pPr>
      <w:r>
        <w:rPr>
          <w:rFonts w:hint="eastAsia"/>
        </w:rPr>
        <w:t>本规程由北京市住房和城乡建设委员会和北京市市场监督管理局共同管理，北京市住房和城乡建设委员会归口、组织实施，并负责组织编制单位对具体技术内容进行解释。执行过程中如有意见或建议，请寄送中国建筑一局（集团）有限公司。（地址：北京市丰台区西四环南路5</w:t>
      </w:r>
      <w:r>
        <w:t>2</w:t>
      </w:r>
      <w:r>
        <w:rPr>
          <w:rFonts w:hint="eastAsia"/>
        </w:rPr>
        <w:t>号；联系电话：0</w:t>
      </w:r>
      <w:r>
        <w:t>10-83982099</w:t>
      </w:r>
      <w:r>
        <w:rPr>
          <w:rFonts w:hint="eastAsia"/>
        </w:rPr>
        <w:t>；电子邮箱：l</w:t>
      </w:r>
      <w:r>
        <w:t>emonlee@126.com</w:t>
      </w:r>
      <w:r>
        <w:rPr>
          <w:rFonts w:hint="eastAsia"/>
        </w:rPr>
        <w:t>）。</w:t>
      </w:r>
    </w:p>
    <w:p>
      <w:pPr>
        <w:pStyle w:val="110"/>
        <w:spacing w:line="312" w:lineRule="auto"/>
      </w:pPr>
      <w:r>
        <w:t>主编单位</w:t>
      </w:r>
      <w:r>
        <w:rPr>
          <w:rFonts w:hint="eastAsia"/>
        </w:rPr>
        <w:t>：</w:t>
      </w:r>
      <w:r>
        <w:tab/>
      </w:r>
      <w:r>
        <w:rPr>
          <w:rFonts w:hint="eastAsia"/>
        </w:rPr>
        <w:t>中国建筑一局（集团）有限公司</w:t>
      </w:r>
    </w:p>
    <w:p>
      <w:pPr>
        <w:pStyle w:val="110"/>
        <w:spacing w:line="312" w:lineRule="auto"/>
      </w:pPr>
      <w:r>
        <w:tab/>
      </w:r>
      <w:r>
        <w:rPr>
          <w:rFonts w:hint="eastAsia"/>
        </w:rPr>
        <w:t>北京市建筑设计研究院有限公司</w:t>
      </w:r>
    </w:p>
    <w:p>
      <w:pPr>
        <w:pStyle w:val="110"/>
        <w:spacing w:line="312" w:lineRule="auto"/>
      </w:pPr>
      <w:r>
        <w:tab/>
      </w:r>
      <w:r>
        <w:rPr>
          <w:rFonts w:hint="eastAsia"/>
        </w:rPr>
        <w:t>中国标准设计研究院有限公司</w:t>
      </w:r>
    </w:p>
    <w:p>
      <w:pPr>
        <w:pStyle w:val="110"/>
        <w:spacing w:line="312" w:lineRule="auto"/>
      </w:pPr>
      <w:r>
        <w:t>参编单位：</w:t>
      </w:r>
      <w:r>
        <w:tab/>
      </w:r>
      <w:r>
        <w:rPr>
          <w:rFonts w:hint="eastAsia"/>
        </w:rPr>
        <w:t>清华大学</w:t>
      </w:r>
    </w:p>
    <w:p>
      <w:pPr>
        <w:pStyle w:val="110"/>
        <w:spacing w:line="312" w:lineRule="auto"/>
      </w:pPr>
      <w:r>
        <w:tab/>
      </w:r>
      <w:r>
        <w:rPr>
          <w:rFonts w:hint="eastAsia"/>
        </w:rPr>
        <w:t>北京中建建筑科学研究院有限公司</w:t>
      </w:r>
    </w:p>
    <w:p>
      <w:pPr>
        <w:pStyle w:val="110"/>
        <w:spacing w:line="312" w:lineRule="auto"/>
      </w:pPr>
      <w:r>
        <w:tab/>
      </w:r>
      <w:r>
        <w:rPr>
          <w:rFonts w:hint="eastAsia"/>
        </w:rPr>
        <w:t>中建科技集团有限公司</w:t>
      </w:r>
    </w:p>
    <w:p>
      <w:pPr>
        <w:pStyle w:val="110"/>
        <w:spacing w:line="312" w:lineRule="auto"/>
      </w:pPr>
      <w:r>
        <w:tab/>
      </w:r>
      <w:r>
        <w:rPr>
          <w:rFonts w:hint="eastAsia"/>
        </w:rPr>
        <w:t>天津大学</w:t>
      </w:r>
    </w:p>
    <w:p>
      <w:pPr>
        <w:pStyle w:val="110"/>
        <w:spacing w:line="312" w:lineRule="auto"/>
      </w:pPr>
      <w:r>
        <w:tab/>
      </w:r>
      <w:r>
        <w:rPr>
          <w:rFonts w:hint="eastAsia"/>
        </w:rPr>
        <w:t>中建一局集团建设发展有限公司</w:t>
      </w:r>
    </w:p>
    <w:p>
      <w:pPr>
        <w:pStyle w:val="110"/>
        <w:spacing w:line="312" w:lineRule="auto"/>
      </w:pPr>
      <w:r>
        <w:tab/>
      </w:r>
      <w:r>
        <w:rPr>
          <w:rFonts w:hint="eastAsia"/>
        </w:rPr>
        <w:t>中建一局集团第二建筑有限公司</w:t>
      </w:r>
    </w:p>
    <w:p>
      <w:pPr>
        <w:pStyle w:val="110"/>
        <w:spacing w:line="312" w:lineRule="auto"/>
      </w:pPr>
      <w:r>
        <w:tab/>
      </w:r>
      <w:r>
        <w:rPr>
          <w:rFonts w:hint="eastAsia"/>
        </w:rPr>
        <w:t>中建一局集团第一建筑有限公司</w:t>
      </w:r>
    </w:p>
    <w:p>
      <w:pPr>
        <w:pStyle w:val="110"/>
        <w:spacing w:line="312" w:lineRule="auto"/>
      </w:pPr>
      <w:r>
        <w:tab/>
      </w:r>
      <w:r>
        <w:rPr>
          <w:rFonts w:hint="eastAsia"/>
        </w:rPr>
        <w:t>中建一局集团第三建筑有限公司</w:t>
      </w:r>
    </w:p>
    <w:p>
      <w:pPr>
        <w:pStyle w:val="110"/>
        <w:spacing w:line="312" w:lineRule="auto"/>
      </w:pPr>
      <w:r>
        <w:tab/>
      </w:r>
      <w:r>
        <w:rPr>
          <w:rFonts w:hint="eastAsia"/>
        </w:rPr>
        <w:t>中建一局集团华南建设有限公司</w:t>
      </w:r>
    </w:p>
    <w:p>
      <w:pPr>
        <w:pStyle w:val="110"/>
        <w:spacing w:line="312" w:lineRule="auto"/>
      </w:pPr>
      <w:r>
        <w:tab/>
      </w:r>
      <w:r>
        <w:rPr>
          <w:rFonts w:hint="eastAsia"/>
        </w:rPr>
        <w:t>中建三局云构机器人有限公司</w:t>
      </w:r>
    </w:p>
    <w:p>
      <w:pPr>
        <w:pStyle w:val="110"/>
        <w:spacing w:line="312" w:lineRule="auto"/>
      </w:pPr>
      <w:r>
        <w:tab/>
      </w:r>
      <w:r>
        <w:rPr>
          <w:rFonts w:hint="eastAsia"/>
        </w:rPr>
        <w:t>中国建筑第四工程局有限公司</w:t>
      </w:r>
    </w:p>
    <w:p>
      <w:pPr>
        <w:pStyle w:val="110"/>
        <w:spacing w:line="312" w:lineRule="auto"/>
      </w:pPr>
      <w:r>
        <w:tab/>
      </w:r>
      <w:r>
        <w:rPr>
          <w:rFonts w:hint="eastAsia"/>
        </w:rPr>
        <w:t>基准方中建筑设计股份有限公司</w:t>
      </w:r>
    </w:p>
    <w:p>
      <w:pPr>
        <w:pStyle w:val="110"/>
        <w:spacing w:line="312" w:lineRule="auto"/>
      </w:pPr>
      <w:r>
        <w:tab/>
      </w:r>
      <w:r>
        <w:rPr>
          <w:rFonts w:hint="eastAsia"/>
        </w:rPr>
        <w:t>北京市建筑工程研究院有限责任公司</w:t>
      </w:r>
    </w:p>
    <w:p>
      <w:pPr>
        <w:pStyle w:val="110"/>
        <w:spacing w:line="312" w:lineRule="auto"/>
      </w:pPr>
      <w:r>
        <w:tab/>
      </w:r>
      <w:r>
        <w:rPr>
          <w:rFonts w:hint="eastAsia"/>
        </w:rPr>
        <w:t>正方利民工业化建筑科技股份有限公司</w:t>
      </w:r>
    </w:p>
    <w:p>
      <w:pPr>
        <w:pStyle w:val="110"/>
        <w:spacing w:line="312" w:lineRule="auto"/>
      </w:pPr>
      <w:r>
        <w:t xml:space="preserve">主要起草人： </w:t>
      </w:r>
    </w:p>
    <w:p>
      <w:pPr>
        <w:pStyle w:val="110"/>
        <w:spacing w:line="312" w:lineRule="auto"/>
      </w:pPr>
      <w:r>
        <w:t>主要审查人：</w:t>
      </w:r>
    </w:p>
    <w:p>
      <w:pPr>
        <w:ind w:firstLine="1200" w:firstLineChars="500"/>
      </w:pPr>
    </w:p>
    <w:p>
      <w:r>
        <w:br w:type="page"/>
      </w:r>
    </w:p>
    <w:sdt>
      <w:sdtPr>
        <w:rPr>
          <w:lang w:val="zh-CN"/>
        </w:rPr>
        <w:id w:val="2016575028"/>
        <w:docPartObj>
          <w:docPartGallery w:val="Table of Contents"/>
          <w:docPartUnique/>
        </w:docPartObj>
      </w:sdtPr>
      <w:sdtEndPr>
        <w:rPr>
          <w:lang w:val="zh-CN"/>
        </w:rPr>
      </w:sdtEndPr>
      <w:sdtContent>
        <w:p>
          <w:pPr>
            <w:keepNext/>
            <w:keepLines/>
            <w:widowControl/>
            <w:spacing w:before="240" w:line="276" w:lineRule="auto"/>
            <w:jc w:val="center"/>
            <w:rPr>
              <w:rFonts w:eastAsia="仿宋"/>
              <w:b/>
              <w:color w:val="2F5597" w:themeColor="accent1" w:themeShade="BF"/>
              <w:kern w:val="0"/>
              <w:sz w:val="32"/>
              <w:szCs w:val="32"/>
            </w:rPr>
          </w:pPr>
          <w:r>
            <w:rPr>
              <w:rFonts w:eastAsia="仿宋"/>
              <w:b/>
              <w:kern w:val="0"/>
              <w:sz w:val="32"/>
              <w:szCs w:val="32"/>
            </w:rPr>
            <w:t>目</w:t>
          </w:r>
          <w:r>
            <w:rPr>
              <w:rFonts w:eastAsia="仿宋"/>
              <w:b/>
              <w:kern w:val="0"/>
              <w:sz w:val="32"/>
              <w:szCs w:val="32"/>
              <w:lang w:val="zh-CN"/>
            </w:rPr>
            <w:t xml:space="preserve">    次</w:t>
          </w:r>
        </w:p>
        <w:p>
          <w:pPr>
            <w:pStyle w:val="23"/>
            <w:rPr>
              <w:rFonts w:asciiTheme="minorHAnsi" w:hAnsiTheme="minorHAnsi" w:eastAsiaTheme="minorEastAsia" w:cstheme="minorBidi"/>
              <w:sz w:val="21"/>
              <w:szCs w:val="22"/>
            </w:rPr>
          </w:pPr>
          <w:r>
            <w:rPr>
              <w:b/>
              <w:bCs/>
              <w:lang w:val="zh-CN"/>
            </w:rPr>
            <w:fldChar w:fldCharType="begin"/>
          </w:r>
          <w:r>
            <w:rPr>
              <w:b/>
              <w:bCs/>
              <w:lang w:val="zh-CN"/>
            </w:rPr>
            <w:instrText xml:space="preserve"> TOC \o "1-1" \h \z \t "标题 2,2,副标题,2,标题2-无号,2,三级分类,2" \b charpter1 </w:instrText>
          </w:r>
          <w:r>
            <w:rPr>
              <w:b/>
              <w:bCs/>
              <w:lang w:val="zh-CN"/>
            </w:rPr>
            <w:fldChar w:fldCharType="separate"/>
          </w:r>
          <w:r>
            <w:fldChar w:fldCharType="begin"/>
          </w:r>
          <w:r>
            <w:instrText xml:space="preserve"> HYPERLINK \l "_Toc202345801" </w:instrText>
          </w:r>
          <w:r>
            <w:fldChar w:fldCharType="separate"/>
          </w:r>
          <w:r>
            <w:rPr>
              <w:rStyle w:val="40"/>
            </w:rPr>
            <w:t>1 总则</w:t>
          </w:r>
          <w:r>
            <w:tab/>
          </w:r>
          <w:r>
            <w:fldChar w:fldCharType="begin"/>
          </w:r>
          <w:r>
            <w:instrText xml:space="preserve"> PAGEREF _Toc202345801 \h </w:instrText>
          </w:r>
          <w:r>
            <w:fldChar w:fldCharType="separate"/>
          </w:r>
          <w:r>
            <w:t>1</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"_Toc202345803" </w:instrText>
          </w:r>
          <w:r>
            <w:fldChar w:fldCharType="separate"/>
          </w:r>
          <w:r>
            <w:rPr>
              <w:rStyle w:val="40"/>
            </w:rPr>
            <w:t>2 术语和符号</w:t>
          </w:r>
          <w:r>
            <w:tab/>
          </w:r>
          <w:r>
            <w:fldChar w:fldCharType="begin"/>
          </w:r>
          <w:r>
            <w:instrText xml:space="preserve"> PAGEREF _Toc202345803 \h </w:instrText>
          </w:r>
          <w:r>
            <w:fldChar w:fldCharType="separate"/>
          </w:r>
          <w:r>
            <w:t>2</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"_Toc202345804" </w:instrText>
          </w:r>
          <w:r>
            <w:fldChar w:fldCharType="separate"/>
          </w:r>
          <w:r>
            <w:rPr>
              <w:rStyle w:val="40"/>
              <w:b/>
            </w:rPr>
            <w:t>2. 1</w:t>
          </w:r>
          <w:r>
            <w:rPr>
              <w:rStyle w:val="40"/>
            </w:rPr>
            <w:t xml:space="preserve"> 术语</w:t>
          </w:r>
          <w:r>
            <w:tab/>
          </w:r>
          <w:r>
            <w:fldChar w:fldCharType="begin"/>
          </w:r>
          <w:r>
            <w:instrText xml:space="preserve"> PAGEREF _Toc202345804 \h </w:instrText>
          </w:r>
          <w:r>
            <w:fldChar w:fldCharType="separate"/>
          </w:r>
          <w:r>
            <w:t>2</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"_Toc202345805" </w:instrText>
          </w:r>
          <w:r>
            <w:fldChar w:fldCharType="separate"/>
          </w:r>
          <w:r>
            <w:rPr>
              <w:rStyle w:val="40"/>
              <w:b/>
            </w:rPr>
            <w:t>2. 2</w:t>
          </w:r>
          <w:r>
            <w:rPr>
              <w:rStyle w:val="40"/>
            </w:rPr>
            <w:t xml:space="preserve"> 符号</w:t>
          </w:r>
          <w:r>
            <w:tab/>
          </w:r>
          <w:r>
            <w:fldChar w:fldCharType="begin"/>
          </w:r>
          <w:r>
            <w:instrText xml:space="preserve"> PAGEREF _Toc202345805 \h </w:instrText>
          </w:r>
          <w:r>
            <w:fldChar w:fldCharType="separate"/>
          </w:r>
          <w:r>
            <w:t>3</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"_Toc202345806" </w:instrText>
          </w:r>
          <w:r>
            <w:fldChar w:fldCharType="separate"/>
          </w:r>
          <w:r>
            <w:rPr>
              <w:rStyle w:val="40"/>
            </w:rPr>
            <w:t>3 基本规定</w:t>
          </w:r>
          <w:r>
            <w:tab/>
          </w:r>
          <w:r>
            <w:fldChar w:fldCharType="begin"/>
          </w:r>
          <w:r>
            <w:instrText xml:space="preserve"> PAGEREF _Toc202345806 \h </w:instrText>
          </w:r>
          <w:r>
            <w:fldChar w:fldCharType="separate"/>
          </w:r>
          <w:r>
            <w:t>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"_Toc202345807" </w:instrText>
          </w:r>
          <w:r>
            <w:fldChar w:fldCharType="separate"/>
          </w:r>
          <w:r>
            <w:rPr>
              <w:rStyle w:val="40"/>
              <w:b/>
            </w:rPr>
            <w:t>3. 1</w:t>
          </w:r>
          <w:r>
            <w:rPr>
              <w:rStyle w:val="40"/>
            </w:rPr>
            <w:t xml:space="preserve"> 一般规定</w:t>
          </w:r>
          <w:r>
            <w:tab/>
          </w:r>
          <w:r>
            <w:fldChar w:fldCharType="begin"/>
          </w:r>
          <w:r>
            <w:instrText xml:space="preserve"> PAGEREF _Toc202345807 \h </w:instrText>
          </w:r>
          <w:r>
            <w:fldChar w:fldCharType="separate"/>
          </w:r>
          <w:r>
            <w:t>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"_Toc202345808" </w:instrText>
          </w:r>
          <w:r>
            <w:fldChar w:fldCharType="separate"/>
          </w:r>
          <w:r>
            <w:rPr>
              <w:rStyle w:val="40"/>
              <w:b/>
            </w:rPr>
            <w:t>3. 2</w:t>
          </w:r>
          <w:r>
            <w:rPr>
              <w:rStyle w:val="40"/>
            </w:rPr>
            <w:t xml:space="preserve"> 结构布置</w:t>
          </w:r>
          <w:r>
            <w:tab/>
          </w:r>
          <w:r>
            <w:fldChar w:fldCharType="begin"/>
          </w:r>
          <w:r>
            <w:instrText xml:space="preserve"> PAGEREF _Toc202345808 \h </w:instrText>
          </w:r>
          <w:r>
            <w:fldChar w:fldCharType="separate"/>
          </w:r>
          <w:r>
            <w:t>8</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"_Toc202345809" </w:instrText>
          </w:r>
          <w:r>
            <w:fldChar w:fldCharType="separate"/>
          </w:r>
          <w:r>
            <w:rPr>
              <w:rStyle w:val="40"/>
              <w:b/>
            </w:rPr>
            <w:t>3. 3</w:t>
          </w:r>
          <w:r>
            <w:rPr>
              <w:rStyle w:val="40"/>
            </w:rPr>
            <w:t xml:space="preserve"> 抗震规定</w:t>
          </w:r>
          <w:r>
            <w:tab/>
          </w:r>
          <w:r>
            <w:fldChar w:fldCharType="begin"/>
          </w:r>
          <w:r>
            <w:instrText xml:space="preserve"> PAGEREF _Toc202345809 \h </w:instrText>
          </w:r>
          <w:r>
            <w:fldChar w:fldCharType="separate"/>
          </w:r>
          <w:r>
            <w:t>10</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"_Toc202345810" </w:instrText>
          </w:r>
          <w:r>
            <w:fldChar w:fldCharType="separate"/>
          </w:r>
          <w:r>
            <w:rPr>
              <w:rStyle w:val="40"/>
              <w:b/>
            </w:rPr>
            <w:t>3. 4</w:t>
          </w:r>
          <w:r>
            <w:rPr>
              <w:rStyle w:val="40"/>
            </w:rPr>
            <w:t xml:space="preserve"> 一体化建造</w:t>
          </w:r>
          <w:r>
            <w:tab/>
          </w:r>
          <w:r>
            <w:fldChar w:fldCharType="begin"/>
          </w:r>
          <w:r>
            <w:instrText xml:space="preserve"> PAGEREF _Toc202345810 \h </w:instrText>
          </w:r>
          <w:r>
            <w:fldChar w:fldCharType="separate"/>
          </w:r>
          <w:r>
            <w:t>12</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"_Toc202345811" </w:instrText>
          </w:r>
          <w:r>
            <w:fldChar w:fldCharType="separate"/>
          </w:r>
          <w:r>
            <w:rPr>
              <w:rStyle w:val="40"/>
            </w:rPr>
            <w:t>4 材料</w:t>
          </w:r>
          <w:r>
            <w:tab/>
          </w:r>
          <w:r>
            <w:fldChar w:fldCharType="begin"/>
          </w:r>
          <w:r>
            <w:instrText xml:space="preserve"> PAGEREF _Toc202345811 \h </w:instrText>
          </w:r>
          <w:r>
            <w:fldChar w:fldCharType="separate"/>
          </w:r>
          <w:r>
            <w:t>13</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"_Toc202345812" </w:instrText>
          </w:r>
          <w:r>
            <w:fldChar w:fldCharType="separate"/>
          </w:r>
          <w:r>
            <w:rPr>
              <w:rStyle w:val="40"/>
              <w:b/>
            </w:rPr>
            <w:t>4. 1</w:t>
          </w:r>
          <w:r>
            <w:rPr>
              <w:rStyle w:val="40"/>
            </w:rPr>
            <w:t xml:space="preserve"> 混凝土、钢筋和钢材</w:t>
          </w:r>
          <w:r>
            <w:tab/>
          </w:r>
          <w:r>
            <w:fldChar w:fldCharType="begin"/>
          </w:r>
          <w:r>
            <w:instrText xml:space="preserve"> PAGEREF _Toc202345812 \h </w:instrText>
          </w:r>
          <w:r>
            <w:fldChar w:fldCharType="separate"/>
          </w:r>
          <w:r>
            <w:t>13</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"_Toc202345813" </w:instrText>
          </w:r>
          <w:r>
            <w:fldChar w:fldCharType="separate"/>
          </w:r>
          <w:r>
            <w:rPr>
              <w:rStyle w:val="40"/>
              <w:b/>
            </w:rPr>
            <w:t>4. 2</w:t>
          </w:r>
          <w:r>
            <w:rPr>
              <w:rStyle w:val="40"/>
            </w:rPr>
            <w:t xml:space="preserve"> 预应力材料</w:t>
          </w:r>
          <w:r>
            <w:tab/>
          </w:r>
          <w:r>
            <w:fldChar w:fldCharType="begin"/>
          </w:r>
          <w:r>
            <w:instrText xml:space="preserve"> PAGEREF _Toc202345813 \h </w:instrText>
          </w:r>
          <w:r>
            <w:fldChar w:fldCharType="separate"/>
          </w:r>
          <w:r>
            <w:t>14</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"_Toc202345814" </w:instrText>
          </w:r>
          <w:r>
            <w:fldChar w:fldCharType="separate"/>
          </w:r>
          <w:r>
            <w:rPr>
              <w:rStyle w:val="40"/>
              <w:b/>
            </w:rPr>
            <w:t>4. 3</w:t>
          </w:r>
          <w:r>
            <w:rPr>
              <w:rStyle w:val="40"/>
            </w:rPr>
            <w:t xml:space="preserve"> 连接材料</w:t>
          </w:r>
          <w:r>
            <w:tab/>
          </w:r>
          <w:r>
            <w:fldChar w:fldCharType="begin"/>
          </w:r>
          <w:r>
            <w:instrText xml:space="preserve"> PAGEREF _Toc202345814 \h </w:instrText>
          </w:r>
          <w:r>
            <w:fldChar w:fldCharType="separate"/>
          </w:r>
          <w:r>
            <w:t>14</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"_Toc202345815" </w:instrText>
          </w:r>
          <w:r>
            <w:fldChar w:fldCharType="separate"/>
          </w:r>
          <w:r>
            <w:rPr>
              <w:rStyle w:val="40"/>
            </w:rPr>
            <w:t>5 结构分析与设计</w:t>
          </w:r>
          <w:r>
            <w:tab/>
          </w:r>
          <w:r>
            <w:fldChar w:fldCharType="begin"/>
          </w:r>
          <w:r>
            <w:instrText xml:space="preserve"> PAGEREF _Toc202345815 \h </w:instrText>
          </w:r>
          <w:r>
            <w:fldChar w:fldCharType="separate"/>
          </w:r>
          <w:r>
            <w:t>16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"_Toc202345816" </w:instrText>
          </w:r>
          <w:r>
            <w:fldChar w:fldCharType="separate"/>
          </w:r>
          <w:r>
            <w:rPr>
              <w:rStyle w:val="40"/>
              <w:b/>
            </w:rPr>
            <w:t>5. 1</w:t>
          </w:r>
          <w:r>
            <w:rPr>
              <w:rStyle w:val="40"/>
            </w:rPr>
            <w:t xml:space="preserve"> 一般规定</w:t>
          </w:r>
          <w:r>
            <w:tab/>
          </w:r>
          <w:r>
            <w:fldChar w:fldCharType="begin"/>
          </w:r>
          <w:r>
            <w:instrText xml:space="preserve"> PAGEREF _Toc202345816 \h </w:instrText>
          </w:r>
          <w:r>
            <w:fldChar w:fldCharType="separate"/>
          </w:r>
          <w:r>
            <w:t>16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"_Toc202345817" </w:instrText>
          </w:r>
          <w:r>
            <w:fldChar w:fldCharType="separate"/>
          </w:r>
          <w:r>
            <w:rPr>
              <w:rStyle w:val="40"/>
              <w:b/>
            </w:rPr>
            <w:t>5. 2</w:t>
          </w:r>
          <w:r>
            <w:rPr>
              <w:rStyle w:val="40"/>
            </w:rPr>
            <w:t xml:space="preserve"> 结构分析</w:t>
          </w:r>
          <w:r>
            <w:tab/>
          </w:r>
          <w:r>
            <w:fldChar w:fldCharType="begin"/>
          </w:r>
          <w:r>
            <w:instrText xml:space="preserve"> PAGEREF _Toc202345817 \h </w:instrText>
          </w:r>
          <w:r>
            <w:fldChar w:fldCharType="separate"/>
          </w:r>
          <w:r>
            <w:t>17</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"_Toc202345818" </w:instrText>
          </w:r>
          <w:r>
            <w:fldChar w:fldCharType="separate"/>
          </w:r>
          <w:r>
            <w:rPr>
              <w:rStyle w:val="40"/>
              <w:b/>
            </w:rPr>
            <w:t>5. 3</w:t>
          </w:r>
          <w:r>
            <w:rPr>
              <w:rStyle w:val="40"/>
            </w:rPr>
            <w:t xml:space="preserve"> 梁柱构件设计</w:t>
          </w:r>
          <w:r>
            <w:tab/>
          </w:r>
          <w:r>
            <w:fldChar w:fldCharType="begin"/>
          </w:r>
          <w:r>
            <w:instrText xml:space="preserve"> PAGEREF _Toc202345818 \h </w:instrText>
          </w:r>
          <w:r>
            <w:fldChar w:fldCharType="separate"/>
          </w:r>
          <w:r>
            <w:t>19</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"_Toc202345819" </w:instrText>
          </w:r>
          <w:r>
            <w:fldChar w:fldCharType="separate"/>
          </w:r>
          <w:r>
            <w:rPr>
              <w:rStyle w:val="40"/>
              <w:b/>
            </w:rPr>
            <w:t>5. 4</w:t>
          </w:r>
          <w:r>
            <w:rPr>
              <w:rStyle w:val="40"/>
            </w:rPr>
            <w:t xml:space="preserve"> 楼板设计</w:t>
          </w:r>
          <w:r>
            <w:tab/>
          </w:r>
          <w:r>
            <w:fldChar w:fldCharType="begin"/>
          </w:r>
          <w:r>
            <w:instrText xml:space="preserve"> PAGEREF _Toc202345819 \h </w:instrText>
          </w:r>
          <w:r>
            <w:fldChar w:fldCharType="separate"/>
          </w:r>
          <w:r>
            <w:t>23</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"_Toc202345820" </w:instrText>
          </w:r>
          <w:r>
            <w:fldChar w:fldCharType="separate"/>
          </w:r>
          <w:r>
            <w:rPr>
              <w:rStyle w:val="40"/>
              <w:b/>
            </w:rPr>
            <w:t>5. 5</w:t>
          </w:r>
          <w:r>
            <w:rPr>
              <w:rStyle w:val="40"/>
            </w:rPr>
            <w:t xml:space="preserve"> 梁柱连接设计</w:t>
          </w:r>
          <w:r>
            <w:tab/>
          </w:r>
          <w:r>
            <w:fldChar w:fldCharType="begin"/>
          </w:r>
          <w:r>
            <w:instrText xml:space="preserve"> PAGEREF _Toc202345820 \h </w:instrText>
          </w:r>
          <w:r>
            <w:fldChar w:fldCharType="separate"/>
          </w:r>
          <w:r>
            <w:t>27</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"_Toc202345821" </w:instrText>
          </w:r>
          <w:r>
            <w:fldChar w:fldCharType="separate"/>
          </w:r>
          <w:r>
            <w:rPr>
              <w:rStyle w:val="40"/>
              <w:b/>
            </w:rPr>
            <w:t>5. 6</w:t>
          </w:r>
          <w:r>
            <w:rPr>
              <w:rStyle w:val="40"/>
            </w:rPr>
            <w:t xml:space="preserve"> 板柱连接设计</w:t>
          </w:r>
          <w:r>
            <w:tab/>
          </w:r>
          <w:r>
            <w:fldChar w:fldCharType="begin"/>
          </w:r>
          <w:r>
            <w:instrText xml:space="preserve"> PAGEREF _Toc202345821 \h </w:instrText>
          </w:r>
          <w:r>
            <w:fldChar w:fldCharType="separate"/>
          </w:r>
          <w:r>
            <w:t>37</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"_Toc202345822" </w:instrText>
          </w:r>
          <w:r>
            <w:fldChar w:fldCharType="separate"/>
          </w:r>
          <w:r>
            <w:rPr>
              <w:rStyle w:val="40"/>
              <w:b/>
            </w:rPr>
            <w:t>5. 7</w:t>
          </w:r>
          <w:r>
            <w:rPr>
              <w:rStyle w:val="40"/>
            </w:rPr>
            <w:t xml:space="preserve"> 其他连接设计</w:t>
          </w:r>
          <w:r>
            <w:tab/>
          </w:r>
          <w:r>
            <w:fldChar w:fldCharType="begin"/>
          </w:r>
          <w:r>
            <w:instrText xml:space="preserve"> PAGEREF _Toc202345822 \h </w:instrText>
          </w:r>
          <w:r>
            <w:fldChar w:fldCharType="separate"/>
          </w:r>
          <w:r>
            <w:t>38</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"_Toc202345823" </w:instrText>
          </w:r>
          <w:r>
            <w:fldChar w:fldCharType="separate"/>
          </w:r>
          <w:r>
            <w:rPr>
              <w:rStyle w:val="40"/>
            </w:rPr>
            <w:t>6 构件制作与运输</w:t>
          </w:r>
          <w:r>
            <w:tab/>
          </w:r>
          <w:r>
            <w:fldChar w:fldCharType="begin"/>
          </w:r>
          <w:r>
            <w:instrText xml:space="preserve"> PAGEREF _Toc202345823 \h </w:instrText>
          </w:r>
          <w:r>
            <w:fldChar w:fldCharType="separate"/>
          </w:r>
          <w:r>
            <w:t>42</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"_Toc202345824" </w:instrText>
          </w:r>
          <w:r>
            <w:fldChar w:fldCharType="separate"/>
          </w:r>
          <w:r>
            <w:rPr>
              <w:rStyle w:val="40"/>
              <w:b/>
            </w:rPr>
            <w:t>6. 1</w:t>
          </w:r>
          <w:r>
            <w:rPr>
              <w:rStyle w:val="40"/>
            </w:rPr>
            <w:t xml:space="preserve"> 一般规定</w:t>
          </w:r>
          <w:r>
            <w:tab/>
          </w:r>
          <w:r>
            <w:fldChar w:fldCharType="begin"/>
          </w:r>
          <w:r>
            <w:instrText xml:space="preserve"> PAGEREF _Toc202345824 \h </w:instrText>
          </w:r>
          <w:r>
            <w:fldChar w:fldCharType="separate"/>
          </w:r>
          <w:r>
            <w:t>42</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"_Toc202345825" </w:instrText>
          </w:r>
          <w:r>
            <w:fldChar w:fldCharType="separate"/>
          </w:r>
          <w:r>
            <w:rPr>
              <w:rStyle w:val="40"/>
              <w:b/>
            </w:rPr>
            <w:t>6. 2</w:t>
          </w:r>
          <w:r>
            <w:rPr>
              <w:rStyle w:val="40"/>
            </w:rPr>
            <w:t xml:space="preserve"> 构件深化</w:t>
          </w:r>
          <w:r>
            <w:tab/>
          </w:r>
          <w:r>
            <w:fldChar w:fldCharType="begin"/>
          </w:r>
          <w:r>
            <w:instrText xml:space="preserve"> PAGEREF _Toc202345825 \h </w:instrText>
          </w:r>
          <w:r>
            <w:fldChar w:fldCharType="separate"/>
          </w:r>
          <w:r>
            <w:t>42</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"_Toc202345826" </w:instrText>
          </w:r>
          <w:r>
            <w:fldChar w:fldCharType="separate"/>
          </w:r>
          <w:r>
            <w:rPr>
              <w:rStyle w:val="40"/>
              <w:b/>
            </w:rPr>
            <w:t>6. 3</w:t>
          </w:r>
          <w:r>
            <w:rPr>
              <w:rStyle w:val="40"/>
            </w:rPr>
            <w:t xml:space="preserve"> 构件制作</w:t>
          </w:r>
          <w:r>
            <w:tab/>
          </w:r>
          <w:r>
            <w:fldChar w:fldCharType="begin"/>
          </w:r>
          <w:r>
            <w:instrText xml:space="preserve"> PAGEREF _Toc202345826 \h </w:instrText>
          </w:r>
          <w:r>
            <w:fldChar w:fldCharType="separate"/>
          </w:r>
          <w:r>
            <w:t>46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"_Toc202345827" </w:instrText>
          </w:r>
          <w:r>
            <w:fldChar w:fldCharType="separate"/>
          </w:r>
          <w:r>
            <w:rPr>
              <w:rStyle w:val="40"/>
              <w:b/>
            </w:rPr>
            <w:t>6. 4</w:t>
          </w:r>
          <w:r>
            <w:rPr>
              <w:rStyle w:val="40"/>
            </w:rPr>
            <w:t xml:space="preserve"> 运输与堆放</w:t>
          </w:r>
          <w:r>
            <w:tab/>
          </w:r>
          <w:r>
            <w:fldChar w:fldCharType="begin"/>
          </w:r>
          <w:r>
            <w:instrText xml:space="preserve"> PAGEREF _Toc202345827 \h </w:instrText>
          </w:r>
          <w:r>
            <w:fldChar w:fldCharType="separate"/>
          </w:r>
          <w:r>
            <w:t>52</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"_Toc202345828" </w:instrText>
          </w:r>
          <w:r>
            <w:fldChar w:fldCharType="separate"/>
          </w:r>
          <w:r>
            <w:rPr>
              <w:rStyle w:val="40"/>
            </w:rPr>
            <w:t>7 施工安装</w:t>
          </w:r>
          <w:r>
            <w:tab/>
          </w:r>
          <w:r>
            <w:fldChar w:fldCharType="begin"/>
          </w:r>
          <w:r>
            <w:instrText xml:space="preserve"> PAGEREF _Toc202345828 \h </w:instrText>
          </w:r>
          <w:r>
            <w:fldChar w:fldCharType="separate"/>
          </w:r>
          <w:r>
            <w:t>54</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"_Toc202345829" </w:instrText>
          </w:r>
          <w:r>
            <w:fldChar w:fldCharType="separate"/>
          </w:r>
          <w:r>
            <w:rPr>
              <w:rStyle w:val="40"/>
              <w:b/>
            </w:rPr>
            <w:t>7. 1</w:t>
          </w:r>
          <w:r>
            <w:rPr>
              <w:rStyle w:val="40"/>
            </w:rPr>
            <w:t xml:space="preserve"> 一般规定</w:t>
          </w:r>
          <w:r>
            <w:tab/>
          </w:r>
          <w:r>
            <w:fldChar w:fldCharType="begin"/>
          </w:r>
          <w:r>
            <w:instrText xml:space="preserve"> PAGEREF _Toc202345829 \h </w:instrText>
          </w:r>
          <w:r>
            <w:fldChar w:fldCharType="separate"/>
          </w:r>
          <w:r>
            <w:t>54</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"_Toc202345830" </w:instrText>
          </w:r>
          <w:r>
            <w:fldChar w:fldCharType="separate"/>
          </w:r>
          <w:r>
            <w:rPr>
              <w:rStyle w:val="40"/>
              <w:b/>
            </w:rPr>
            <w:t>7. 2</w:t>
          </w:r>
          <w:r>
            <w:rPr>
              <w:rStyle w:val="40"/>
            </w:rPr>
            <w:t xml:space="preserve"> 安装准备</w:t>
          </w:r>
          <w:r>
            <w:tab/>
          </w:r>
          <w:r>
            <w:fldChar w:fldCharType="begin"/>
          </w:r>
          <w:r>
            <w:instrText xml:space="preserve"> PAGEREF _Toc202345830 \h </w:instrText>
          </w:r>
          <w:r>
            <w:fldChar w:fldCharType="separate"/>
          </w:r>
          <w:r>
            <w:t>55</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"_Toc202345831" </w:instrText>
          </w:r>
          <w:r>
            <w:fldChar w:fldCharType="separate"/>
          </w:r>
          <w:r>
            <w:rPr>
              <w:rStyle w:val="40"/>
              <w:b/>
            </w:rPr>
            <w:t>7. 3</w:t>
          </w:r>
          <w:r>
            <w:rPr>
              <w:rStyle w:val="40"/>
            </w:rPr>
            <w:t xml:space="preserve"> 施工安装</w:t>
          </w:r>
          <w:r>
            <w:tab/>
          </w:r>
          <w:r>
            <w:fldChar w:fldCharType="begin"/>
          </w:r>
          <w:r>
            <w:instrText xml:space="preserve"> PAGEREF _Toc202345831 \h </w:instrText>
          </w:r>
          <w:r>
            <w:fldChar w:fldCharType="separate"/>
          </w:r>
          <w:r>
            <w:t>58</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"_Toc202345832" </w:instrText>
          </w:r>
          <w:r>
            <w:fldChar w:fldCharType="separate"/>
          </w:r>
          <w:r>
            <w:rPr>
              <w:rStyle w:val="40"/>
              <w:b/>
            </w:rPr>
            <w:t>7. 4</w:t>
          </w:r>
          <w:r>
            <w:rPr>
              <w:rStyle w:val="40"/>
            </w:rPr>
            <w:t xml:space="preserve"> 预应力施工</w:t>
          </w:r>
          <w:r>
            <w:tab/>
          </w:r>
          <w:r>
            <w:fldChar w:fldCharType="begin"/>
          </w:r>
          <w:r>
            <w:instrText xml:space="preserve"> PAGEREF _Toc202345832 \h </w:instrText>
          </w:r>
          <w:r>
            <w:fldChar w:fldCharType="separate"/>
          </w:r>
          <w:r>
            <w:t>61</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"_Toc202345833" </w:instrText>
          </w:r>
          <w:r>
            <w:fldChar w:fldCharType="separate"/>
          </w:r>
          <w:r>
            <w:rPr>
              <w:rStyle w:val="40"/>
            </w:rPr>
            <w:t>8 质量验收</w:t>
          </w:r>
          <w:r>
            <w:tab/>
          </w:r>
          <w:r>
            <w:fldChar w:fldCharType="begin"/>
          </w:r>
          <w:r>
            <w:instrText xml:space="preserve"> PAGEREF _Toc202345833 \h </w:instrText>
          </w:r>
          <w:r>
            <w:fldChar w:fldCharType="separate"/>
          </w:r>
          <w:r>
            <w:t>65</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"_Toc202345834" </w:instrText>
          </w:r>
          <w:r>
            <w:fldChar w:fldCharType="separate"/>
          </w:r>
          <w:r>
            <w:rPr>
              <w:rStyle w:val="40"/>
              <w:b/>
            </w:rPr>
            <w:t>8. 1</w:t>
          </w:r>
          <w:r>
            <w:rPr>
              <w:rStyle w:val="40"/>
            </w:rPr>
            <w:t xml:space="preserve"> 一般规定</w:t>
          </w:r>
          <w:r>
            <w:tab/>
          </w:r>
          <w:r>
            <w:fldChar w:fldCharType="begin"/>
          </w:r>
          <w:r>
            <w:instrText xml:space="preserve"> PAGEREF _Toc202345834 \h </w:instrText>
          </w:r>
          <w:r>
            <w:fldChar w:fldCharType="separate"/>
          </w:r>
          <w:r>
            <w:t>65</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"_Toc202345835" </w:instrText>
          </w:r>
          <w:r>
            <w:fldChar w:fldCharType="separate"/>
          </w:r>
          <w:r>
            <w:rPr>
              <w:rStyle w:val="40"/>
              <w:b/>
            </w:rPr>
            <w:t>8. 2</w:t>
          </w:r>
          <w:r>
            <w:rPr>
              <w:rStyle w:val="40"/>
            </w:rPr>
            <w:t xml:space="preserve"> 预制构件进场</w:t>
          </w:r>
          <w:r>
            <w:tab/>
          </w:r>
          <w:r>
            <w:fldChar w:fldCharType="begin"/>
          </w:r>
          <w:r>
            <w:instrText xml:space="preserve"> PAGEREF _Toc202345835 \h </w:instrText>
          </w:r>
          <w:r>
            <w:fldChar w:fldCharType="separate"/>
          </w:r>
          <w:r>
            <w:t>66</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"_Toc202345836" </w:instrText>
          </w:r>
          <w:r>
            <w:fldChar w:fldCharType="separate"/>
          </w:r>
          <w:r>
            <w:rPr>
              <w:rStyle w:val="40"/>
              <w:b/>
            </w:rPr>
            <w:t>8. 3</w:t>
          </w:r>
          <w:r>
            <w:rPr>
              <w:rStyle w:val="40"/>
            </w:rPr>
            <w:t xml:space="preserve"> 支撑与模板</w:t>
          </w:r>
          <w:r>
            <w:tab/>
          </w:r>
          <w:r>
            <w:fldChar w:fldCharType="begin"/>
          </w:r>
          <w:r>
            <w:instrText xml:space="preserve"> PAGEREF _Toc202345836 \h </w:instrText>
          </w:r>
          <w:r>
            <w:fldChar w:fldCharType="separate"/>
          </w:r>
          <w:r>
            <w:t>67</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"_Toc202345837" </w:instrText>
          </w:r>
          <w:r>
            <w:fldChar w:fldCharType="separate"/>
          </w:r>
          <w:r>
            <w:rPr>
              <w:rStyle w:val="40"/>
              <w:b/>
            </w:rPr>
            <w:t>8. 4</w:t>
          </w:r>
          <w:r>
            <w:rPr>
              <w:rStyle w:val="40"/>
            </w:rPr>
            <w:t xml:space="preserve"> 结构装配施工</w:t>
          </w:r>
          <w:r>
            <w:tab/>
          </w:r>
          <w:r>
            <w:fldChar w:fldCharType="begin"/>
          </w:r>
          <w:r>
            <w:instrText xml:space="preserve"> PAGEREF _Toc202345837 \h </w:instrText>
          </w:r>
          <w:r>
            <w:fldChar w:fldCharType="separate"/>
          </w:r>
          <w:r>
            <w:t>68</w:t>
          </w:r>
          <w:r>
            <w:fldChar w:fldCharType="end"/>
          </w:r>
          <w:r>
            <w:fldChar w:fldCharType="end"/>
          </w:r>
        </w:p>
        <w:p>
          <w:pPr>
            <w:pStyle w:val="28"/>
            <w:ind w:left="480"/>
            <w:rPr>
              <w:rFonts w:asciiTheme="minorHAnsi" w:hAnsiTheme="minorHAnsi" w:eastAsiaTheme="minorEastAsia" w:cstheme="minorBidi"/>
              <w:sz w:val="21"/>
              <w:szCs w:val="22"/>
            </w:rPr>
          </w:pPr>
          <w:r>
            <w:fldChar w:fldCharType="begin"/>
          </w:r>
          <w:r>
            <w:instrText xml:space="preserve"> HYPERLINK \l "_Toc202345838" </w:instrText>
          </w:r>
          <w:r>
            <w:fldChar w:fldCharType="separate"/>
          </w:r>
          <w:r>
            <w:rPr>
              <w:rStyle w:val="40"/>
              <w:b/>
            </w:rPr>
            <w:t>8. 5</w:t>
          </w:r>
          <w:r>
            <w:rPr>
              <w:rStyle w:val="40"/>
            </w:rPr>
            <w:t xml:space="preserve"> 预应力张拉施工</w:t>
          </w:r>
          <w:r>
            <w:tab/>
          </w:r>
          <w:r>
            <w:fldChar w:fldCharType="begin"/>
          </w:r>
          <w:r>
            <w:instrText xml:space="preserve"> PAGEREF _Toc202345838 \h </w:instrText>
          </w:r>
          <w:r>
            <w:fldChar w:fldCharType="separate"/>
          </w:r>
          <w:r>
            <w:t>70</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"_Toc202345839" </w:instrText>
          </w:r>
          <w:r>
            <w:fldChar w:fldCharType="separate"/>
          </w:r>
          <w:r>
            <w:rPr>
              <w:rStyle w:val="40"/>
            </w:rPr>
            <w:t>附录A 预应力压接装配节点位移极限状态验算</w:t>
          </w:r>
          <w:r>
            <w:tab/>
          </w:r>
          <w:r>
            <w:fldChar w:fldCharType="begin"/>
          </w:r>
          <w:r>
            <w:instrText xml:space="preserve"> PAGEREF _Toc202345839 \h </w:instrText>
          </w:r>
          <w:r>
            <w:fldChar w:fldCharType="separate"/>
          </w:r>
          <w:r>
            <w:t>72</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"_Toc202345840" </w:instrText>
          </w:r>
          <w:r>
            <w:fldChar w:fldCharType="separate"/>
          </w:r>
          <w:r>
            <w:rPr>
              <w:rStyle w:val="40"/>
            </w:rPr>
            <w:t>附录B 预应力压接装配式结构关键节点弹塑性分析模型</w:t>
          </w:r>
          <w:r>
            <w:tab/>
          </w:r>
          <w:r>
            <w:fldChar w:fldCharType="begin"/>
          </w:r>
          <w:r>
            <w:instrText xml:space="preserve"> PAGEREF _Toc202345840 \h </w:instrText>
          </w:r>
          <w:r>
            <w:fldChar w:fldCharType="separate"/>
          </w:r>
          <w:r>
            <w:t>76</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"_Toc202345841" </w:instrText>
          </w:r>
          <w:r>
            <w:fldChar w:fldCharType="separate"/>
          </w:r>
          <w:r>
            <w:rPr>
              <w:rStyle w:val="40"/>
            </w:rPr>
            <w:t>附录C 预制构件出厂检查表</w:t>
          </w:r>
          <w:r>
            <w:tab/>
          </w:r>
          <w:r>
            <w:fldChar w:fldCharType="begin"/>
          </w:r>
          <w:r>
            <w:instrText xml:space="preserve"> PAGEREF _Toc202345841 \h </w:instrText>
          </w:r>
          <w:r>
            <w:fldChar w:fldCharType="separate"/>
          </w:r>
          <w:r>
            <w:t>79</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"_Toc202345842" </w:instrText>
          </w:r>
          <w:r>
            <w:fldChar w:fldCharType="separate"/>
          </w:r>
          <w:r>
            <w:rPr>
              <w:rStyle w:val="40"/>
            </w:rPr>
            <w:t>附录D 预制构件安装检查表</w:t>
          </w:r>
          <w:r>
            <w:tab/>
          </w:r>
          <w:r>
            <w:fldChar w:fldCharType="begin"/>
          </w:r>
          <w:r>
            <w:instrText xml:space="preserve"> PAGEREF _Toc202345842 \h </w:instrText>
          </w:r>
          <w:r>
            <w:fldChar w:fldCharType="separate"/>
          </w:r>
          <w:r>
            <w:t>81</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"_Toc202345843" </w:instrText>
          </w:r>
          <w:r>
            <w:fldChar w:fldCharType="separate"/>
          </w:r>
          <w:r>
            <w:rPr>
              <w:rStyle w:val="40"/>
            </w:rPr>
            <w:t>本规程用词说明</w:t>
          </w:r>
          <w:r>
            <w:tab/>
          </w:r>
          <w:r>
            <w:fldChar w:fldCharType="begin"/>
          </w:r>
          <w:r>
            <w:instrText xml:space="preserve"> PAGEREF _Toc202345843 \h </w:instrText>
          </w:r>
          <w:r>
            <w:fldChar w:fldCharType="separate"/>
          </w:r>
          <w:r>
            <w:t>82</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"_Toc202345844" </w:instrText>
          </w:r>
          <w:r>
            <w:fldChar w:fldCharType="separate"/>
          </w:r>
          <w:r>
            <w:rPr>
              <w:rStyle w:val="40"/>
            </w:rPr>
            <w:t>引用</w:t>
          </w:r>
          <w:r>
            <w:rPr>
              <w:rStyle w:val="40"/>
              <w:kern w:val="1"/>
            </w:rPr>
            <w:t>标准名录</w:t>
          </w:r>
          <w:r>
            <w:tab/>
          </w:r>
          <w:r>
            <w:fldChar w:fldCharType="begin"/>
          </w:r>
          <w:r>
            <w:instrText xml:space="preserve"> PAGEREF _Toc202345844 \h </w:instrText>
          </w:r>
          <w:r>
            <w:fldChar w:fldCharType="separate"/>
          </w:r>
          <w:r>
            <w:t>83</w:t>
          </w:r>
          <w:r>
            <w:fldChar w:fldCharType="end"/>
          </w:r>
          <w:r>
            <w:fldChar w:fldCharType="end"/>
          </w:r>
        </w:p>
        <w:p>
          <w:pPr>
            <w:pStyle w:val="23"/>
            <w:rPr>
              <w:rFonts w:asciiTheme="minorHAnsi" w:hAnsiTheme="minorHAnsi" w:eastAsiaTheme="minorEastAsia" w:cstheme="minorBidi"/>
              <w:sz w:val="21"/>
              <w:szCs w:val="22"/>
            </w:rPr>
          </w:pPr>
          <w:r>
            <w:fldChar w:fldCharType="begin"/>
          </w:r>
          <w:r>
            <w:instrText xml:space="preserve"> HYPERLINK \l "_Toc202345845" </w:instrText>
          </w:r>
          <w:r>
            <w:fldChar w:fldCharType="separate"/>
          </w:r>
          <w:r>
            <w:rPr>
              <w:rStyle w:val="40"/>
              <w:snapToGrid w:val="0"/>
            </w:rPr>
            <w:t>条文说明</w:t>
          </w:r>
          <w:r>
            <w:tab/>
          </w:r>
          <w:r>
            <w:fldChar w:fldCharType="begin"/>
          </w:r>
          <w:r>
            <w:instrText xml:space="preserve"> PAGEREF _Toc202345845 \h </w:instrText>
          </w:r>
          <w:r>
            <w:fldChar w:fldCharType="separate"/>
          </w:r>
          <w:r>
            <w:t>85</w:t>
          </w:r>
          <w:r>
            <w:fldChar w:fldCharType="end"/>
          </w:r>
          <w:r>
            <w:fldChar w:fldCharType="end"/>
          </w:r>
        </w:p>
        <w:p>
          <w:pPr>
            <w:rPr>
              <w:lang w:val="zh-CN"/>
            </w:rPr>
          </w:pPr>
          <w:r>
            <w:rPr>
              <w:lang w:val="zh-CN"/>
            </w:rPr>
            <w:fldChar w:fldCharType="end"/>
          </w:r>
        </w:p>
      </w:sdtContent>
    </w:sdt>
    <w:p>
      <w:pPr>
        <w:rPr>
          <w:lang w:val="zh-CN"/>
        </w:rPr>
      </w:pPr>
      <w:r>
        <w:rPr>
          <w:lang w:val="zh-CN"/>
        </w:rPr>
        <w:br w:type="page"/>
      </w:r>
    </w:p>
    <w:sdt>
      <w:sdtPr>
        <w:rPr>
          <w:lang w:val="zh-CN"/>
        </w:rPr>
        <w:id w:val="1157120418"/>
        <w:docPartObj>
          <w:docPartGallery w:val="Table of Contents"/>
          <w:docPartUnique/>
        </w:docPartObj>
      </w:sdtPr>
      <w:sdtEndPr>
        <w:rPr>
          <w:lang w:val="zh-CN"/>
        </w:rPr>
      </w:sdtEndPr>
      <w:sdtContent>
        <w:p>
          <w:pPr>
            <w:keepNext/>
            <w:keepLines/>
            <w:widowControl/>
            <w:spacing w:before="240" w:line="276" w:lineRule="auto"/>
            <w:jc w:val="center"/>
            <w:rPr>
              <w:rFonts w:eastAsia="仿宋"/>
              <w:b/>
              <w:color w:val="2F5597" w:themeColor="accent1" w:themeShade="BF"/>
              <w:kern w:val="0"/>
              <w:sz w:val="32"/>
              <w:szCs w:val="32"/>
            </w:rPr>
          </w:pPr>
          <w:r>
            <w:rPr>
              <w:rFonts w:hint="eastAsia" w:eastAsia="仿宋"/>
              <w:b/>
              <w:kern w:val="0"/>
              <w:sz w:val="32"/>
              <w:szCs w:val="32"/>
            </w:rPr>
            <w:t>C</w:t>
          </w:r>
          <w:r>
            <w:rPr>
              <w:rFonts w:eastAsia="仿宋"/>
              <w:b/>
              <w:kern w:val="0"/>
              <w:sz w:val="32"/>
              <w:szCs w:val="32"/>
            </w:rPr>
            <w:t>ontents</w:t>
          </w:r>
        </w:p>
        <w:p>
          <w:pPr>
            <w:pStyle w:val="23"/>
            <w:rPr>
              <w:rFonts w:asciiTheme="minorHAnsi" w:hAnsiTheme="minorHAnsi" w:eastAsiaTheme="minorEastAsia" w:cstheme="minorBidi"/>
              <w:sz w:val="21"/>
              <w:szCs w:val="22"/>
            </w:rPr>
          </w:pPr>
          <w:r>
            <w:rPr>
              <w:rStyle w:val="40"/>
            </w:rPr>
            <w:t>1 General provisions</w:t>
          </w:r>
          <w:r>
            <w:tab/>
          </w:r>
          <w:r>
            <w:t>1</w:t>
          </w:r>
        </w:p>
        <w:p>
          <w:pPr>
            <w:pStyle w:val="23"/>
            <w:rPr>
              <w:rFonts w:asciiTheme="minorHAnsi" w:hAnsiTheme="minorHAnsi" w:eastAsiaTheme="minorEastAsia" w:cstheme="minorBidi"/>
              <w:sz w:val="21"/>
              <w:szCs w:val="22"/>
            </w:rPr>
          </w:pPr>
          <w:r>
            <w:rPr>
              <w:rStyle w:val="40"/>
            </w:rPr>
            <w:t xml:space="preserve">2 </w:t>
          </w:r>
          <w:r>
            <w:rPr>
              <w:rStyle w:val="40"/>
              <w:rFonts w:hint="eastAsia"/>
            </w:rPr>
            <w:t>T</w:t>
          </w:r>
          <w:r>
            <w:rPr>
              <w:rStyle w:val="40"/>
            </w:rPr>
            <w:t>erms and symbols</w:t>
          </w:r>
          <w:r>
            <w:tab/>
          </w:r>
          <w:r>
            <w:t>2</w:t>
          </w:r>
        </w:p>
        <w:p>
          <w:pPr>
            <w:pStyle w:val="28"/>
            <w:ind w:left="480"/>
            <w:rPr>
              <w:rFonts w:asciiTheme="minorHAnsi" w:hAnsiTheme="minorHAnsi" w:eastAsiaTheme="minorEastAsia" w:cstheme="minorBidi"/>
              <w:sz w:val="21"/>
              <w:szCs w:val="22"/>
            </w:rPr>
          </w:pPr>
          <w:r>
            <w:rPr>
              <w:rStyle w:val="40"/>
              <w:b/>
            </w:rPr>
            <w:t>2. 1</w:t>
          </w:r>
          <w:r>
            <w:rPr>
              <w:rStyle w:val="40"/>
            </w:rPr>
            <w:t xml:space="preserve"> </w:t>
          </w:r>
          <w:r>
            <w:rPr>
              <w:rStyle w:val="40"/>
              <w:rFonts w:hint="eastAsia"/>
            </w:rPr>
            <w:t>T</w:t>
          </w:r>
          <w:r>
            <w:rPr>
              <w:rStyle w:val="40"/>
            </w:rPr>
            <w:t>erms</w:t>
          </w:r>
          <w:r>
            <w:tab/>
          </w:r>
          <w:r>
            <w:t>2</w:t>
          </w:r>
        </w:p>
        <w:p>
          <w:pPr>
            <w:pStyle w:val="28"/>
            <w:ind w:left="480"/>
            <w:rPr>
              <w:rFonts w:asciiTheme="minorHAnsi" w:hAnsiTheme="minorHAnsi" w:eastAsiaTheme="minorEastAsia" w:cstheme="minorBidi"/>
              <w:sz w:val="21"/>
              <w:szCs w:val="22"/>
            </w:rPr>
          </w:pPr>
          <w:r>
            <w:rPr>
              <w:rStyle w:val="40"/>
              <w:b/>
            </w:rPr>
            <w:t>2. 2</w:t>
          </w:r>
          <w:r>
            <w:rPr>
              <w:rStyle w:val="40"/>
            </w:rPr>
            <w:t xml:space="preserve"> </w:t>
          </w:r>
          <w:r>
            <w:rPr>
              <w:rStyle w:val="40"/>
              <w:rFonts w:hint="eastAsia"/>
            </w:rPr>
            <w:t>S</w:t>
          </w:r>
          <w:r>
            <w:rPr>
              <w:rStyle w:val="40"/>
            </w:rPr>
            <w:t>ymbols</w:t>
          </w:r>
          <w:r>
            <w:tab/>
          </w:r>
          <w:r>
            <w:t>3</w:t>
          </w:r>
        </w:p>
        <w:p>
          <w:pPr>
            <w:pStyle w:val="23"/>
            <w:rPr>
              <w:rFonts w:asciiTheme="minorHAnsi" w:hAnsiTheme="minorHAnsi" w:eastAsiaTheme="minorEastAsia" w:cstheme="minorBidi"/>
              <w:sz w:val="21"/>
              <w:szCs w:val="22"/>
            </w:rPr>
          </w:pPr>
          <w:r>
            <w:rPr>
              <w:rStyle w:val="40"/>
            </w:rPr>
            <w:t xml:space="preserve">3 </w:t>
          </w:r>
          <w:r>
            <w:rPr>
              <w:rStyle w:val="40"/>
              <w:rFonts w:hint="eastAsia"/>
            </w:rPr>
            <w:t>B</w:t>
          </w:r>
          <w:r>
            <w:rPr>
              <w:rStyle w:val="40"/>
            </w:rPr>
            <w:t>asic requirements</w:t>
          </w:r>
          <w:r>
            <w:tab/>
          </w:r>
          <w:r>
            <w:t>6</w:t>
          </w:r>
        </w:p>
        <w:p>
          <w:pPr>
            <w:pStyle w:val="28"/>
            <w:ind w:left="480"/>
            <w:rPr>
              <w:rFonts w:asciiTheme="minorHAnsi" w:hAnsiTheme="minorHAnsi" w:eastAsiaTheme="minorEastAsia" w:cstheme="minorBidi"/>
              <w:sz w:val="21"/>
              <w:szCs w:val="22"/>
            </w:rPr>
          </w:pPr>
          <w:r>
            <w:rPr>
              <w:rStyle w:val="40"/>
              <w:b/>
            </w:rPr>
            <w:t>3. 1</w:t>
          </w:r>
          <w:r>
            <w:rPr>
              <w:rStyle w:val="40"/>
            </w:rPr>
            <w:t xml:space="preserve"> General requirements</w:t>
          </w:r>
          <w:r>
            <w:tab/>
          </w:r>
          <w:r>
            <w:t>6</w:t>
          </w:r>
        </w:p>
        <w:p>
          <w:pPr>
            <w:pStyle w:val="28"/>
            <w:ind w:left="480"/>
            <w:rPr>
              <w:rFonts w:asciiTheme="minorHAnsi" w:hAnsiTheme="minorHAnsi" w:eastAsiaTheme="minorEastAsia" w:cstheme="minorBidi"/>
              <w:sz w:val="21"/>
              <w:szCs w:val="22"/>
            </w:rPr>
          </w:pPr>
          <w:r>
            <w:rPr>
              <w:rStyle w:val="40"/>
              <w:b/>
            </w:rPr>
            <w:t>3. 2</w:t>
          </w:r>
          <w:r>
            <w:rPr>
              <w:rStyle w:val="40"/>
            </w:rPr>
            <w:t xml:space="preserve"> Structural layout</w:t>
          </w:r>
          <w:r>
            <w:tab/>
          </w:r>
          <w:r>
            <w:t>8</w:t>
          </w:r>
        </w:p>
        <w:p>
          <w:pPr>
            <w:pStyle w:val="28"/>
            <w:ind w:left="480"/>
            <w:rPr>
              <w:rFonts w:asciiTheme="minorHAnsi" w:hAnsiTheme="minorHAnsi" w:eastAsiaTheme="minorEastAsia" w:cstheme="minorBidi"/>
              <w:sz w:val="21"/>
              <w:szCs w:val="22"/>
            </w:rPr>
          </w:pPr>
          <w:r>
            <w:rPr>
              <w:rStyle w:val="40"/>
              <w:b/>
            </w:rPr>
            <w:t>3. 3</w:t>
          </w:r>
          <w:r>
            <w:rPr>
              <w:rStyle w:val="40"/>
            </w:rPr>
            <w:t xml:space="preserve"> Seismic provisions</w:t>
          </w:r>
          <w:r>
            <w:tab/>
          </w:r>
          <w:r>
            <w:t>10</w:t>
          </w:r>
        </w:p>
        <w:p>
          <w:pPr>
            <w:pStyle w:val="28"/>
            <w:ind w:left="480"/>
            <w:rPr>
              <w:rFonts w:asciiTheme="minorHAnsi" w:hAnsiTheme="minorHAnsi" w:eastAsiaTheme="minorEastAsia" w:cstheme="minorBidi"/>
              <w:sz w:val="21"/>
              <w:szCs w:val="22"/>
            </w:rPr>
          </w:pPr>
          <w:r>
            <w:rPr>
              <w:rStyle w:val="40"/>
              <w:b/>
            </w:rPr>
            <w:t>3. 4</w:t>
          </w:r>
          <w:r>
            <w:rPr>
              <w:rStyle w:val="40"/>
            </w:rPr>
            <w:t xml:space="preserve"> Integrated construction</w:t>
          </w:r>
          <w:r>
            <w:tab/>
          </w:r>
          <w:r>
            <w:t>12</w:t>
          </w:r>
        </w:p>
        <w:p>
          <w:pPr>
            <w:pStyle w:val="23"/>
            <w:rPr>
              <w:rFonts w:asciiTheme="minorHAnsi" w:hAnsiTheme="minorHAnsi" w:eastAsiaTheme="minorEastAsia" w:cstheme="minorBidi"/>
              <w:sz w:val="21"/>
              <w:szCs w:val="22"/>
            </w:rPr>
          </w:pPr>
          <w:r>
            <w:rPr>
              <w:rStyle w:val="40"/>
            </w:rPr>
            <w:t xml:space="preserve">4 </w:t>
          </w:r>
          <w:r>
            <w:rPr>
              <w:rStyle w:val="40"/>
              <w:rFonts w:hint="eastAsia"/>
            </w:rPr>
            <w:t>M</w:t>
          </w:r>
          <w:r>
            <w:rPr>
              <w:rStyle w:val="40"/>
            </w:rPr>
            <w:t>aterials</w:t>
          </w:r>
          <w:r>
            <w:tab/>
          </w:r>
          <w:r>
            <w:t>13</w:t>
          </w:r>
        </w:p>
        <w:p>
          <w:pPr>
            <w:pStyle w:val="28"/>
            <w:ind w:left="480"/>
            <w:rPr>
              <w:rFonts w:asciiTheme="minorHAnsi" w:hAnsiTheme="minorHAnsi" w:eastAsiaTheme="minorEastAsia" w:cstheme="minorBidi"/>
              <w:sz w:val="21"/>
              <w:szCs w:val="22"/>
            </w:rPr>
          </w:pPr>
          <w:r>
            <w:rPr>
              <w:rStyle w:val="40"/>
              <w:b/>
            </w:rPr>
            <w:t>4. 1</w:t>
          </w:r>
          <w:r>
            <w:rPr>
              <w:rStyle w:val="40"/>
            </w:rPr>
            <w:t xml:space="preserve"> Concrete, reinforcement, and steel</w:t>
          </w:r>
          <w:r>
            <w:tab/>
          </w:r>
          <w:r>
            <w:t>13</w:t>
          </w:r>
        </w:p>
        <w:p>
          <w:pPr>
            <w:pStyle w:val="28"/>
            <w:ind w:left="480"/>
            <w:rPr>
              <w:rFonts w:asciiTheme="minorHAnsi" w:hAnsiTheme="minorHAnsi" w:eastAsiaTheme="minorEastAsia" w:cstheme="minorBidi"/>
              <w:sz w:val="21"/>
              <w:szCs w:val="22"/>
            </w:rPr>
          </w:pPr>
          <w:r>
            <w:rPr>
              <w:rStyle w:val="40"/>
              <w:b/>
            </w:rPr>
            <w:t>4. 2</w:t>
          </w:r>
          <w:r>
            <w:rPr>
              <w:rStyle w:val="40"/>
            </w:rPr>
            <w:t xml:space="preserve"> Prestressed materials</w:t>
          </w:r>
          <w:r>
            <w:tab/>
          </w:r>
          <w:r>
            <w:t>14</w:t>
          </w:r>
        </w:p>
        <w:p>
          <w:pPr>
            <w:pStyle w:val="28"/>
            <w:ind w:left="480"/>
            <w:rPr>
              <w:rFonts w:asciiTheme="minorHAnsi" w:hAnsiTheme="minorHAnsi" w:eastAsiaTheme="minorEastAsia" w:cstheme="minorBidi"/>
              <w:sz w:val="21"/>
              <w:szCs w:val="22"/>
            </w:rPr>
          </w:pPr>
          <w:r>
            <w:rPr>
              <w:rStyle w:val="40"/>
              <w:b/>
            </w:rPr>
            <w:t>4. 3</w:t>
          </w:r>
          <w:r>
            <w:rPr>
              <w:rStyle w:val="40"/>
            </w:rPr>
            <w:t xml:space="preserve"> Connection materials</w:t>
          </w:r>
          <w:r>
            <w:tab/>
          </w:r>
          <w:r>
            <w:t>14</w:t>
          </w:r>
        </w:p>
        <w:p>
          <w:pPr>
            <w:pStyle w:val="23"/>
            <w:rPr>
              <w:rFonts w:asciiTheme="minorHAnsi" w:hAnsiTheme="minorHAnsi" w:eastAsiaTheme="minorEastAsia" w:cstheme="minorBidi"/>
              <w:sz w:val="21"/>
              <w:szCs w:val="22"/>
            </w:rPr>
          </w:pPr>
          <w:r>
            <w:rPr>
              <w:rStyle w:val="40"/>
            </w:rPr>
            <w:t>5 Structural analysis and design</w:t>
          </w:r>
          <w:r>
            <w:tab/>
          </w:r>
          <w:r>
            <w:t>16</w:t>
          </w:r>
        </w:p>
        <w:p>
          <w:pPr>
            <w:pStyle w:val="28"/>
            <w:ind w:left="480"/>
            <w:rPr>
              <w:rFonts w:asciiTheme="minorHAnsi" w:hAnsiTheme="minorHAnsi" w:eastAsiaTheme="minorEastAsia" w:cstheme="minorBidi"/>
              <w:sz w:val="21"/>
              <w:szCs w:val="22"/>
            </w:rPr>
          </w:pPr>
          <w:r>
            <w:rPr>
              <w:rStyle w:val="40"/>
              <w:b/>
            </w:rPr>
            <w:t>5. 1</w:t>
          </w:r>
          <w:r>
            <w:rPr>
              <w:rStyle w:val="40"/>
            </w:rPr>
            <w:t xml:space="preserve"> General requirements</w:t>
          </w:r>
          <w:r>
            <w:tab/>
          </w:r>
          <w:r>
            <w:t>16</w:t>
          </w:r>
        </w:p>
        <w:p>
          <w:pPr>
            <w:pStyle w:val="28"/>
            <w:ind w:left="480"/>
            <w:rPr>
              <w:rFonts w:asciiTheme="minorHAnsi" w:hAnsiTheme="minorHAnsi" w:eastAsiaTheme="minorEastAsia" w:cstheme="minorBidi"/>
              <w:sz w:val="21"/>
              <w:szCs w:val="22"/>
            </w:rPr>
          </w:pPr>
          <w:r>
            <w:rPr>
              <w:rStyle w:val="40"/>
              <w:b/>
            </w:rPr>
            <w:t>5. 2</w:t>
          </w:r>
          <w:r>
            <w:rPr>
              <w:rStyle w:val="40"/>
            </w:rPr>
            <w:t xml:space="preserve"> Structural analysis</w:t>
          </w:r>
          <w:r>
            <w:tab/>
          </w:r>
          <w:r>
            <w:t>17</w:t>
          </w:r>
        </w:p>
        <w:p>
          <w:pPr>
            <w:pStyle w:val="28"/>
            <w:ind w:left="480"/>
            <w:rPr>
              <w:rFonts w:asciiTheme="minorHAnsi" w:hAnsiTheme="minorHAnsi" w:eastAsiaTheme="minorEastAsia" w:cstheme="minorBidi"/>
              <w:sz w:val="21"/>
              <w:szCs w:val="22"/>
            </w:rPr>
          </w:pPr>
          <w:r>
            <w:rPr>
              <w:rStyle w:val="40"/>
              <w:b/>
            </w:rPr>
            <w:t>5. 3</w:t>
          </w:r>
          <w:r>
            <w:rPr>
              <w:rStyle w:val="40"/>
            </w:rPr>
            <w:t xml:space="preserve"> Design of beam and column members</w:t>
          </w:r>
          <w:r>
            <w:tab/>
          </w:r>
          <w:r>
            <w:t>19</w:t>
          </w:r>
        </w:p>
        <w:p>
          <w:pPr>
            <w:pStyle w:val="28"/>
            <w:ind w:left="480"/>
            <w:rPr>
              <w:rFonts w:asciiTheme="minorHAnsi" w:hAnsiTheme="minorHAnsi" w:eastAsiaTheme="minorEastAsia" w:cstheme="minorBidi"/>
              <w:sz w:val="21"/>
              <w:szCs w:val="22"/>
            </w:rPr>
          </w:pPr>
          <w:r>
            <w:rPr>
              <w:rStyle w:val="40"/>
              <w:b/>
            </w:rPr>
            <w:t>5. 4</w:t>
          </w:r>
          <w:r>
            <w:rPr>
              <w:rStyle w:val="40"/>
            </w:rPr>
            <w:t xml:space="preserve"> Design of floor slabs</w:t>
          </w:r>
          <w:r>
            <w:tab/>
          </w:r>
          <w:r>
            <w:t>23</w:t>
          </w:r>
        </w:p>
        <w:p>
          <w:pPr>
            <w:pStyle w:val="28"/>
            <w:ind w:left="480"/>
            <w:rPr>
              <w:rFonts w:asciiTheme="minorHAnsi" w:hAnsiTheme="minorHAnsi" w:eastAsiaTheme="minorEastAsia" w:cstheme="minorBidi"/>
              <w:sz w:val="21"/>
              <w:szCs w:val="22"/>
            </w:rPr>
          </w:pPr>
          <w:r>
            <w:rPr>
              <w:rStyle w:val="40"/>
              <w:b/>
            </w:rPr>
            <w:t>5. 5</w:t>
          </w:r>
          <w:r>
            <w:rPr>
              <w:rStyle w:val="40"/>
            </w:rPr>
            <w:t xml:space="preserve"> Design of beam-column connections</w:t>
          </w:r>
          <w:r>
            <w:tab/>
          </w:r>
          <w:r>
            <w:t>27</w:t>
          </w:r>
        </w:p>
        <w:p>
          <w:pPr>
            <w:pStyle w:val="28"/>
            <w:ind w:left="480"/>
            <w:rPr>
              <w:rFonts w:asciiTheme="minorHAnsi" w:hAnsiTheme="minorHAnsi" w:eastAsiaTheme="minorEastAsia" w:cstheme="minorBidi"/>
              <w:sz w:val="21"/>
              <w:szCs w:val="22"/>
            </w:rPr>
          </w:pPr>
          <w:r>
            <w:rPr>
              <w:rStyle w:val="40"/>
              <w:b/>
            </w:rPr>
            <w:t>5. 6</w:t>
          </w:r>
          <w:r>
            <w:rPr>
              <w:rStyle w:val="40"/>
            </w:rPr>
            <w:t xml:space="preserve"> Design of slab-column connections</w:t>
          </w:r>
          <w:r>
            <w:tab/>
          </w:r>
          <w:r>
            <w:t>37</w:t>
          </w:r>
        </w:p>
        <w:p>
          <w:pPr>
            <w:pStyle w:val="28"/>
            <w:ind w:left="480"/>
            <w:rPr>
              <w:rFonts w:asciiTheme="minorHAnsi" w:hAnsiTheme="minorHAnsi" w:eastAsiaTheme="minorEastAsia" w:cstheme="minorBidi"/>
              <w:sz w:val="21"/>
              <w:szCs w:val="22"/>
            </w:rPr>
          </w:pPr>
          <w:r>
            <w:rPr>
              <w:rStyle w:val="40"/>
              <w:b/>
            </w:rPr>
            <w:t>5. 7</w:t>
          </w:r>
          <w:r>
            <w:rPr>
              <w:rStyle w:val="40"/>
            </w:rPr>
            <w:t xml:space="preserve"> Design of Other Connections</w:t>
          </w:r>
          <w:r>
            <w:tab/>
          </w:r>
          <w:r>
            <w:t>38</w:t>
          </w:r>
        </w:p>
        <w:p>
          <w:pPr>
            <w:pStyle w:val="23"/>
            <w:rPr>
              <w:rFonts w:asciiTheme="minorHAnsi" w:hAnsiTheme="minorHAnsi" w:eastAsiaTheme="minorEastAsia" w:cstheme="minorBidi"/>
              <w:sz w:val="21"/>
              <w:szCs w:val="22"/>
            </w:rPr>
          </w:pPr>
          <w:r>
            <w:rPr>
              <w:rStyle w:val="40"/>
            </w:rPr>
            <w:t>6 Member fabrication and transportation</w:t>
          </w:r>
          <w:r>
            <w:tab/>
          </w:r>
          <w:r>
            <w:t>42</w:t>
          </w:r>
        </w:p>
        <w:p>
          <w:pPr>
            <w:pStyle w:val="28"/>
            <w:ind w:left="480"/>
            <w:rPr>
              <w:rFonts w:asciiTheme="minorHAnsi" w:hAnsiTheme="minorHAnsi" w:eastAsiaTheme="minorEastAsia" w:cstheme="minorBidi"/>
              <w:sz w:val="21"/>
              <w:szCs w:val="22"/>
            </w:rPr>
          </w:pPr>
          <w:r>
            <w:rPr>
              <w:rStyle w:val="40"/>
              <w:b/>
            </w:rPr>
            <w:t>6. 1</w:t>
          </w:r>
          <w:r>
            <w:rPr>
              <w:rStyle w:val="40"/>
            </w:rPr>
            <w:t xml:space="preserve"> General requirements</w:t>
          </w:r>
          <w:r>
            <w:tab/>
          </w:r>
          <w:r>
            <w:t>42</w:t>
          </w:r>
        </w:p>
        <w:p>
          <w:pPr>
            <w:pStyle w:val="28"/>
            <w:ind w:left="480"/>
            <w:rPr>
              <w:rFonts w:asciiTheme="minorHAnsi" w:hAnsiTheme="minorHAnsi" w:eastAsiaTheme="minorEastAsia" w:cstheme="minorBidi"/>
              <w:sz w:val="21"/>
              <w:szCs w:val="22"/>
            </w:rPr>
          </w:pPr>
          <w:r>
            <w:rPr>
              <w:rStyle w:val="40"/>
              <w:b/>
            </w:rPr>
            <w:t>6. 2</w:t>
          </w:r>
          <w:r>
            <w:rPr>
              <w:rStyle w:val="40"/>
            </w:rPr>
            <w:t xml:space="preserve"> Member detailing</w:t>
          </w:r>
          <w:r>
            <w:tab/>
          </w:r>
          <w:r>
            <w:t>42</w:t>
          </w:r>
        </w:p>
        <w:p>
          <w:pPr>
            <w:pStyle w:val="28"/>
            <w:ind w:left="480"/>
            <w:rPr>
              <w:rFonts w:asciiTheme="minorHAnsi" w:hAnsiTheme="minorHAnsi" w:eastAsiaTheme="minorEastAsia" w:cstheme="minorBidi"/>
              <w:sz w:val="21"/>
              <w:szCs w:val="22"/>
            </w:rPr>
          </w:pPr>
          <w:r>
            <w:rPr>
              <w:rStyle w:val="40"/>
              <w:b/>
            </w:rPr>
            <w:t>6. 3</w:t>
          </w:r>
          <w:r>
            <w:rPr>
              <w:rStyle w:val="40"/>
            </w:rPr>
            <w:t xml:space="preserve"> Member fabrication</w:t>
          </w:r>
          <w:r>
            <w:tab/>
          </w:r>
          <w:r>
            <w:t>46</w:t>
          </w:r>
        </w:p>
        <w:p>
          <w:pPr>
            <w:pStyle w:val="28"/>
            <w:ind w:left="480"/>
            <w:rPr>
              <w:rFonts w:asciiTheme="minorHAnsi" w:hAnsiTheme="minorHAnsi" w:eastAsiaTheme="minorEastAsia" w:cstheme="minorBidi"/>
              <w:sz w:val="21"/>
              <w:szCs w:val="22"/>
            </w:rPr>
          </w:pPr>
          <w:r>
            <w:rPr>
              <w:rStyle w:val="40"/>
              <w:b/>
            </w:rPr>
            <w:t>6. 4</w:t>
          </w:r>
          <w:r>
            <w:rPr>
              <w:rStyle w:val="40"/>
            </w:rPr>
            <w:t xml:space="preserve"> Transportation and stacking</w:t>
          </w:r>
          <w:r>
            <w:tab/>
          </w:r>
          <w:r>
            <w:t>52</w:t>
          </w:r>
        </w:p>
        <w:p>
          <w:pPr>
            <w:pStyle w:val="23"/>
            <w:rPr>
              <w:rFonts w:asciiTheme="minorHAnsi" w:hAnsiTheme="minorHAnsi" w:eastAsiaTheme="minorEastAsia" w:cstheme="minorBidi"/>
              <w:sz w:val="21"/>
              <w:szCs w:val="22"/>
            </w:rPr>
          </w:pPr>
          <w:r>
            <w:rPr>
              <w:rStyle w:val="40"/>
            </w:rPr>
            <w:t>7 Construction and installation</w:t>
          </w:r>
          <w:r>
            <w:tab/>
          </w:r>
          <w:r>
            <w:t>54</w:t>
          </w:r>
        </w:p>
        <w:p>
          <w:pPr>
            <w:pStyle w:val="28"/>
            <w:ind w:left="480"/>
            <w:rPr>
              <w:rFonts w:asciiTheme="minorHAnsi" w:hAnsiTheme="minorHAnsi" w:eastAsiaTheme="minorEastAsia" w:cstheme="minorBidi"/>
              <w:sz w:val="21"/>
              <w:szCs w:val="22"/>
            </w:rPr>
          </w:pPr>
          <w:r>
            <w:rPr>
              <w:rStyle w:val="40"/>
              <w:b/>
            </w:rPr>
            <w:t>7. 1</w:t>
          </w:r>
          <w:r>
            <w:rPr>
              <w:rStyle w:val="40"/>
            </w:rPr>
            <w:t xml:space="preserve"> General requirements</w:t>
          </w:r>
          <w:r>
            <w:tab/>
          </w:r>
          <w:r>
            <w:t>54</w:t>
          </w:r>
        </w:p>
        <w:p>
          <w:pPr>
            <w:pStyle w:val="28"/>
            <w:ind w:left="480"/>
            <w:rPr>
              <w:rFonts w:asciiTheme="minorHAnsi" w:hAnsiTheme="minorHAnsi" w:eastAsiaTheme="minorEastAsia" w:cstheme="minorBidi"/>
              <w:sz w:val="21"/>
              <w:szCs w:val="22"/>
            </w:rPr>
          </w:pPr>
          <w:r>
            <w:rPr>
              <w:rStyle w:val="40"/>
              <w:b/>
            </w:rPr>
            <w:t>7. 2</w:t>
          </w:r>
          <w:r>
            <w:rPr>
              <w:rStyle w:val="40"/>
            </w:rPr>
            <w:t xml:space="preserve"> Preparation for installation</w:t>
          </w:r>
          <w:r>
            <w:tab/>
          </w:r>
          <w:r>
            <w:t>55</w:t>
          </w:r>
        </w:p>
        <w:p>
          <w:pPr>
            <w:pStyle w:val="28"/>
            <w:ind w:left="480"/>
            <w:rPr>
              <w:rFonts w:asciiTheme="minorHAnsi" w:hAnsiTheme="minorHAnsi" w:eastAsiaTheme="minorEastAsia" w:cstheme="minorBidi"/>
              <w:sz w:val="21"/>
              <w:szCs w:val="22"/>
            </w:rPr>
          </w:pPr>
          <w:r>
            <w:rPr>
              <w:rStyle w:val="40"/>
              <w:b/>
            </w:rPr>
            <w:t>7. 3</w:t>
          </w:r>
          <w:r>
            <w:rPr>
              <w:rStyle w:val="40"/>
            </w:rPr>
            <w:t xml:space="preserve"> Construction and installation</w:t>
          </w:r>
          <w:r>
            <w:tab/>
          </w:r>
          <w:r>
            <w:t>58</w:t>
          </w:r>
        </w:p>
        <w:p>
          <w:pPr>
            <w:pStyle w:val="28"/>
            <w:ind w:left="480"/>
            <w:rPr>
              <w:rFonts w:asciiTheme="minorHAnsi" w:hAnsiTheme="minorHAnsi" w:eastAsiaTheme="minorEastAsia" w:cstheme="minorBidi"/>
              <w:sz w:val="21"/>
              <w:szCs w:val="22"/>
            </w:rPr>
          </w:pPr>
          <w:r>
            <w:rPr>
              <w:rStyle w:val="40"/>
              <w:b/>
            </w:rPr>
            <w:t>7. 4</w:t>
          </w:r>
          <w:r>
            <w:rPr>
              <w:rStyle w:val="40"/>
            </w:rPr>
            <w:t xml:space="preserve"> Prestressed Construction</w:t>
          </w:r>
          <w:r>
            <w:tab/>
          </w:r>
          <w:r>
            <w:t>61</w:t>
          </w:r>
        </w:p>
        <w:p>
          <w:pPr>
            <w:pStyle w:val="23"/>
            <w:rPr>
              <w:rFonts w:asciiTheme="minorHAnsi" w:hAnsiTheme="minorHAnsi" w:eastAsiaTheme="minorEastAsia" w:cstheme="minorBidi"/>
              <w:sz w:val="21"/>
              <w:szCs w:val="22"/>
            </w:rPr>
          </w:pPr>
          <w:r>
            <w:rPr>
              <w:rStyle w:val="40"/>
            </w:rPr>
            <w:t>8 Quality Acceptance</w:t>
          </w:r>
          <w:r>
            <w:tab/>
          </w:r>
          <w:r>
            <w:t>65</w:t>
          </w:r>
        </w:p>
        <w:p>
          <w:pPr>
            <w:pStyle w:val="28"/>
            <w:ind w:left="480"/>
            <w:rPr>
              <w:rFonts w:asciiTheme="minorHAnsi" w:hAnsiTheme="minorHAnsi" w:eastAsiaTheme="minorEastAsia" w:cstheme="minorBidi"/>
              <w:sz w:val="21"/>
              <w:szCs w:val="22"/>
            </w:rPr>
          </w:pPr>
          <w:r>
            <w:rPr>
              <w:rStyle w:val="40"/>
              <w:b/>
            </w:rPr>
            <w:t>8. 1</w:t>
          </w:r>
          <w:r>
            <w:rPr>
              <w:rStyle w:val="40"/>
            </w:rPr>
            <w:t xml:space="preserve"> General requirements</w:t>
          </w:r>
          <w:r>
            <w:tab/>
          </w:r>
          <w:r>
            <w:t>65</w:t>
          </w:r>
        </w:p>
        <w:p>
          <w:pPr>
            <w:pStyle w:val="28"/>
            <w:ind w:left="480"/>
            <w:rPr>
              <w:rFonts w:asciiTheme="minorHAnsi" w:hAnsiTheme="minorHAnsi" w:eastAsiaTheme="minorEastAsia" w:cstheme="minorBidi"/>
              <w:sz w:val="21"/>
              <w:szCs w:val="22"/>
            </w:rPr>
          </w:pPr>
          <w:r>
            <w:rPr>
              <w:rStyle w:val="40"/>
              <w:b/>
            </w:rPr>
            <w:t>8. 2</w:t>
          </w:r>
          <w:r>
            <w:rPr>
              <w:rStyle w:val="40"/>
            </w:rPr>
            <w:t xml:space="preserve"> Delivery inspection of members</w:t>
          </w:r>
          <w:r>
            <w:tab/>
          </w:r>
          <w:r>
            <w:t>66</w:t>
          </w:r>
        </w:p>
        <w:p>
          <w:pPr>
            <w:pStyle w:val="28"/>
            <w:ind w:left="480"/>
            <w:rPr>
              <w:rFonts w:asciiTheme="minorHAnsi" w:hAnsiTheme="minorHAnsi" w:eastAsiaTheme="minorEastAsia" w:cstheme="minorBidi"/>
              <w:sz w:val="21"/>
              <w:szCs w:val="22"/>
            </w:rPr>
          </w:pPr>
          <w:r>
            <w:rPr>
              <w:rStyle w:val="40"/>
              <w:b/>
            </w:rPr>
            <w:t>8. 3</w:t>
          </w:r>
          <w:r>
            <w:rPr>
              <w:rStyle w:val="40"/>
            </w:rPr>
            <w:t xml:space="preserve"> Supports and formwork</w:t>
          </w:r>
          <w:r>
            <w:tab/>
          </w:r>
          <w:r>
            <w:t>67</w:t>
          </w:r>
        </w:p>
        <w:p>
          <w:pPr>
            <w:pStyle w:val="28"/>
            <w:ind w:left="480"/>
            <w:rPr>
              <w:rFonts w:asciiTheme="minorHAnsi" w:hAnsiTheme="minorHAnsi" w:eastAsiaTheme="minorEastAsia" w:cstheme="minorBidi"/>
              <w:sz w:val="21"/>
              <w:szCs w:val="22"/>
            </w:rPr>
          </w:pPr>
          <w:r>
            <w:rPr>
              <w:rStyle w:val="40"/>
              <w:b/>
            </w:rPr>
            <w:t>8. 4</w:t>
          </w:r>
          <w:r>
            <w:rPr>
              <w:rStyle w:val="40"/>
            </w:rPr>
            <w:t xml:space="preserve"> Structural assembly construction</w:t>
          </w:r>
          <w:r>
            <w:tab/>
          </w:r>
          <w:r>
            <w:t>68</w:t>
          </w:r>
        </w:p>
        <w:p>
          <w:pPr>
            <w:pStyle w:val="28"/>
            <w:ind w:left="480"/>
            <w:rPr>
              <w:rFonts w:asciiTheme="minorHAnsi" w:hAnsiTheme="minorHAnsi" w:eastAsiaTheme="minorEastAsia" w:cstheme="minorBidi"/>
              <w:sz w:val="21"/>
              <w:szCs w:val="22"/>
            </w:rPr>
          </w:pPr>
          <w:r>
            <w:rPr>
              <w:rStyle w:val="40"/>
              <w:b/>
            </w:rPr>
            <w:t>8. 5</w:t>
          </w:r>
          <w:r>
            <w:rPr>
              <w:rStyle w:val="40"/>
            </w:rPr>
            <w:t xml:space="preserve"> Prestressed tendon tensioning</w:t>
          </w:r>
          <w:r>
            <w:tab/>
          </w:r>
          <w:r>
            <w:t>70</w:t>
          </w:r>
        </w:p>
        <w:p>
          <w:pPr>
            <w:pStyle w:val="23"/>
            <w:rPr>
              <w:rFonts w:asciiTheme="minorHAnsi" w:hAnsiTheme="minorHAnsi" w:eastAsiaTheme="minorEastAsia" w:cstheme="minorBidi"/>
              <w:sz w:val="21"/>
              <w:szCs w:val="22"/>
            </w:rPr>
          </w:pPr>
          <w:r>
            <w:rPr>
              <w:rStyle w:val="40"/>
              <w:b/>
              <w:bCs/>
            </w:rPr>
            <w:t>Appendix A</w:t>
          </w:r>
          <w:r>
            <w:rPr>
              <w:rStyle w:val="40"/>
            </w:rPr>
            <w:t xml:space="preserve"> Verification of ultimate limit state displacement for prestressed precast concrete connections</w:t>
          </w:r>
          <w:r>
            <w:tab/>
          </w:r>
          <w:r>
            <w:t>72</w:t>
          </w:r>
        </w:p>
        <w:p>
          <w:pPr>
            <w:pStyle w:val="23"/>
            <w:rPr>
              <w:rFonts w:asciiTheme="minorHAnsi" w:hAnsiTheme="minorHAnsi" w:eastAsiaTheme="minorEastAsia" w:cstheme="minorBidi"/>
              <w:sz w:val="21"/>
              <w:szCs w:val="22"/>
            </w:rPr>
          </w:pPr>
          <w:r>
            <w:rPr>
              <w:rStyle w:val="40"/>
              <w:b/>
              <w:bCs/>
            </w:rPr>
            <w:t>Appendix B</w:t>
          </w:r>
          <w:r>
            <w:rPr>
              <w:rStyle w:val="40"/>
            </w:rPr>
            <w:t xml:space="preserve"> Elastoplastic analysis model for critical connections in prestressed precast concrete structures</w:t>
          </w:r>
          <w:r>
            <w:tab/>
          </w:r>
          <w:r>
            <w:t>76</w:t>
          </w:r>
        </w:p>
        <w:p>
          <w:pPr>
            <w:pStyle w:val="23"/>
            <w:rPr>
              <w:rFonts w:asciiTheme="minorHAnsi" w:hAnsiTheme="minorHAnsi" w:eastAsiaTheme="minorEastAsia" w:cstheme="minorBidi"/>
              <w:sz w:val="21"/>
              <w:szCs w:val="22"/>
            </w:rPr>
          </w:pPr>
          <w:r>
            <w:rPr>
              <w:rStyle w:val="40"/>
              <w:b/>
              <w:bCs/>
            </w:rPr>
            <w:t>Appendix C</w:t>
          </w:r>
          <w:r>
            <w:rPr>
              <w:rStyle w:val="40"/>
            </w:rPr>
            <w:t xml:space="preserve"> Precast member factory inspection checklist</w:t>
          </w:r>
          <w:r>
            <w:tab/>
          </w:r>
          <w:r>
            <w:t>79</w:t>
          </w:r>
        </w:p>
        <w:p>
          <w:pPr>
            <w:pStyle w:val="23"/>
            <w:rPr>
              <w:rFonts w:asciiTheme="minorHAnsi" w:hAnsiTheme="minorHAnsi" w:eastAsiaTheme="minorEastAsia" w:cstheme="minorBidi"/>
              <w:sz w:val="21"/>
              <w:szCs w:val="22"/>
            </w:rPr>
          </w:pPr>
          <w:r>
            <w:rPr>
              <w:rStyle w:val="40"/>
              <w:b/>
              <w:bCs/>
            </w:rPr>
            <w:t>Appendix D</w:t>
          </w:r>
          <w:r>
            <w:rPr>
              <w:rStyle w:val="40"/>
            </w:rPr>
            <w:t xml:space="preserve"> Precast member installation inspection checklist</w:t>
          </w:r>
          <w:r>
            <w:tab/>
          </w:r>
          <w:r>
            <w:t>81</w:t>
          </w:r>
        </w:p>
        <w:p>
          <w:pPr>
            <w:pStyle w:val="23"/>
            <w:rPr>
              <w:rFonts w:asciiTheme="minorHAnsi" w:hAnsiTheme="minorHAnsi" w:eastAsiaTheme="minorEastAsia" w:cstheme="minorBidi"/>
              <w:sz w:val="21"/>
              <w:szCs w:val="22"/>
            </w:rPr>
          </w:pPr>
          <w:r>
            <w:rPr>
              <w:rStyle w:val="40"/>
            </w:rPr>
            <w:t>Explanation of terms in this standard</w:t>
          </w:r>
          <w:r>
            <w:tab/>
          </w:r>
          <w:r>
            <w:t>82</w:t>
          </w:r>
        </w:p>
        <w:p>
          <w:pPr>
            <w:pStyle w:val="23"/>
            <w:rPr>
              <w:rFonts w:asciiTheme="minorHAnsi" w:hAnsiTheme="minorHAnsi" w:eastAsiaTheme="minorEastAsia" w:cstheme="minorBidi"/>
              <w:sz w:val="21"/>
              <w:szCs w:val="22"/>
            </w:rPr>
          </w:pPr>
          <w:r>
            <w:rPr>
              <w:rStyle w:val="40"/>
            </w:rPr>
            <w:t>List of quoted standards</w:t>
          </w:r>
          <w:r>
            <w:tab/>
          </w:r>
          <w:r>
            <w:t>83</w:t>
          </w:r>
        </w:p>
        <w:p>
          <w:pPr>
            <w:pStyle w:val="23"/>
            <w:rPr>
              <w:rFonts w:asciiTheme="minorHAnsi" w:hAnsiTheme="minorHAnsi" w:eastAsiaTheme="minorEastAsia" w:cstheme="minorBidi"/>
              <w:sz w:val="21"/>
              <w:szCs w:val="22"/>
            </w:rPr>
          </w:pPr>
          <w:r>
            <w:rPr>
              <w:rStyle w:val="40"/>
              <w:snapToGrid w:val="0"/>
            </w:rPr>
            <w:t>Commentary</w:t>
          </w:r>
          <w:r>
            <w:tab/>
          </w:r>
          <w:r>
            <w:t>85</w:t>
          </w:r>
        </w:p>
        <w:p>
          <w:pPr>
            <w:rPr>
              <w:lang w:val="zh-CN"/>
            </w:rPr>
          </w:pPr>
        </w:p>
      </w:sdtContent>
    </w:sdt>
    <w:p>
      <w:pPr>
        <w:rPr>
          <w:lang w:val="zh-CN"/>
        </w:rPr>
      </w:pPr>
    </w:p>
    <w:p>
      <w:pPr>
        <w:rPr>
          <w:lang w:val="zh-CN"/>
        </w:rPr>
      </w:pPr>
    </w:p>
    <w:p>
      <w:pPr>
        <w:ind w:firstLine="569"/>
        <w:rPr>
          <w:b/>
          <w:bCs/>
          <w:lang w:val="zh-CN"/>
        </w:rPr>
        <w:sectPr>
          <w:footerReference r:id="rId3" w:type="default"/>
          <w:footerReference r:id="rId4" w:type="even"/>
          <w:pgSz w:w="11906" w:h="16838"/>
          <w:pgMar w:top="1440" w:right="1800" w:bottom="1440" w:left="1800" w:header="851" w:footer="992" w:gutter="0"/>
          <w:pgNumType w:start="1"/>
          <w:cols w:space="425" w:num="1"/>
          <w:docGrid w:type="lines" w:linePitch="326" w:charSpace="0"/>
        </w:sectPr>
      </w:pPr>
    </w:p>
    <w:p>
      <w:pPr>
        <w:pStyle w:val="2"/>
      </w:pPr>
      <w:bookmarkStart w:id="0" w:name="_Toc202345801"/>
      <w:bookmarkStart w:id="1" w:name="_Toc91664501"/>
      <w:bookmarkStart w:id="2" w:name="_Toc92182237"/>
      <w:bookmarkStart w:id="3" w:name="_Toc91664391"/>
      <w:bookmarkStart w:id="4" w:name="_Toc86067805"/>
      <w:bookmarkStart w:id="5" w:name="charpter1"/>
      <w:r>
        <w:t>总则</w:t>
      </w:r>
      <w:bookmarkEnd w:id="0"/>
      <w:bookmarkEnd w:id="1"/>
      <w:bookmarkEnd w:id="2"/>
      <w:bookmarkEnd w:id="3"/>
      <w:bookmarkEnd w:id="4"/>
    </w:p>
    <w:p>
      <w:pPr>
        <w:pStyle w:val="3"/>
        <w:numPr>
          <w:ilvl w:val="1"/>
          <w:numId w:val="5"/>
        </w:numPr>
        <w:rPr>
          <w:vanish/>
        </w:rPr>
      </w:pPr>
      <w:r>
        <w:rPr>
          <w:vanish/>
        </w:rPr>
        <w:t>X</w:t>
      </w:r>
      <w:r>
        <w:rPr>
          <w:rFonts w:hint="eastAsia"/>
          <w:vanish/>
        </w:rPr>
        <w:t>xx</w:t>
      </w:r>
      <w:bookmarkStart w:id="6" w:name="_Toc198108415"/>
      <w:bookmarkEnd w:id="6"/>
      <w:bookmarkStart w:id="7" w:name="_Toc197958523"/>
      <w:bookmarkEnd w:id="7"/>
      <w:bookmarkStart w:id="8" w:name="_Toc202344138"/>
      <w:bookmarkEnd w:id="8"/>
      <w:bookmarkStart w:id="9" w:name="_Toc198110350"/>
      <w:bookmarkEnd w:id="9"/>
      <w:bookmarkStart w:id="10" w:name="_Toc198037515"/>
      <w:bookmarkEnd w:id="10"/>
      <w:bookmarkStart w:id="11" w:name="_Toc202344758"/>
      <w:bookmarkEnd w:id="11"/>
      <w:bookmarkStart w:id="12" w:name="_Toc198028795"/>
      <w:bookmarkEnd w:id="12"/>
      <w:bookmarkStart w:id="13" w:name="_Toc198027503"/>
      <w:bookmarkEnd w:id="13"/>
      <w:bookmarkStart w:id="14" w:name="_Toc197960643"/>
      <w:bookmarkEnd w:id="14"/>
      <w:bookmarkStart w:id="15" w:name="_Toc202344947"/>
      <w:bookmarkEnd w:id="15"/>
      <w:bookmarkStart w:id="16" w:name="_Toc198042811"/>
      <w:bookmarkEnd w:id="16"/>
      <w:bookmarkStart w:id="17" w:name="_Toc198557498"/>
      <w:bookmarkEnd w:id="17"/>
      <w:bookmarkStart w:id="18" w:name="_Toc198554854"/>
      <w:bookmarkEnd w:id="18"/>
      <w:bookmarkStart w:id="19" w:name="_Toc198554779"/>
      <w:bookmarkEnd w:id="19"/>
      <w:bookmarkStart w:id="20" w:name="_Toc198710763"/>
      <w:bookmarkEnd w:id="20"/>
      <w:bookmarkStart w:id="21" w:name="_Toc202345802"/>
      <w:bookmarkEnd w:id="21"/>
      <w:bookmarkStart w:id="22" w:name="_Toc198019707"/>
      <w:bookmarkEnd w:id="22"/>
      <w:bookmarkStart w:id="23" w:name="_Toc202345118"/>
      <w:bookmarkEnd w:id="23"/>
    </w:p>
    <w:p>
      <w:pPr>
        <w:pStyle w:val="4"/>
      </w:pPr>
      <w:bookmarkStart w:id="24" w:name="_Ref88654197"/>
      <w:r>
        <w:rPr>
          <w:rFonts w:hint="eastAsia"/>
        </w:rPr>
        <w:t>为促进预应力压接装配式结构技术的工程应用，规范预应力压接装配式结构的设计、制作、施工和验收，做到安全适用、经济高效、绿色环保，制定本规程。</w:t>
      </w:r>
      <w:bookmarkEnd w:id="24"/>
    </w:p>
    <w:p>
      <w:pPr>
        <w:pStyle w:val="4"/>
      </w:pPr>
      <w:bookmarkStart w:id="25" w:name="_Ref86072629"/>
      <w:bookmarkStart w:id="26" w:name="_Toc86067807"/>
      <w:r>
        <w:t>本规程适用于</w:t>
      </w:r>
      <w:r>
        <w:rPr>
          <w:rFonts w:hint="eastAsia"/>
        </w:rPr>
        <w:t>北京市抗震设防烈度8度及以下地区，采用预应力压接装配式结构的新建、扩建和改建建筑。</w:t>
      </w:r>
      <w:bookmarkEnd w:id="25"/>
      <w:bookmarkEnd w:id="26"/>
    </w:p>
    <w:p>
      <w:pPr>
        <w:pStyle w:val="4"/>
      </w:pPr>
      <w:bookmarkStart w:id="27" w:name="_Toc86067809"/>
      <w:bookmarkStart w:id="28" w:name="_Ref86072738"/>
      <w:r>
        <w:t>预应力压接装配</w:t>
      </w:r>
      <w:r>
        <w:rPr>
          <w:rFonts w:hint="eastAsia"/>
        </w:rPr>
        <w:t>式结构</w:t>
      </w:r>
      <w:r>
        <w:t>的设计、</w:t>
      </w:r>
      <w:r>
        <w:rPr>
          <w:rFonts w:hint="eastAsia"/>
        </w:rPr>
        <w:t>制作</w:t>
      </w:r>
      <w:r>
        <w:t>、</w:t>
      </w:r>
      <w:r>
        <w:rPr>
          <w:rFonts w:hint="eastAsia"/>
        </w:rPr>
        <w:t>施工</w:t>
      </w:r>
      <w:r>
        <w:t>与验收，除应</w:t>
      </w:r>
      <w:r>
        <w:rPr>
          <w:rFonts w:hint="eastAsia"/>
        </w:rPr>
        <w:t>符合</w:t>
      </w:r>
      <w:r>
        <w:t>本规程外，尚应符合国家</w:t>
      </w:r>
      <w:r>
        <w:rPr>
          <w:rFonts w:hint="eastAsia"/>
        </w:rPr>
        <w:t>和北京市</w:t>
      </w:r>
      <w:r>
        <w:t>现行有关标准的规定。</w:t>
      </w:r>
      <w:bookmarkEnd w:id="27"/>
      <w:bookmarkEnd w:id="28"/>
    </w:p>
    <w:p/>
    <w:p>
      <w:pPr>
        <w:pStyle w:val="82"/>
        <w:ind w:firstLine="480"/>
      </w:pPr>
      <w:r>
        <w:br w:type="page"/>
      </w:r>
    </w:p>
    <w:p>
      <w:pPr>
        <w:pStyle w:val="2"/>
      </w:pPr>
      <w:bookmarkStart w:id="29" w:name="_Toc92182238"/>
      <w:bookmarkStart w:id="30" w:name="_Toc202345803"/>
      <w:bookmarkStart w:id="31" w:name="_Toc91664392"/>
      <w:bookmarkStart w:id="32" w:name="_Toc91664502"/>
      <w:bookmarkStart w:id="33" w:name="_Toc86067810"/>
      <w:r>
        <w:t>术语和符号</w:t>
      </w:r>
      <w:bookmarkEnd w:id="29"/>
      <w:bookmarkEnd w:id="30"/>
      <w:bookmarkEnd w:id="31"/>
      <w:bookmarkEnd w:id="32"/>
      <w:bookmarkEnd w:id="33"/>
    </w:p>
    <w:p>
      <w:pPr>
        <w:pStyle w:val="3"/>
      </w:pPr>
      <w:bookmarkStart w:id="34" w:name="_Toc92182239"/>
      <w:bookmarkStart w:id="35" w:name="_Toc86067811"/>
      <w:bookmarkStart w:id="36" w:name="_Toc202345804"/>
      <w:bookmarkStart w:id="37" w:name="_Toc91664503"/>
      <w:bookmarkStart w:id="38" w:name="_Toc91664393"/>
      <w:r>
        <w:t>术语</w:t>
      </w:r>
      <w:bookmarkEnd w:id="34"/>
      <w:bookmarkEnd w:id="35"/>
      <w:bookmarkEnd w:id="36"/>
      <w:bookmarkEnd w:id="37"/>
      <w:bookmarkEnd w:id="38"/>
      <w:bookmarkStart w:id="39" w:name="_Toc197444869"/>
      <w:bookmarkEnd w:id="39"/>
    </w:p>
    <w:p>
      <w:pPr>
        <w:pStyle w:val="4"/>
      </w:pPr>
      <w:bookmarkStart w:id="40" w:name="_Toc86067813"/>
      <w:bookmarkStart w:id="41" w:name="_Ref86073733"/>
      <w:bookmarkStart w:id="42" w:name="_Toc86067812"/>
      <w:bookmarkStart w:id="43" w:name="_Ref86073297"/>
      <w:r>
        <w:t>预应力压接装配</w:t>
      </w:r>
      <w:r>
        <w:rPr>
          <w:rFonts w:hint="eastAsia"/>
        </w:rPr>
        <w:t>式结构</w:t>
      </w:r>
      <w:r>
        <w:tab/>
      </w:r>
      <w:r>
        <w:t xml:space="preserve"> prestressed precast </w:t>
      </w:r>
      <w:bookmarkEnd w:id="40"/>
      <w:bookmarkEnd w:id="41"/>
      <w:r>
        <w:rPr>
          <w:rFonts w:hint="eastAsia"/>
        </w:rPr>
        <w:t>st</w:t>
      </w:r>
      <w:r>
        <w:t>ructure</w:t>
      </w:r>
    </w:p>
    <w:p>
      <w:pPr>
        <w:pStyle w:val="5"/>
      </w:pPr>
      <w:r>
        <w:rPr>
          <w:rFonts w:hint="eastAsia"/>
        </w:rPr>
        <w:t>预制构件之间通过后张预应力筋在施工现场装配连接形成的具有抵抗竖向或侧向作用能力的装配结构。</w:t>
      </w:r>
    </w:p>
    <w:p>
      <w:pPr>
        <w:pStyle w:val="4"/>
      </w:pPr>
      <w:r>
        <w:t>预应力压接装配</w:t>
      </w:r>
      <w:r>
        <w:rPr>
          <w:rFonts w:hint="eastAsia"/>
        </w:rPr>
        <w:t>式框架</w:t>
      </w:r>
      <w:r>
        <w:tab/>
      </w:r>
      <w:r>
        <w:t xml:space="preserve"> prestressed precast </w:t>
      </w:r>
      <w:r>
        <w:rPr>
          <w:rFonts w:hint="eastAsia"/>
        </w:rPr>
        <w:t>fr</w:t>
      </w:r>
      <w:r>
        <w:t>ame</w:t>
      </w:r>
    </w:p>
    <w:p>
      <w:pPr>
        <w:pStyle w:val="5"/>
      </w:pPr>
      <w:r>
        <w:rPr>
          <w:rFonts w:hint="eastAsia"/>
        </w:rPr>
        <w:t>全部或部分由</w:t>
      </w:r>
      <w:r>
        <w:t>预应力压接装配</w:t>
      </w:r>
      <w:r>
        <w:rPr>
          <w:rFonts w:hint="eastAsia"/>
        </w:rPr>
        <w:t>自复位梁柱节点或梁板柱复合节点组成的框架。简称压接装配框架。</w:t>
      </w:r>
    </w:p>
    <w:p>
      <w:pPr>
        <w:pStyle w:val="4"/>
      </w:pPr>
      <w:r>
        <w:rPr>
          <w:rFonts w:hint="eastAsia"/>
        </w:rPr>
        <w:t>预应力压接装配式板柱</w:t>
      </w:r>
      <w:r>
        <w:tab/>
      </w:r>
      <w:r>
        <w:t xml:space="preserve"> prestressed precast </w:t>
      </w:r>
      <w:r>
        <w:rPr>
          <w:rFonts w:hint="eastAsia"/>
        </w:rPr>
        <w:t>s</w:t>
      </w:r>
      <w:r>
        <w:t>lab-column s</w:t>
      </w:r>
      <w:r>
        <w:rPr>
          <w:rFonts w:hint="eastAsia"/>
        </w:rPr>
        <w:t>ys</w:t>
      </w:r>
      <w:r>
        <w:t>tem</w:t>
      </w:r>
    </w:p>
    <w:p>
      <w:pPr>
        <w:pStyle w:val="5"/>
      </w:pPr>
      <w:r>
        <w:rPr>
          <w:rFonts w:hint="eastAsia"/>
        </w:rPr>
        <w:t>由预应力压接装配混凝土板柱节点组成的整体竖向承载系统。简称压接装配板柱。</w:t>
      </w:r>
    </w:p>
    <w:p>
      <w:pPr>
        <w:pStyle w:val="4"/>
      </w:pPr>
      <w:r>
        <w:t>预应力压接装配</w:t>
      </w:r>
      <w:r>
        <w:rPr>
          <w:rFonts w:hint="eastAsia"/>
        </w:rPr>
        <w:t xml:space="preserve">自复位梁柱节点 </w:t>
      </w:r>
      <w:r>
        <w:tab/>
      </w:r>
      <w:r>
        <w:t>prestressed</w:t>
      </w:r>
      <w:r>
        <w:rPr>
          <w:rFonts w:hint="eastAsia"/>
        </w:rPr>
        <w:t xml:space="preserve"> </w:t>
      </w:r>
      <w:r>
        <w:t>precast</w:t>
      </w:r>
      <w:r>
        <w:rPr>
          <w:rFonts w:hint="eastAsia"/>
        </w:rPr>
        <w:t xml:space="preserve"> </w:t>
      </w:r>
      <w:r>
        <w:t>concrete beam-column connection</w:t>
      </w:r>
      <w:r>
        <w:rPr>
          <w:rFonts w:hint="eastAsia"/>
        </w:rPr>
        <w:t xml:space="preserve"> with self-centering capacity</w:t>
      </w:r>
    </w:p>
    <w:p>
      <w:pPr>
        <w:pStyle w:val="5"/>
      </w:pPr>
      <w:r>
        <w:t>预制柱</w:t>
      </w:r>
      <w:r>
        <w:rPr>
          <w:rFonts w:hint="eastAsia"/>
        </w:rPr>
        <w:t>和预制梁</w:t>
      </w:r>
      <w:r>
        <w:t>通过</w:t>
      </w:r>
      <w:r>
        <w:rPr>
          <w:rFonts w:hint="eastAsia"/>
        </w:rPr>
        <w:t>穿过梁截面中心的</w:t>
      </w:r>
      <w:r>
        <w:t>后张无粘结预应力</w:t>
      </w:r>
      <w:r>
        <w:rPr>
          <w:rFonts w:hint="eastAsia"/>
        </w:rPr>
        <w:t>筋</w:t>
      </w:r>
      <w:r>
        <w:t>、</w:t>
      </w:r>
      <w:r>
        <w:rPr>
          <w:rFonts w:hint="eastAsia"/>
        </w:rPr>
        <w:t>穿过梁端上部和下部且截面积相等的</w:t>
      </w:r>
      <w:r>
        <w:t>耗能钢筋</w:t>
      </w:r>
      <w:r>
        <w:rPr>
          <w:rFonts w:hint="eastAsia"/>
        </w:rPr>
        <w:t>共同作用，</w:t>
      </w:r>
      <w:r>
        <w:t>具有</w:t>
      </w:r>
      <w:r>
        <w:rPr>
          <w:rFonts w:hint="eastAsia"/>
        </w:rPr>
        <w:t>抗</w:t>
      </w:r>
      <w:r>
        <w:t>弯、耗能和</w:t>
      </w:r>
      <w:r>
        <w:rPr>
          <w:rFonts w:hint="eastAsia"/>
        </w:rPr>
        <w:t>良好</w:t>
      </w:r>
      <w:r>
        <w:t>自复位能力的装配式梁柱刚接节点。简称</w:t>
      </w:r>
      <w:r>
        <w:rPr>
          <w:rFonts w:hint="eastAsia"/>
        </w:rPr>
        <w:t>自复位梁柱节点。</w:t>
      </w:r>
    </w:p>
    <w:p>
      <w:pPr>
        <w:pStyle w:val="4"/>
      </w:pPr>
      <w:bookmarkStart w:id="44" w:name="_Ref88034083"/>
      <w:r>
        <w:t>预应力压接装配</w:t>
      </w:r>
      <w:r>
        <w:rPr>
          <w:rFonts w:hint="eastAsia"/>
        </w:rPr>
        <w:t xml:space="preserve">梁板柱复合节点 </w:t>
      </w:r>
      <w:r>
        <w:tab/>
      </w:r>
      <w:r>
        <w:t>prestressed</w:t>
      </w:r>
      <w:r>
        <w:rPr>
          <w:rFonts w:hint="eastAsia"/>
        </w:rPr>
        <w:t xml:space="preserve"> </w:t>
      </w:r>
      <w:r>
        <w:t>precast concrete beam-column</w:t>
      </w:r>
      <w:r>
        <w:rPr>
          <w:rFonts w:hint="eastAsia"/>
        </w:rPr>
        <w:t>-slab</w:t>
      </w:r>
      <w:r>
        <w:t xml:space="preserve"> connection</w:t>
      </w:r>
      <w:bookmarkEnd w:id="44"/>
    </w:p>
    <w:p>
      <w:pPr>
        <w:pStyle w:val="5"/>
      </w:pPr>
      <w:r>
        <w:t>预制柱</w:t>
      </w:r>
      <w:r>
        <w:rPr>
          <w:rFonts w:hint="eastAsia"/>
        </w:rPr>
        <w:t>、叠合梁和叠合板</w:t>
      </w:r>
      <w:r>
        <w:t>通过后张无粘结预应力</w:t>
      </w:r>
      <w:r>
        <w:rPr>
          <w:rFonts w:hint="eastAsia"/>
        </w:rPr>
        <w:t>筋</w:t>
      </w:r>
      <w:r>
        <w:t>、</w:t>
      </w:r>
      <w:r>
        <w:rPr>
          <w:rFonts w:hint="eastAsia"/>
        </w:rPr>
        <w:t>位于预制梁端上部后浇叠合层内的</w:t>
      </w:r>
      <w:r>
        <w:t>耗能钢筋</w:t>
      </w:r>
      <w:r>
        <w:rPr>
          <w:rFonts w:hint="eastAsia"/>
        </w:rPr>
        <w:t>和预制梁板上部的</w:t>
      </w:r>
      <w:r>
        <w:t>后浇混凝土叠合层</w:t>
      </w:r>
      <w:r>
        <w:rPr>
          <w:rFonts w:hint="eastAsia"/>
        </w:rPr>
        <w:t>共同作用，</w:t>
      </w:r>
      <w:r>
        <w:t>具有抗弯、耗能和</w:t>
      </w:r>
      <w:r>
        <w:rPr>
          <w:rFonts w:hint="eastAsia"/>
        </w:rPr>
        <w:t>一定</w:t>
      </w:r>
      <w:r>
        <w:t>自复位能力的装配式梁</w:t>
      </w:r>
      <w:r>
        <w:rPr>
          <w:rFonts w:hint="eastAsia"/>
        </w:rPr>
        <w:t>板</w:t>
      </w:r>
      <w:r>
        <w:t>柱刚接节点。简称</w:t>
      </w:r>
      <w:r>
        <w:rPr>
          <w:rFonts w:hint="eastAsia"/>
        </w:rPr>
        <w:t>梁板柱复合节点</w:t>
      </w:r>
      <w:r>
        <w:t>。</w:t>
      </w:r>
    </w:p>
    <w:p>
      <w:pPr>
        <w:pStyle w:val="4"/>
      </w:pPr>
      <w:r>
        <w:t>预应力压接装配混凝土</w:t>
      </w:r>
      <w:r>
        <w:rPr>
          <w:rFonts w:hint="eastAsia"/>
        </w:rPr>
        <w:t xml:space="preserve">板柱节点 </w:t>
      </w:r>
      <w:r>
        <w:tab/>
      </w:r>
      <w:r>
        <w:t xml:space="preserve">prestressed precast concrete </w:t>
      </w:r>
      <w:r>
        <w:rPr>
          <w:rFonts w:hint="eastAsia"/>
        </w:rPr>
        <w:t>s</w:t>
      </w:r>
      <w:r>
        <w:t>lab-column connection</w:t>
      </w:r>
    </w:p>
    <w:p>
      <w:pPr>
        <w:pStyle w:val="5"/>
      </w:pPr>
      <w:r>
        <w:rPr>
          <w:rFonts w:hint="eastAsia"/>
        </w:rPr>
        <w:t>由预制板和带水平孔道的预制柱进行装配，通过张拉楼盖、屋盖中各方向板缝的有粘接预应力筋实现板柱间的有效连接，具有一定抗弯能力的整体受力节点。</w:t>
      </w:r>
      <w:r>
        <w:t>简称压接装配</w:t>
      </w:r>
      <w:r>
        <w:rPr>
          <w:rFonts w:hint="eastAsia"/>
        </w:rPr>
        <w:t>板柱</w:t>
      </w:r>
      <w:r>
        <w:t>节点。</w:t>
      </w:r>
    </w:p>
    <w:bookmarkEnd w:id="42"/>
    <w:bookmarkEnd w:id="43"/>
    <w:p>
      <w:pPr>
        <w:pStyle w:val="4"/>
      </w:pPr>
      <w:bookmarkStart w:id="45" w:name="_Toc86067818"/>
      <w:bookmarkStart w:id="46" w:name="_Ref91604371"/>
      <w:r>
        <w:t>柱端钢筋耗能型节点</w:t>
      </w:r>
      <w:r>
        <w:tab/>
      </w:r>
      <w:r>
        <w:t>column base connection with energy-dissipating bar</w:t>
      </w:r>
      <w:bookmarkEnd w:id="45"/>
      <w:bookmarkEnd w:id="46"/>
    </w:p>
    <w:p>
      <w:pPr>
        <w:pStyle w:val="5"/>
      </w:pPr>
      <w:r>
        <w:rPr>
          <w:rFonts w:hint="eastAsia"/>
        </w:rPr>
        <w:t>采用柱端耗能钢筋连接基础或下部相邻柱的柱端</w:t>
      </w:r>
      <w:r>
        <w:t>连接节点。</w:t>
      </w:r>
    </w:p>
    <w:p>
      <w:pPr>
        <w:pStyle w:val="4"/>
      </w:pPr>
      <w:bookmarkStart w:id="47" w:name="_Toc86067819"/>
      <w:bookmarkStart w:id="48" w:name="_Ref91604396"/>
      <w:r>
        <w:t>柱端外包钢板低损伤节点</w:t>
      </w:r>
      <w:r>
        <w:tab/>
      </w:r>
      <w:r>
        <w:t>low-damage column base connection encased by steel plates</w:t>
      </w:r>
      <w:bookmarkEnd w:id="47"/>
      <w:bookmarkEnd w:id="48"/>
    </w:p>
    <w:p>
      <w:pPr>
        <w:pStyle w:val="5"/>
      </w:pPr>
      <w:r>
        <w:rPr>
          <w:rFonts w:hint="eastAsia"/>
        </w:rPr>
        <w:t>在</w:t>
      </w:r>
      <w:r>
        <w:t>柱端部</w:t>
      </w:r>
      <w:r>
        <w:rPr>
          <w:rFonts w:hint="eastAsia"/>
        </w:rPr>
        <w:t>一定高度范围内</w:t>
      </w:r>
      <w:r>
        <w:t>设置</w:t>
      </w:r>
      <w:r>
        <w:rPr>
          <w:rFonts w:hint="eastAsia"/>
        </w:rPr>
        <w:t>，用于加强混凝土约束的</w:t>
      </w:r>
      <w:r>
        <w:t>外包钢板</w:t>
      </w:r>
      <w:r>
        <w:rPr>
          <w:rFonts w:hint="eastAsia"/>
        </w:rPr>
        <w:t>的柱端钢筋耗能型节点</w:t>
      </w:r>
      <w:r>
        <w:t>。</w:t>
      </w:r>
    </w:p>
    <w:p>
      <w:pPr>
        <w:pStyle w:val="4"/>
      </w:pPr>
      <w:bookmarkStart w:id="49" w:name="_Ref88034211"/>
      <w:bookmarkStart w:id="50" w:name="_Toc86067815"/>
      <w:r>
        <w:t>梁端耗能钢筋</w:t>
      </w:r>
      <w:r>
        <w:tab/>
      </w:r>
      <w:r>
        <w:t>energy-dissipating reinforcement in beam</w:t>
      </w:r>
      <w:bookmarkEnd w:id="49"/>
      <w:bookmarkEnd w:id="50"/>
    </w:p>
    <w:p>
      <w:pPr>
        <w:pStyle w:val="5"/>
      </w:pPr>
      <w:r>
        <w:rPr>
          <w:rFonts w:hint="eastAsia"/>
        </w:rPr>
        <w:t>具有一定长度预设无粘结段或削弱无粘接段，通过梁端部预设段的集中变形耗散地震能量的梁端纵向钢筋。</w:t>
      </w:r>
    </w:p>
    <w:p>
      <w:pPr>
        <w:pStyle w:val="4"/>
      </w:pPr>
      <w:bookmarkStart w:id="51" w:name="_Toc86067817"/>
      <w:bookmarkStart w:id="52" w:name="_Ref88034409"/>
      <w:r>
        <w:t>附加抗剪钢筋</w:t>
      </w:r>
      <w:r>
        <w:tab/>
      </w:r>
      <w:r>
        <w:t>additional shear reinforcement</w:t>
      </w:r>
      <w:bookmarkEnd w:id="51"/>
      <w:bookmarkEnd w:id="52"/>
    </w:p>
    <w:p>
      <w:pPr>
        <w:pStyle w:val="5"/>
      </w:pPr>
      <w:r>
        <w:rPr>
          <w:rFonts w:hint="eastAsia"/>
        </w:rPr>
        <w:t>两端分别锚固于预制柱与梁端部连接钢筋，主要用于承担梁端剪力、增强结构整体性、防止意外情况下梁柱完全脱落产生破坏，增强框架抗连续倒塌能力。</w:t>
      </w:r>
    </w:p>
    <w:p>
      <w:pPr>
        <w:pStyle w:val="4"/>
      </w:pPr>
      <w:bookmarkStart w:id="53" w:name="_Toc86067816"/>
      <w:bookmarkStart w:id="54" w:name="_Ref88034298"/>
      <w:r>
        <w:t>柱端耗能钢筋</w:t>
      </w:r>
      <w:r>
        <w:tab/>
      </w:r>
      <w:r>
        <w:t>energy-dissipating reinforcement in column</w:t>
      </w:r>
      <w:bookmarkEnd w:id="53"/>
      <w:bookmarkEnd w:id="54"/>
    </w:p>
    <w:p>
      <w:pPr>
        <w:pStyle w:val="5"/>
      </w:pPr>
      <w:r>
        <w:rPr>
          <w:rFonts w:hint="eastAsia"/>
        </w:rPr>
        <w:t>具有一定长度预设无粘结段或削弱无粘接段，通过柱身端部或相连基础内预设段的集中变形耗散地震能量的柱端纵向钢筋。</w:t>
      </w:r>
    </w:p>
    <w:p/>
    <w:p>
      <w:pPr>
        <w:pStyle w:val="3"/>
      </w:pPr>
      <w:bookmarkStart w:id="55" w:name="_Toc86067820"/>
      <w:bookmarkStart w:id="56" w:name="_Toc202345805"/>
      <w:bookmarkStart w:id="57" w:name="_Toc92182240"/>
      <w:bookmarkStart w:id="58" w:name="_Toc91664504"/>
      <w:bookmarkStart w:id="59" w:name="_Toc91664394"/>
      <w:r>
        <w:t>符号</w:t>
      </w:r>
      <w:bookmarkEnd w:id="55"/>
      <w:bookmarkEnd w:id="56"/>
      <w:bookmarkEnd w:id="57"/>
      <w:bookmarkEnd w:id="58"/>
      <w:bookmarkEnd w:id="59"/>
      <w:bookmarkStart w:id="60" w:name="_Toc197444870"/>
      <w:bookmarkEnd w:id="60"/>
    </w:p>
    <w:p>
      <w:pPr>
        <w:pStyle w:val="4"/>
      </w:pPr>
      <w:bookmarkStart w:id="61" w:name="_Toc86067822"/>
      <w:bookmarkStart w:id="62" w:name="_Toc86067821"/>
      <w:r>
        <w:t>作用、作用效应及承载力</w:t>
      </w:r>
      <w:bookmarkEnd w:id="61"/>
      <w:r>
        <w:rPr>
          <w:rFonts w:hint="eastAsia"/>
        </w:rPr>
        <w:t>：</w:t>
      </w:r>
      <w:r>
        <w:t xml:space="preserve"> </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p</m:t>
            </m:r>
            <m:ctrlPr>
              <w:rPr>
                <w:rFonts w:ascii="Cambria Math" w:hAnsi="Cambria Math"/>
                <w:i/>
                <w:iCs/>
              </w:rPr>
            </m:ctrlPr>
          </m:sub>
        </m:sSub>
      </m:oMath>
      <w:r>
        <w:t>——</w:t>
      </w:r>
      <w:r>
        <w:tab/>
      </w:r>
      <w:r>
        <w:t>预应力钢绞线的应力</w:t>
      </w:r>
      <w:r>
        <w:rPr>
          <w:rFonts w:hint="eastAsia"/>
        </w:rPr>
        <w:t>；</w:t>
      </w:r>
    </w:p>
    <w:p>
      <w:pPr>
        <w:pStyle w:val="86"/>
      </w:pPr>
      <w:r>
        <w:tab/>
      </w:r>
      <m:oMath>
        <m:sSub>
          <m:sSubPr>
            <m:ctrlPr>
              <w:rPr>
                <w:rFonts w:ascii="XITS Math" w:hAnsi="XITS Math" w:cs="XITS Math"/>
              </w:rPr>
            </m:ctrlPr>
          </m:sSubPr>
          <m:e>
            <m:r>
              <m:rPr/>
              <w:rPr>
                <w:rFonts w:ascii="XITS Math" w:hAnsi="XITS Math" w:cs="XITS Math"/>
              </w:rPr>
              <m:t>σ</m:t>
            </m:r>
            <m:ctrlPr>
              <w:rPr>
                <w:rFonts w:ascii="XITS Math" w:hAnsi="XITS Math" w:cs="XITS Math"/>
              </w:rPr>
            </m:ctrlPr>
          </m:e>
          <m:sub>
            <m:r>
              <m:rPr/>
              <w:rPr>
                <w:rFonts w:ascii="XITS Math" w:hAnsi="XITS Math" w:cs="XITS Math"/>
              </w:rPr>
              <m:t>pe</m:t>
            </m:r>
            <m:ctrlPr>
              <w:rPr>
                <w:rFonts w:ascii="XITS Math" w:hAnsi="XITS Math" w:cs="XITS Math"/>
              </w:rPr>
            </m:ctrlPr>
          </m:sub>
        </m:sSub>
      </m:oMath>
      <w:r>
        <w:t>——</w:t>
      </w:r>
      <w:r>
        <w:tab/>
      </w:r>
      <w:r>
        <w:rPr>
          <w:rFonts w:hint="eastAsia"/>
        </w:rPr>
        <w:t>考虑损失后预应力钢绞线的有效应力；</w:t>
      </w:r>
    </w:p>
    <w:p>
      <w:pPr>
        <w:pStyle w:val="86"/>
      </w:pPr>
      <w:r>
        <w:tab/>
      </w:r>
      <m:oMath>
        <m:sSub>
          <m:sSubPr>
            <m:ctrlPr>
              <w:rPr>
                <w:rFonts w:ascii="XITS Math" w:hAnsi="XITS Math" w:cs="XITS Math"/>
              </w:rPr>
            </m:ctrlPr>
          </m:sSubPr>
          <m:e>
            <m:r>
              <m:rPr/>
              <w:rPr>
                <w:rFonts w:ascii="XITS Math" w:hAnsi="XITS Math" w:cs="XITS Math"/>
              </w:rPr>
              <m:t>σ</m:t>
            </m:r>
            <m:ctrlPr>
              <w:rPr>
                <w:rFonts w:ascii="XITS Math" w:hAnsi="XITS Math" w:cs="XITS Math"/>
              </w:rPr>
            </m:ctrlPr>
          </m:e>
          <m:sub>
            <m:r>
              <m:rPr/>
              <w:rPr>
                <w:rFonts w:ascii="XITS Math" w:hAnsi="XITS Math" w:cs="XITS Math"/>
              </w:rPr>
              <m:t>pu</m:t>
            </m:r>
            <m:ctrlPr>
              <w:rPr>
                <w:rFonts w:ascii="XITS Math" w:hAnsi="XITS Math" w:cs="XITS Math"/>
              </w:rPr>
            </m:ctrlPr>
          </m:sub>
        </m:sSub>
      </m:oMath>
      <w:r>
        <w:t>——</w:t>
      </w:r>
      <w:r>
        <w:tab/>
      </w:r>
      <w:r>
        <w:rPr>
          <w:rFonts w:hint="eastAsia"/>
        </w:rPr>
        <w:t>无粘结预应力钢绞线的应力设计值；</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s</m:t>
            </m:r>
            <m:ctrlPr>
              <w:rPr>
                <w:rFonts w:ascii="Cambria Math" w:hAnsi="Cambria Math"/>
                <w:i/>
                <w:iCs/>
              </w:rPr>
            </m:ctrlPr>
          </m:sub>
        </m:sSub>
      </m:oMath>
      <w:r>
        <w:t>——</w:t>
      </w:r>
      <w:r>
        <w:tab/>
      </w:r>
      <w:r>
        <w:t>耗能钢筋的应力</w:t>
      </w:r>
      <w:r>
        <w:rPr>
          <w:rFonts w:hint="eastAsia"/>
        </w:rPr>
        <w:t>；</w:t>
      </w:r>
    </w:p>
    <w:p>
      <w:pPr>
        <w:pStyle w:val="86"/>
      </w:pPr>
      <w:r>
        <w:rPr>
          <w:i/>
          <w:iCs/>
        </w:rPr>
        <w:tab/>
      </w:r>
      <w:r>
        <w:rPr>
          <w:i/>
          <w:iCs/>
        </w:rPr>
        <w:t>F</w:t>
      </w:r>
      <w:r>
        <w:rPr>
          <w:i/>
          <w:iCs/>
          <w:vertAlign w:val="subscript"/>
        </w:rPr>
        <w:t xml:space="preserve">c </w:t>
      </w:r>
      <w:r>
        <w:t>——</w:t>
      </w:r>
      <w:r>
        <w:tab/>
      </w:r>
      <w:r>
        <w:t>梁柱结合面混凝土界面的净压力</w:t>
      </w:r>
      <w:r>
        <w:rPr>
          <w:rFonts w:hint="eastAsia"/>
        </w:rPr>
        <w:t>;</w:t>
      </w:r>
      <w:r>
        <w:t xml:space="preserve"> </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Ek</m:t>
            </m:r>
            <m:ctrlPr>
              <w:rPr>
                <w:rFonts w:ascii="Cambria Math" w:hAnsi="Cambria Math"/>
                <w:i/>
              </w:rPr>
            </m:ctrlPr>
          </m:sub>
        </m:sSub>
      </m:oMath>
      <w:r>
        <w:t>——</w:t>
      </w:r>
      <w:r>
        <w:tab/>
      </w:r>
      <w:r>
        <w:rPr>
          <w:rFonts w:hint="eastAsia"/>
        </w:rPr>
        <w:t>多遇地震作用下结合面弯矩标准值；</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GEk</m:t>
            </m:r>
            <m:ctrlPr>
              <w:rPr>
                <w:rFonts w:ascii="Cambria Math" w:hAnsi="Cambria Math"/>
                <w:i/>
              </w:rPr>
            </m:ctrlPr>
          </m:sub>
        </m:sSub>
      </m:oMath>
      <w:r>
        <w:t>——</w:t>
      </w:r>
      <w:r>
        <w:tab/>
      </w:r>
      <w:r>
        <w:rPr>
          <w:rFonts w:hint="eastAsia"/>
        </w:rPr>
        <w:t>重力荷载代表值作用下结合面弯矩标准值；</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k</m:t>
            </m:r>
            <m:ctrlPr>
              <w:rPr>
                <w:rFonts w:ascii="Cambria Math" w:hAnsi="Cambria Math"/>
                <w:i/>
              </w:rPr>
            </m:ctrlPr>
          </m:sub>
        </m:sSub>
      </m:oMath>
      <w:r>
        <w:t>——</w:t>
      </w:r>
      <w:r>
        <w:tab/>
      </w:r>
      <w:r>
        <w:rPr>
          <w:rFonts w:hint="eastAsia"/>
        </w:rPr>
        <w:t>结合面处受弯承载力标准值；</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pk</m:t>
            </m:r>
            <m:ctrlPr>
              <w:rPr>
                <w:rFonts w:ascii="Cambria Math" w:hAnsi="Cambria Math"/>
                <w:i/>
              </w:rPr>
            </m:ctrlPr>
          </m:sub>
        </m:sSub>
      </m:oMath>
      <w:r>
        <w:t>——</w:t>
      </w:r>
      <w:r>
        <w:tab/>
      </w:r>
      <w:r>
        <w:rPr>
          <w:rFonts w:hint="eastAsia"/>
        </w:rPr>
        <w:t>预应力筋在结合面处贡献的受弯承载力标准值；</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Rk</m:t>
            </m:r>
            <m:ctrlPr>
              <w:rPr>
                <w:rFonts w:ascii="Cambria Math" w:hAnsi="Cambria Math"/>
                <w:i/>
              </w:rPr>
            </m:ctrlPr>
          </m:sub>
        </m:sSub>
      </m:oMath>
      <w:r>
        <w:t>——</w:t>
      </w:r>
      <w:r>
        <w:tab/>
      </w:r>
      <w:r>
        <w:rPr>
          <w:rFonts w:hint="eastAsia"/>
        </w:rPr>
        <w:t>结合面</w:t>
      </w:r>
      <w:r>
        <w:t>处</w:t>
      </w:r>
      <w:r>
        <w:rPr>
          <w:rFonts w:hint="eastAsia"/>
        </w:rPr>
        <w:t>的</w:t>
      </w:r>
      <w:r>
        <w:t>受弯承载力</w:t>
      </w:r>
      <w:r>
        <w:rPr>
          <w:rFonts w:hint="eastAsia"/>
        </w:rPr>
        <w:t>标准值；</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sk</m:t>
            </m:r>
            <m:ctrlPr>
              <w:rPr>
                <w:rFonts w:ascii="Cambria Math" w:hAnsi="Cambria Math"/>
                <w:i/>
              </w:rPr>
            </m:ctrlPr>
          </m:sub>
        </m:sSub>
      </m:oMath>
      <w:r>
        <w:t>——</w:t>
      </w:r>
      <w:r>
        <w:tab/>
      </w:r>
      <w:r>
        <w:rPr>
          <w:rFonts w:hint="eastAsia"/>
        </w:rPr>
        <w:t>耗能钢筋在结合面处贡献的受弯承载力标准值</w:t>
      </w:r>
    </w:p>
    <w:p>
      <w:pPr>
        <w:pStyle w:val="86"/>
      </w:pPr>
      <w:r>
        <w:rPr>
          <w:iCs/>
        </w:rPr>
        <w:tab/>
      </w:r>
      <m:oMath>
        <m:sSubSup>
          <m:sSubSupPr>
            <m:ctrlPr>
              <w:rPr>
                <w:rFonts w:ascii="Cambria Math" w:hAnsi="Cambria Math"/>
              </w:rPr>
            </m:ctrlPr>
          </m:sSubSupPr>
          <m:e>
            <m:r>
              <m:rPr/>
              <w:rPr>
                <w:rFonts w:ascii="Cambria Math" w:hAnsi="Cambria Math"/>
              </w:rPr>
              <m:t>M</m:t>
            </m:r>
            <m:ctrlPr>
              <w:rPr>
                <w:rFonts w:ascii="Cambria Math" w:hAnsi="Cambria Math"/>
              </w:rPr>
            </m:ctrlPr>
          </m:e>
          <m:sub>
            <m:r>
              <m:rPr>
                <m:sty m:val="p"/>
              </m:rPr>
              <w:rPr>
                <w:rFonts w:ascii="Cambria Math"/>
              </w:rPr>
              <m:t>R</m:t>
            </m:r>
            <m:r>
              <m:rPr>
                <m:sty m:val="p"/>
              </m:rPr>
              <w:rPr>
                <w:rFonts w:hint="eastAsia" w:ascii="Cambria Math"/>
              </w:rPr>
              <m:t>k</m:t>
            </m:r>
            <m:ctrlPr>
              <w:rPr>
                <w:rFonts w:ascii="Cambria Math" w:hAnsi="Cambria Math"/>
              </w:rPr>
            </m:ctrlPr>
          </m:sub>
          <m:sup>
            <m:r>
              <m:rPr>
                <m:sty m:val="p"/>
              </m:rPr>
              <w:rPr>
                <w:rFonts w:ascii="Cambria Math"/>
              </w:rPr>
              <m:t>+</m:t>
            </m:r>
            <m:ctrlPr>
              <w:rPr>
                <w:rFonts w:ascii="Cambria Math" w:hAnsi="Cambria Math"/>
              </w:rPr>
            </m:ctrlPr>
          </m:sup>
        </m:sSubSup>
      </m:oMath>
      <w:r>
        <w:t>——</w:t>
      </w:r>
      <w:r>
        <w:tab/>
      </w:r>
      <w:r>
        <w:rPr>
          <w:rFonts w:hint="eastAsia"/>
        </w:rPr>
        <w:t>梁端结合面正弯矩标准值；</w:t>
      </w:r>
    </w:p>
    <w:p>
      <w:pPr>
        <w:pStyle w:val="86"/>
      </w:pPr>
      <w:r>
        <w:tab/>
      </w:r>
      <m:oMath>
        <m:sSubSup>
          <m:sSubSupPr>
            <m:ctrlPr>
              <w:rPr>
                <w:rFonts w:ascii="Cambria Math" w:hAnsi="Cambria Math"/>
              </w:rPr>
            </m:ctrlPr>
          </m:sSubSupPr>
          <m:e>
            <m:r>
              <m:rPr>
                <m:sty m:val="p"/>
              </m:rPr>
              <w:rPr>
                <w:rFonts w:ascii="Cambria Math"/>
              </w:rPr>
              <m:t>M</m:t>
            </m:r>
            <m:ctrlPr>
              <w:rPr>
                <w:rFonts w:ascii="Cambria Math" w:hAnsi="Cambria Math"/>
              </w:rPr>
            </m:ctrlPr>
          </m:e>
          <m:sub>
            <m:r>
              <m:rPr>
                <m:sty m:val="p"/>
              </m:rPr>
              <w:rPr>
                <w:rFonts w:ascii="Cambria Math"/>
              </w:rPr>
              <m:t>R</m:t>
            </m:r>
            <m:r>
              <m:rPr>
                <m:sty m:val="p"/>
              </m:rPr>
              <w:rPr>
                <w:rFonts w:hint="eastAsia" w:ascii="Cambria Math"/>
              </w:rPr>
              <m:t>k</m:t>
            </m:r>
            <m:ctrlPr>
              <w:rPr>
                <w:rFonts w:ascii="Cambria Math" w:hAnsi="Cambria Math"/>
              </w:rPr>
            </m:ctrlPr>
          </m:sub>
          <m:sup>
            <m:r>
              <m:rPr>
                <m:sty m:val="p"/>
              </m:rPr>
              <w:rPr>
                <w:rFonts w:ascii="Cambria Math"/>
              </w:rPr>
              <m:t>−</m:t>
            </m:r>
            <m:ctrlPr>
              <w:rPr>
                <w:rFonts w:ascii="Cambria Math" w:hAnsi="Cambria Math"/>
              </w:rPr>
            </m:ctrlPr>
          </m:sup>
        </m:sSubSup>
      </m:oMath>
      <w:r>
        <w:t>——</w:t>
      </w:r>
      <w:r>
        <w:tab/>
      </w:r>
      <w:r>
        <w:rPr>
          <w:rFonts w:hint="eastAsia"/>
        </w:rPr>
        <w:t>梁端结合面负弯矩标准值；</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Gk</m:t>
            </m:r>
            <m:ctrlPr>
              <w:rPr>
                <w:rFonts w:ascii="Cambria Math" w:hAnsi="Cambria Math"/>
              </w:rPr>
            </m:ctrlPr>
          </m:sub>
        </m:sSub>
      </m:oMath>
      <w:r>
        <w:t>——</w:t>
      </w:r>
      <w:r>
        <w:tab/>
      </w:r>
      <w:r>
        <w:t>永久荷载标准值在结合面产生的剪力；</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Qk</m:t>
            </m:r>
            <m:ctrlPr>
              <w:rPr>
                <w:rFonts w:ascii="Cambria Math" w:hAnsi="Cambria Math"/>
              </w:rPr>
            </m:ctrlPr>
          </m:sub>
        </m:sSub>
      </m:oMath>
      <w:r>
        <w:t>——</w:t>
      </w:r>
      <w:r>
        <w:tab/>
      </w:r>
      <w:r>
        <w:t>可变荷载标准值在结合面产生的剪力</w:t>
      </w:r>
      <w:r>
        <w:rPr>
          <w:rFonts w:hint="eastAsia"/>
        </w:rPr>
        <w:t>；</w:t>
      </w:r>
    </w:p>
    <w:p>
      <w:pPr>
        <w:pStyle w:val="86"/>
      </w:pPr>
      <w:r>
        <w:tab/>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u</m:t>
            </m:r>
            <m:ctrlPr>
              <w:rPr>
                <w:rFonts w:ascii="Cambria Math" w:hAnsi="Cambria Math"/>
                <w:i/>
              </w:rPr>
            </m:ctrlPr>
          </m:sub>
        </m:sSub>
      </m:oMath>
      <w:r>
        <w:rPr>
          <w:i/>
          <w:iCs/>
          <w:vertAlign w:val="subscript"/>
        </w:rPr>
        <w:t xml:space="preserve"> </w:t>
      </w:r>
      <w:r>
        <w:t>——</w:t>
      </w:r>
      <w:r>
        <w:tab/>
      </w:r>
      <w:r>
        <w:t>非地震作用组合</w:t>
      </w:r>
      <w:r>
        <w:rPr>
          <w:rFonts w:hint="eastAsia"/>
        </w:rPr>
        <w:t>下梁端最大剪力设计值；</w:t>
      </w:r>
    </w:p>
    <w:p>
      <w:pPr>
        <w:pStyle w:val="86"/>
      </w:pPr>
      <w:r>
        <w:tab/>
      </w:r>
      <m:oMath>
        <m:sSub>
          <m:sSubPr>
            <m:ctrlPr>
              <w:rPr>
                <w:rFonts w:ascii="XITS Math" w:hAnsi="XITS Math"/>
              </w:rPr>
            </m:ctrlPr>
          </m:sSubPr>
          <m:e>
            <m:r>
              <m:rPr/>
              <w:rPr>
                <w:rFonts w:ascii="XITS Math" w:hAnsi="XITS Math"/>
              </w:rPr>
              <m:t>V</m:t>
            </m:r>
            <m:ctrlPr>
              <w:rPr>
                <w:rFonts w:ascii="XITS Math" w:hAnsi="XITS Math"/>
              </w:rPr>
            </m:ctrlPr>
          </m:e>
          <m:sub>
            <m:r>
              <m:rPr/>
              <w:rPr>
                <w:rFonts w:ascii="XITS Math" w:hAnsi="XITS Math"/>
              </w:rPr>
              <m:t>uE</m:t>
            </m:r>
            <m:ctrlPr>
              <w:rPr>
                <w:rFonts w:ascii="XITS Math" w:hAnsi="XITS Math"/>
              </w:rPr>
            </m:ctrlPr>
          </m:sub>
        </m:sSub>
      </m:oMath>
      <w:r>
        <w:t>——</w:t>
      </w:r>
      <w:r>
        <w:tab/>
      </w:r>
      <w:r>
        <w:t>多遇地震作用组合</w:t>
      </w:r>
      <w:r>
        <w:rPr>
          <w:rFonts w:hint="eastAsia"/>
        </w:rPr>
        <w:t>下梁端最大剪力设计值；</w:t>
      </w:r>
    </w:p>
    <w:p>
      <w:pPr>
        <w:pStyle w:val="86"/>
      </w:pPr>
      <w:r>
        <w:rPr>
          <w:rFonts w:hAnsi="Cambria Math"/>
        </w:rP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t>——</w:t>
      </w:r>
      <w:r>
        <w:tab/>
      </w:r>
      <w:r>
        <w:rPr>
          <w:rFonts w:hint="eastAsia"/>
        </w:rPr>
        <w:t>罕</w:t>
      </w:r>
      <w:r>
        <w:t>遇地震</w:t>
      </w:r>
      <w:r>
        <w:rPr>
          <w:rFonts w:hint="eastAsia"/>
        </w:rPr>
        <w:t>作用下梁端向下剪力标准值；</w:t>
      </w:r>
    </w:p>
    <w:p>
      <w:pPr>
        <w:pStyle w:val="86"/>
      </w:pPr>
      <w:r>
        <w:rPr>
          <w:rFonts w:hAnsi="Cambria Math"/>
        </w:rP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t>——</w:t>
      </w:r>
      <w:r>
        <w:tab/>
      </w:r>
      <w:r>
        <w:rPr>
          <w:rFonts w:hint="eastAsia"/>
        </w:rPr>
        <w:t>罕</w:t>
      </w:r>
      <w:r>
        <w:t>遇地震</w:t>
      </w:r>
      <w:r>
        <w:rPr>
          <w:rFonts w:hint="eastAsia"/>
        </w:rPr>
        <w:t>作用下梁端向上剪力标准值。</w:t>
      </w:r>
    </w:p>
    <w:p>
      <w:pPr>
        <w:pStyle w:val="5"/>
      </w:pPr>
    </w:p>
    <w:p>
      <w:pPr>
        <w:pStyle w:val="4"/>
      </w:pPr>
      <w:r>
        <w:t>材料</w:t>
      </w:r>
      <w:bookmarkEnd w:id="62"/>
      <w:r>
        <w:rPr>
          <w:rFonts w:hint="eastAsia"/>
        </w:rPr>
        <w:t>强度：</w:t>
      </w:r>
    </w:p>
    <w:p>
      <w:pPr>
        <w:pStyle w:val="86"/>
      </w:pPr>
      <w:r>
        <w:tab/>
      </w:r>
      <m:oMath>
        <m:sSub>
          <m:sSubPr>
            <m:ctrlPr>
              <w:rPr>
                <w:rFonts w:ascii="Cambria Math" w:hAnsi="Cambria Math" w:cs="XITS Math"/>
                <w:i/>
                <w:iCs/>
              </w:rPr>
            </m:ctrlPr>
          </m:sSubPr>
          <m:e>
            <m:r>
              <m:rPr/>
              <w:rPr>
                <w:rFonts w:ascii="Cambria Math" w:hAnsi="Cambria Math" w:cs="XITS Math"/>
              </w:rPr>
              <m:t>E</m:t>
            </m:r>
            <m:ctrlPr>
              <w:rPr>
                <w:rFonts w:ascii="Cambria Math" w:hAnsi="Cambria Math" w:cs="XITS Math"/>
                <w:i/>
                <w:iCs/>
              </w:rPr>
            </m:ctrlPr>
          </m:e>
          <m:sub>
            <m:r>
              <m:rPr/>
              <w:rPr>
                <w:rFonts w:ascii="Cambria Math" w:hAnsi="Cambria Math" w:cs="XITS Math"/>
              </w:rPr>
              <m:t>p</m:t>
            </m:r>
            <m:ctrlPr>
              <w:rPr>
                <w:rFonts w:ascii="Cambria Math" w:hAnsi="Cambria Math" w:cs="XITS Math"/>
                <w:i/>
                <w:iCs/>
              </w:rPr>
            </m:ctrlPr>
          </m:sub>
        </m:sSub>
      </m:oMath>
      <w:r>
        <w:t>——</w:t>
      </w:r>
      <w:r>
        <w:tab/>
      </w:r>
      <w:r>
        <w:rPr>
          <w:rFonts w:hint="eastAsia"/>
        </w:rPr>
        <w:t>无粘结预应力筋的弹性模量；</w:t>
      </w:r>
    </w:p>
    <w:p>
      <w:pPr>
        <w:pStyle w:val="86"/>
        <w:rPr>
          <w:i/>
          <w:iCs/>
        </w:rPr>
      </w:pPr>
      <w:r>
        <w:tab/>
      </w:r>
      <m:oMath>
        <m:sSub>
          <m:sSubPr>
            <m:ctrlPr>
              <w:rPr>
                <w:rFonts w:ascii="XITS Math" w:hAnsi="XITS Math" w:cs="XITS Math"/>
              </w:rPr>
            </m:ctrlPr>
          </m:sSubPr>
          <m:e>
            <m:r>
              <m:rPr/>
              <w:rPr>
                <w:rFonts w:ascii="XITS Math" w:hAnsi="XITS Math" w:cs="XITS Math"/>
              </w:rPr>
              <m:t>E</m:t>
            </m:r>
            <m:ctrlPr>
              <w:rPr>
                <w:rFonts w:ascii="XITS Math" w:hAnsi="XITS Math" w:cs="XITS Math"/>
              </w:rPr>
            </m:ctrlPr>
          </m:e>
          <m:sub>
            <m:r>
              <m:rPr>
                <m:sty m:val="p"/>
              </m:rPr>
              <w:rPr>
                <w:rFonts w:ascii="XITS Math" w:hAnsi="XITS Math" w:cs="XITS Math"/>
              </w:rPr>
              <m:t>s</m:t>
            </m:r>
            <m:ctrlPr>
              <w:rPr>
                <w:rFonts w:ascii="XITS Math" w:hAnsi="XITS Math" w:cs="XITS Math"/>
              </w:rPr>
            </m:ctrlPr>
          </m:sub>
        </m:sSub>
      </m:oMath>
      <w:r>
        <w:t>——</w:t>
      </w:r>
      <w:r>
        <w:tab/>
      </w:r>
      <w:r>
        <w:rPr>
          <w:rFonts w:hint="eastAsia"/>
        </w:rPr>
        <w:t>梁端耗能钢筋的弹性模量；</w:t>
      </w:r>
    </w:p>
    <w:p>
      <w:pPr>
        <w:pStyle w:val="86"/>
      </w:pPr>
      <w:r>
        <w:rPr>
          <w:i/>
          <w:iCs/>
        </w:rPr>
        <w:tab/>
      </w:r>
      <w:r>
        <w:rPr>
          <w:i/>
          <w:iCs/>
        </w:rPr>
        <w:t>f</w:t>
      </w:r>
      <w:r>
        <w:rPr>
          <w:i/>
          <w:iCs/>
          <w:vertAlign w:val="subscript"/>
        </w:rPr>
        <w:t xml:space="preserve">c </w:t>
      </w:r>
      <w:r>
        <w:t>——</w:t>
      </w:r>
      <w:r>
        <w:tab/>
      </w:r>
      <w:r>
        <w:t>混凝土轴心抗压强度设计值</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oMath>
      <w:r>
        <w:t>——</w:t>
      </w:r>
      <w:r>
        <w:tab/>
      </w:r>
      <w:r>
        <w:rPr>
          <w:rFonts w:hint="eastAsia"/>
        </w:rPr>
        <w:t>预应力筋的极限强度标准值；</w:t>
      </w:r>
    </w:p>
    <w:p>
      <w:pPr>
        <w:pStyle w:val="86"/>
      </w:pPr>
      <w:r>
        <w:tab/>
      </w:r>
      <m:oMath>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py</m:t>
            </m:r>
            <m:ctrlPr>
              <w:rPr>
                <w:rFonts w:ascii="Cambria Math" w:hAnsi="Cambria Math"/>
                <w:iCs/>
              </w:rPr>
            </m:ctrlPr>
          </m:sub>
        </m:sSub>
      </m:oMath>
      <w:r>
        <w:t>——</w:t>
      </w:r>
      <w:r>
        <w:tab/>
      </w:r>
      <w:r>
        <w:t>预应力</w:t>
      </w:r>
      <w:r>
        <w:rPr>
          <w:rFonts w:hint="eastAsia"/>
        </w:rPr>
        <w:t>筋</w:t>
      </w:r>
      <w:r>
        <w:t>抗拉强度设计值</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stk</m:t>
            </m:r>
            <m:ctrlPr>
              <w:rPr>
                <w:rFonts w:ascii="Cambria Math" w:hAnsi="Cambria Math" w:cs="XITS Math"/>
                <w:i/>
                <w:iCs/>
              </w:rPr>
            </m:ctrlPr>
          </m:sub>
        </m:sSub>
      </m:oMath>
      <w:r>
        <w:t>——</w:t>
      </w:r>
      <w:r>
        <w:tab/>
      </w:r>
      <w:r>
        <w:rPr>
          <w:rFonts w:hint="eastAsia"/>
        </w:rPr>
        <w:t>梁端耗能钢筋的抗拉极限强度标准值；</w:t>
      </w:r>
    </w:p>
    <w:p>
      <w:pPr>
        <w:pStyle w:val="86"/>
      </w:pPr>
      <w:r>
        <w:tab/>
      </w:r>
      <m:oMath>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t</m:t>
            </m:r>
            <m:ctrlPr>
              <w:rPr>
                <w:rFonts w:ascii="Cambria Math" w:hAnsi="Cambria Math"/>
                <w:iCs/>
              </w:rPr>
            </m:ctrlPr>
          </m:sub>
        </m:sSub>
      </m:oMath>
      <w:r>
        <w:t>——</w:t>
      </w:r>
      <w:r>
        <w:tab/>
      </w:r>
      <w:r>
        <w:t>预制梁混凝土轴心抗拉强度设计值</w:t>
      </w:r>
      <w:r>
        <w:rPr>
          <w:rFonts w:hint="eastAsia"/>
        </w:rPr>
        <w:t>；</w:t>
      </w:r>
    </w:p>
    <w:p>
      <w:pPr>
        <w:pStyle w:val="86"/>
      </w:pPr>
      <w:r>
        <w:rPr>
          <w:i/>
          <w:iCs/>
        </w:rPr>
        <w:tab/>
      </w:r>
      <w:r>
        <w:rPr>
          <w:i/>
          <w:iCs/>
        </w:rPr>
        <w:t>f</w:t>
      </w:r>
      <w:r>
        <w:rPr>
          <w:i/>
          <w:iCs/>
          <w:vertAlign w:val="subscript"/>
        </w:rPr>
        <w:t xml:space="preserve">vy </w:t>
      </w:r>
      <w:r>
        <w:t>——</w:t>
      </w:r>
      <w:r>
        <w:tab/>
      </w:r>
      <w:r>
        <w:t>抗剪钢筋的</w:t>
      </w:r>
      <w:r>
        <w:rPr>
          <w:rFonts w:hint="eastAsia"/>
        </w:rPr>
        <w:t>抗拉</w:t>
      </w:r>
      <w:r>
        <w:t>强度设计值</w:t>
      </w:r>
      <w:r>
        <w:rPr>
          <w:rFonts w:hint="eastAsia"/>
        </w:rPr>
        <w:t>；</w:t>
      </w:r>
    </w:p>
    <w:p>
      <w:pPr>
        <w:pStyle w:val="86"/>
      </w:pPr>
      <w:r>
        <w:rPr>
          <w:i/>
          <w:iCs/>
        </w:rPr>
        <w:tab/>
      </w:r>
      <w:r>
        <w:rPr>
          <w:i/>
          <w:iCs/>
        </w:rPr>
        <w:t>f</w:t>
      </w:r>
      <w:r>
        <w:rPr>
          <w:i/>
          <w:iCs/>
          <w:vertAlign w:val="subscript"/>
        </w:rPr>
        <w:t xml:space="preserve">vyk </w:t>
      </w:r>
      <w:r>
        <w:t>——</w:t>
      </w:r>
      <w:r>
        <w:tab/>
      </w:r>
      <w:r>
        <w:t>抗剪钢筋的</w:t>
      </w:r>
      <w:r>
        <w:rPr>
          <w:rFonts w:hint="eastAsia"/>
        </w:rPr>
        <w:t>抗拉</w:t>
      </w:r>
      <w:r>
        <w:t>强度标准值</w:t>
      </w:r>
      <w:r>
        <w:rPr>
          <w:rFonts w:hint="eastAsia"/>
        </w:rPr>
        <w:t>；</w:t>
      </w:r>
    </w:p>
    <w:p>
      <w:pPr>
        <w:pStyle w:val="86"/>
      </w:pPr>
      <w:r>
        <w:rPr>
          <w:i/>
          <w:iCs/>
        </w:rPr>
        <w:tab/>
      </w:r>
      <w:r>
        <w:rPr>
          <w:i/>
          <w:iCs/>
        </w:rPr>
        <w:t>f</w:t>
      </w:r>
      <w:r>
        <w:rPr>
          <w:i/>
          <w:iCs/>
          <w:vertAlign w:val="subscript"/>
        </w:rPr>
        <w:t xml:space="preserve">y </w:t>
      </w:r>
      <w:r>
        <w:t>——</w:t>
      </w:r>
      <w:r>
        <w:tab/>
      </w:r>
      <w:r>
        <w:t>钢筋的</w:t>
      </w:r>
      <w:r>
        <w:rPr>
          <w:rFonts w:hint="eastAsia"/>
        </w:rPr>
        <w:t>抗拉</w:t>
      </w:r>
      <w:r>
        <w:t>强度设计值</w:t>
      </w:r>
      <w:r>
        <w:rPr>
          <w:rFonts w:hint="eastAsia"/>
        </w:rPr>
        <w:t>；</w:t>
      </w:r>
    </w:p>
    <w:p>
      <w:pPr>
        <w:pStyle w:val="86"/>
      </w:pPr>
      <w:r>
        <w:rPr>
          <w:i/>
          <w:iCs/>
        </w:rPr>
        <w:tab/>
      </w:r>
      <w:r>
        <w:rPr>
          <w:i/>
          <w:iCs/>
        </w:rPr>
        <w:t>f</w:t>
      </w:r>
      <w:r>
        <w:rPr>
          <w:i/>
          <w:iCs/>
          <w:vertAlign w:val="subscript"/>
        </w:rPr>
        <w:t xml:space="preserve">yk </w:t>
      </w:r>
      <w:r>
        <w:t>——</w:t>
      </w:r>
      <w:r>
        <w:tab/>
      </w:r>
      <w:r>
        <w:t>钢筋的</w:t>
      </w:r>
      <w:r>
        <w:rPr>
          <w:rFonts w:hint="eastAsia"/>
        </w:rPr>
        <w:t>抗拉</w:t>
      </w:r>
      <w:r>
        <w:t>强度标准值</w:t>
      </w:r>
      <w:r>
        <w:rPr>
          <w:rFonts w:hint="eastAsia"/>
        </w:rPr>
        <w:t>；</w:t>
      </w:r>
    </w:p>
    <w:p>
      <w:pPr>
        <w:pStyle w:val="86"/>
      </w:pPr>
      <w:r>
        <w:tab/>
      </w:r>
      <m:oMath>
        <m:sSubSup>
          <m:sSubSupPr>
            <m:ctrlPr>
              <w:rPr>
                <w:rFonts w:ascii="Cambria Math" w:hAnsi="Cambria Math"/>
                <w:i/>
              </w:rPr>
            </m:ctrlPr>
          </m:sSubSupPr>
          <m:e>
            <m:r>
              <m:rPr/>
              <w:rPr>
                <w:rFonts w:ascii="Cambria Math" w:hAnsi="Cambria Math"/>
              </w:rPr>
              <m:t>f</m:t>
            </m:r>
            <m:ctrlPr>
              <w:rPr>
                <w:rFonts w:ascii="Cambria Math" w:hAnsi="Cambria Math"/>
                <w:i/>
              </w:rPr>
            </m:ctrlPr>
          </m:e>
          <m:sub>
            <m:r>
              <m:rPr/>
              <w:rPr>
                <w:rFonts w:ascii="Cambria Math" w:hAnsi="Cambria Math"/>
              </w:rPr>
              <m:t>y</m:t>
            </m:r>
            <m:r>
              <m:rPr/>
              <w:rPr>
                <w:rFonts w:hint="eastAsia" w:ascii="Cambria Math" w:hAnsi="Cambria Math"/>
              </w:rPr>
              <m:t>k</m:t>
            </m:r>
            <m:ctrlPr>
              <w:rPr>
                <w:rFonts w:ascii="Cambria Math" w:hAnsi="Cambria Math"/>
                <w:i/>
              </w:rPr>
            </m:ctrlPr>
          </m:sub>
          <m:sup>
            <m:r>
              <m:rPr/>
              <w:rPr>
                <w:rFonts w:ascii="Cambria Math" w:hAnsi="Cambria Math"/>
              </w:rPr>
              <m:t>'</m:t>
            </m:r>
            <m:ctrlPr>
              <w:rPr>
                <w:rFonts w:ascii="Cambria Math" w:hAnsi="Cambria Math"/>
                <w:i/>
              </w:rPr>
            </m:ctrlPr>
          </m:sup>
        </m:sSubSup>
      </m:oMath>
      <w:r>
        <w:t>——</w:t>
      </w:r>
      <w:r>
        <w:tab/>
      </w:r>
      <w:r>
        <w:rPr>
          <w:rFonts w:hint="eastAsia"/>
        </w:rPr>
        <w:t>钢筋抗压强度标准值。</w:t>
      </w:r>
    </w:p>
    <w:p/>
    <w:p>
      <w:pPr>
        <w:pStyle w:val="4"/>
      </w:pPr>
      <w:bookmarkStart w:id="63" w:name="_Toc86067823"/>
      <w:r>
        <w:t>几何参数</w:t>
      </w:r>
      <w:bookmarkEnd w:id="63"/>
      <w:r>
        <w:rPr>
          <w:rFonts w:hint="eastAsia"/>
        </w:rPr>
        <w:t>：</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oMath>
      <w:r>
        <w:t>——</w:t>
      </w:r>
      <w:r>
        <w:tab/>
      </w:r>
      <w:r>
        <w:t>预应力</w:t>
      </w:r>
      <w:r>
        <w:rPr>
          <w:rFonts w:hint="eastAsia"/>
        </w:rPr>
        <w:t>筋</w:t>
      </w:r>
      <w:r>
        <w:t>面积；</w:t>
      </w:r>
    </w:p>
    <w:p>
      <w:pPr>
        <w:pStyle w:val="86"/>
      </w:pPr>
      <w:r>
        <w:rPr>
          <w:i/>
          <w:iCs/>
        </w:rPr>
        <w:tab/>
      </w:r>
      <w:r>
        <w:rPr>
          <w:i/>
          <w:iCs/>
        </w:rPr>
        <w:t>A</w:t>
      </w:r>
      <w:r>
        <w:rPr>
          <w:i/>
          <w:iCs/>
          <w:vertAlign w:val="subscript"/>
        </w:rPr>
        <w:t>s</w:t>
      </w:r>
      <w:r>
        <w:t>——</w:t>
      </w:r>
      <w:r>
        <w:tab/>
      </w:r>
      <w:r>
        <w:t>耗能钢筋的毛截面面积</w:t>
      </w:r>
      <w:r>
        <w:rPr>
          <w:rFonts w:hint="eastAsia"/>
        </w:rPr>
        <w:t>；</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r>
              <m:rPr>
                <m:sty m:val="p"/>
              </m:rPr>
              <w:rPr>
                <w:rFonts w:hint="eastAsia" w:ascii="Cambria Math" w:hAnsi="Cambria Math"/>
              </w:rPr>
              <m:t>a</m:t>
            </m:r>
            <m:ctrlPr>
              <w:rPr>
                <w:rFonts w:ascii="Cambria Math" w:hAnsi="Cambria Math"/>
              </w:rPr>
            </m:ctrlPr>
          </m:sub>
        </m:sSub>
      </m:oMath>
      <w:r>
        <w:t>——</w:t>
      </w:r>
      <w:r>
        <w:tab/>
      </w:r>
      <w:r>
        <w:rPr>
          <w:rFonts w:hint="eastAsia"/>
        </w:rPr>
        <w:t>穿过</w:t>
      </w:r>
      <w:r>
        <w:t>梁端</w:t>
      </w:r>
      <w:r>
        <w:rPr>
          <w:rFonts w:hint="eastAsia"/>
        </w:rPr>
        <w:t>结合面的所有</w:t>
      </w:r>
      <w:r>
        <w:t>耗能钢筋毛截面</w:t>
      </w:r>
      <w:r>
        <w:rPr>
          <w:rFonts w:hint="eastAsia"/>
        </w:rPr>
        <w:t>面</w:t>
      </w:r>
      <w:r>
        <w:t>积</w:t>
      </w:r>
      <w:r>
        <w:rPr>
          <w:rFonts w:hint="eastAsia"/>
        </w:rPr>
        <w:t>；</w:t>
      </w:r>
    </w:p>
    <w:p>
      <w:pPr>
        <w:pStyle w:val="86"/>
      </w:pPr>
      <w:r>
        <w:tab/>
      </w:r>
      <m:oMath>
        <m:sSub>
          <m:sSubPr>
            <m:ctrlPr>
              <w:rPr>
                <w:rFonts w:ascii="Cambria Math" w:hAnsi="Cambria Math" w:cs="宋体"/>
                <w:i/>
              </w:rPr>
            </m:ctrlPr>
          </m:sSubPr>
          <m:e>
            <m:r>
              <m:rPr/>
              <w:rPr>
                <w:rFonts w:hint="eastAsia" w:ascii="Cambria Math" w:hAnsi="Cambria Math"/>
              </w:rPr>
              <m:t>A</m:t>
            </m:r>
            <m:ctrlPr>
              <w:rPr>
                <w:rFonts w:ascii="Cambria Math" w:hAnsi="Cambria Math" w:cs="宋体"/>
                <w:i/>
              </w:rPr>
            </m:ctrlPr>
          </m:e>
          <m:sub>
            <m:r>
              <m:rPr/>
              <w:rPr>
                <w:rFonts w:hint="eastAsia" w:ascii="Cambria Math" w:hAnsi="Cambria Math"/>
              </w:rPr>
              <m:t>s</m:t>
            </m:r>
            <m:r>
              <m:rPr/>
              <w:rPr>
                <w:rFonts w:ascii="Cambria Math" w:hAnsi="Cambria Math"/>
              </w:rPr>
              <m:t>n</m:t>
            </m:r>
            <m:ctrlPr>
              <w:rPr>
                <w:rFonts w:ascii="Cambria Math" w:hAnsi="Cambria Math" w:cs="宋体"/>
                <w:i/>
              </w:rPr>
            </m:ctrlPr>
          </m:sub>
        </m:sSub>
      </m:oMath>
      <w:r>
        <w:t>——</w:t>
      </w:r>
      <w:r>
        <w:tab/>
      </w:r>
      <w:r>
        <w:rPr>
          <w:rFonts w:hint="eastAsia"/>
        </w:rPr>
        <w:t>穿过结合面的上部受拉钢筋净面积；</w:t>
      </w:r>
    </w:p>
    <w:p>
      <w:pPr>
        <w:pStyle w:val="86"/>
      </w:pPr>
      <w:r>
        <w:rPr>
          <w:iCs/>
        </w:rPr>
        <w:tab/>
      </w:r>
      <m:oMath>
        <m:sSubSup>
          <m:sSubSupPr>
            <m:ctrlPr>
              <w:rPr>
                <w:rFonts w:ascii="Cambria Math" w:hAnsi="Cambria Math" w:cs="XITS Math"/>
                <w:i/>
                <w:iCs/>
              </w:rPr>
            </m:ctrlPr>
          </m:sSubSupPr>
          <m:e>
            <m:r>
              <m:rPr/>
              <w:rPr>
                <w:rFonts w:ascii="Cambria Math" w:hAnsi="Cambria Math" w:cs="XITS Math"/>
              </w:rPr>
              <m:t>A</m:t>
            </m:r>
            <m:ctrlPr>
              <w:rPr>
                <w:rFonts w:ascii="Cambria Math" w:hAnsi="Cambria Math" w:cs="XITS Math"/>
                <w:i/>
                <w:iCs/>
              </w:rPr>
            </m:ctrlPr>
          </m:e>
          <m:sub>
            <m:r>
              <m:rPr/>
              <w:rPr>
                <w:rFonts w:ascii="Cambria Math" w:hAnsi="Cambria Math" w:cs="XITS Math"/>
              </w:rPr>
              <m:t>s</m:t>
            </m:r>
            <m:r>
              <m:rPr/>
              <w:rPr>
                <w:rFonts w:hint="eastAsia" w:ascii="Cambria Math" w:hAnsi="Cambria Math" w:cs="XITS Math"/>
              </w:rPr>
              <m:t>n</m:t>
            </m:r>
            <m:ctrlPr>
              <w:rPr>
                <w:rFonts w:ascii="Cambria Math" w:hAnsi="Cambria Math" w:cs="XITS Math"/>
                <w:i/>
                <w:iCs/>
              </w:rPr>
            </m:ctrlPr>
          </m:sub>
          <m:sup>
            <m:r>
              <m:rPr/>
              <w:rPr>
                <w:rFonts w:ascii="Cambria Math" w:hAnsi="Cambria Math" w:cs="XITS Math"/>
              </w:rPr>
              <m:t>'</m:t>
            </m:r>
            <m:ctrlPr>
              <w:rPr>
                <w:rFonts w:ascii="Cambria Math" w:hAnsi="Cambria Math" w:cs="XITS Math"/>
                <w:i/>
                <w:iCs/>
              </w:rPr>
            </m:ctrlPr>
          </m:sup>
        </m:sSubSup>
      </m:oMath>
      <w:r>
        <w:t>——</w:t>
      </w:r>
      <w:r>
        <w:tab/>
      </w:r>
      <w:r>
        <w:rPr>
          <w:rFonts w:hint="eastAsia"/>
        </w:rPr>
        <w:t>穿过结合面的下部受压钢筋净面积；</w:t>
      </w:r>
    </w:p>
    <w:p>
      <w:pPr>
        <w:pStyle w:val="86"/>
      </w:pPr>
      <w:r>
        <w:rPr>
          <w:i/>
          <w:iCs/>
        </w:rPr>
        <w:tab/>
      </w:r>
      <w:r>
        <w:rPr>
          <w:i/>
          <w:iCs/>
        </w:rPr>
        <w:t>A</w:t>
      </w:r>
      <w:r>
        <w:rPr>
          <w:i/>
          <w:iCs/>
          <w:vertAlign w:val="subscript"/>
        </w:rPr>
        <w:t>sv</w:t>
      </w:r>
      <w:r>
        <w:t>——</w:t>
      </w:r>
      <w:r>
        <w:tab/>
      </w:r>
      <w:r>
        <w:t>抗剪钢筋的截面面积</w:t>
      </w:r>
      <w:r>
        <w:rPr>
          <w:rFonts w:hint="eastAsia"/>
        </w:rPr>
        <w:t>；</w:t>
      </w:r>
    </w:p>
    <w:p>
      <w:pPr>
        <w:pStyle w:val="86"/>
      </w:pPr>
      <w:r>
        <w:tab/>
      </w:r>
      <m:oMath>
        <m:sSub>
          <m:sSubPr>
            <m:ctrlPr>
              <w:rPr>
                <w:rFonts w:ascii="XITS Math" w:hAnsi="XITS Math"/>
                <w:i/>
              </w:rPr>
            </m:ctrlPr>
          </m:sSubPr>
          <m:e>
            <m:r>
              <m:rPr/>
              <w:rPr>
                <w:rFonts w:ascii="XITS Math" w:hAnsi="XITS Math"/>
              </w:rPr>
              <m:t>a</m:t>
            </m:r>
            <m:ctrlPr>
              <w:rPr>
                <w:rFonts w:ascii="XITS Math" w:hAnsi="XITS Math"/>
              </w:rPr>
            </m:ctrlPr>
          </m:e>
          <m:sub>
            <m:r>
              <m:rPr/>
              <w:rPr>
                <w:rFonts w:ascii="XITS Math" w:hAnsi="XITS Math"/>
              </w:rPr>
              <m:t>s</m:t>
            </m:r>
            <m:ctrlPr>
              <w:rPr>
                <w:rFonts w:ascii="XITS Math" w:hAnsi="XITS Math"/>
              </w:rPr>
            </m:ctrlPr>
          </m:sub>
        </m:sSub>
      </m:oMath>
      <w:r>
        <w:t>——</w:t>
      </w:r>
      <w:r>
        <w:tab/>
      </w:r>
      <w:r>
        <w:rPr>
          <w:rFonts w:hint="eastAsia"/>
        </w:rPr>
        <w:t>受拉区钢筋合力点至截面受拉边缘的距离；</w:t>
      </w:r>
    </w:p>
    <w:p>
      <w:pPr>
        <w:pStyle w:val="86"/>
        <w:ind w:firstLine="496"/>
      </w:pPr>
      <w:r>
        <w:rPr>
          <w:sz w:val="21"/>
        </w:rPr>
        <w:tab/>
      </w:r>
      <m:oMath>
        <m:sSubSup>
          <m:sSubSupPr>
            <m:ctrlPr>
              <w:rPr>
                <w:rFonts w:ascii="XITS Math" w:hAnsi="XITS Math"/>
                <w:sz w:val="21"/>
              </w:rPr>
            </m:ctrlPr>
          </m:sSubSupPr>
          <m:e>
            <m:r>
              <m:rPr/>
              <w:rPr>
                <w:rFonts w:ascii="XITS Math" w:hAnsi="XITS Math"/>
              </w:rPr>
              <m:t>a</m:t>
            </m:r>
            <m:ctrlPr>
              <w:rPr>
                <w:rFonts w:ascii="XITS Math" w:hAnsi="XITS Math"/>
                <w:sz w:val="21"/>
              </w:rPr>
            </m:ctrlPr>
          </m:e>
          <m:sub>
            <m:r>
              <m:rPr/>
              <w:rPr>
                <w:rFonts w:ascii="XITS Math" w:hAnsi="XITS Math"/>
              </w:rPr>
              <m:t>s</m:t>
            </m:r>
            <m:ctrlPr>
              <w:rPr>
                <w:rFonts w:ascii="XITS Math" w:hAnsi="XITS Math"/>
                <w:sz w:val="21"/>
              </w:rPr>
            </m:ctrlPr>
          </m:sub>
          <m:sup>
            <m:r>
              <m:rPr>
                <m:sty m:val="p"/>
              </m:rPr>
              <w:rPr>
                <w:rFonts w:ascii="XITS Math" w:hAnsi="XITS Math"/>
              </w:rPr>
              <m:t>'</m:t>
            </m:r>
            <m:ctrlPr>
              <w:rPr>
                <w:rFonts w:ascii="XITS Math" w:hAnsi="XITS Math"/>
                <w:sz w:val="21"/>
              </w:rPr>
            </m:ctrlPr>
          </m:sup>
        </m:sSubSup>
      </m:oMath>
      <w:r>
        <w:t>——</w:t>
      </w:r>
      <w:r>
        <w:tab/>
      </w:r>
      <w:r>
        <w:rPr>
          <w:rFonts w:hint="eastAsia"/>
        </w:rPr>
        <w:t>受压区钢筋合力点至截面受压边缘的距离；</w:t>
      </w:r>
    </w:p>
    <w:p>
      <w:pPr>
        <w:pStyle w:val="86"/>
      </w:pPr>
      <w:r>
        <w:tab/>
      </w:r>
      <m:oMath>
        <m:r>
          <m:rPr/>
          <w:rPr>
            <w:rFonts w:ascii="Cambria Math" w:hAnsi="Cambria Math"/>
          </w:rPr>
          <m:t>b</m:t>
        </m:r>
      </m:oMath>
      <w:r>
        <w:t>——</w:t>
      </w:r>
      <w:r>
        <w:tab/>
      </w:r>
      <w:r>
        <w:rPr>
          <w:rFonts w:hint="eastAsia"/>
        </w:rPr>
        <w:t>混凝土梁宽；</w:t>
      </w:r>
    </w:p>
    <w:p>
      <w:pPr>
        <w:pStyle w:val="86"/>
      </w:pPr>
      <w:r>
        <w:tab/>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w:rPr>
                <w:rFonts w:ascii="Cambria Math" w:hAnsi="Cambria Math"/>
              </w:rPr>
              <m:t>b</m:t>
            </m:r>
            <m:ctrlPr>
              <w:rPr>
                <w:rFonts w:ascii="Cambria Math" w:hAnsi="Cambria Math"/>
                <w:i/>
                <w:iCs/>
              </w:rPr>
            </m:ctrlPr>
          </m:sub>
        </m:sSub>
      </m:oMath>
      <w:r>
        <w:t>——</w:t>
      </w:r>
      <w:r>
        <w:tab/>
      </w:r>
      <w:r>
        <w:t>梁端耗能钢筋直径</w:t>
      </w:r>
      <w:r>
        <w:rPr>
          <w:rFonts w:hint="eastAsia"/>
        </w:rPr>
        <w:t>；</w:t>
      </w:r>
    </w:p>
    <w:p>
      <w:pPr>
        <w:pStyle w:val="86"/>
      </w:pPr>
      <w:r>
        <w:rPr>
          <w:i/>
          <w:iCs/>
        </w:rPr>
        <w:tab/>
      </w:r>
      <w:r>
        <w:rPr>
          <w:i/>
          <w:iCs/>
        </w:rPr>
        <w:t>d</w:t>
      </w:r>
      <w:r>
        <w:rPr>
          <w:i/>
          <w:iCs/>
          <w:vertAlign w:val="subscript"/>
        </w:rPr>
        <w:t>p</w:t>
      </w:r>
      <w:r>
        <w:t>——</w:t>
      </w:r>
      <w:r>
        <w:tab/>
      </w:r>
      <w:r>
        <w:t>单根预应力钢绞线直径；</w:t>
      </w:r>
    </w:p>
    <w:p>
      <w:pPr>
        <w:pStyle w:val="86"/>
      </w:pPr>
      <w:r>
        <w:tab/>
      </w:r>
      <w:r>
        <w:rPr>
          <w:rFonts w:hint="eastAsia"/>
          <w:i/>
          <w:iCs/>
        </w:rPr>
        <w:t>h</w:t>
      </w:r>
      <w:r>
        <w:t>——</w:t>
      </w:r>
      <w:r>
        <w:tab/>
      </w:r>
      <w:r>
        <w:t>梁截面</w:t>
      </w:r>
      <w:r>
        <w:rPr>
          <w:rFonts w:hint="eastAsia"/>
        </w:rPr>
        <w:t>高度；</w:t>
      </w:r>
    </w:p>
    <w:p>
      <w:pPr>
        <w:pStyle w:val="86"/>
      </w:pPr>
      <w:r>
        <w:tab/>
      </w:r>
      <m:oMath>
        <m:sSub>
          <m:sSubPr>
            <m:ctrlPr>
              <w:rPr>
                <w:rFonts w:ascii="Cambria Math" w:hAnsi="Cambria Math"/>
                <w:i/>
                <w:iCs/>
              </w:rPr>
            </m:ctrlPr>
          </m:sSubPr>
          <m:e>
            <m:r>
              <m:rPr/>
              <w:rPr>
                <w:rFonts w:ascii="Cambria Math" w:hAnsi="Cambria Math" w:eastAsia="MS Gothic"/>
              </w:rPr>
              <m:t>ℎ</m:t>
            </m:r>
            <m:ctrlPr>
              <w:rPr>
                <w:rFonts w:ascii="Cambria Math" w:hAnsi="Cambria Math"/>
                <w:i/>
                <w:iCs/>
              </w:rPr>
            </m:ctrlPr>
          </m:e>
          <m:sub>
            <m:r>
              <m:rPr/>
              <w:rPr>
                <w:rFonts w:ascii="Cambria Math" w:hAnsi="Cambria Math"/>
              </w:rPr>
              <m:t>0</m:t>
            </m:r>
            <m:ctrlPr>
              <w:rPr>
                <w:rFonts w:ascii="Cambria Math" w:hAnsi="Cambria Math"/>
                <w:i/>
                <w:iCs/>
              </w:rPr>
            </m:ctrlPr>
          </m:sub>
        </m:sSub>
      </m:oMath>
      <w:r>
        <w:t>——</w:t>
      </w:r>
      <w:r>
        <w:tab/>
      </w:r>
      <w:r>
        <w:t>梁端耗能钢筋到梁截面底边缘的距离</w:t>
      </w:r>
      <w:r>
        <w:rPr>
          <w:rFonts w:hint="eastAsia"/>
        </w:rPr>
        <w:t>；</w:t>
      </w:r>
    </w:p>
    <w:p>
      <w:pPr>
        <w:pStyle w:val="86"/>
      </w:pPr>
      <w:r>
        <w:tab/>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p</m:t>
            </m:r>
            <m:ctrlPr>
              <w:rPr>
                <w:rFonts w:ascii="Cambria Math" w:hAnsi="Cambria Math"/>
              </w:rPr>
            </m:ctrlPr>
          </m:sub>
        </m:sSub>
      </m:oMath>
      <w:r>
        <w:t>——</w:t>
      </w:r>
      <w:r>
        <w:tab/>
      </w:r>
      <w:r>
        <w:t>预应力</w:t>
      </w:r>
      <w:r>
        <w:rPr>
          <w:rFonts w:hint="eastAsia"/>
        </w:rPr>
        <w:t>筋</w:t>
      </w:r>
      <w:r>
        <w:t>合力点至截面受压边缘的距离；</w:t>
      </w:r>
    </w:p>
    <w:p>
      <w:pPr>
        <w:pStyle w:val="86"/>
      </w:pPr>
      <w: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m:t>
            </m:r>
            <m:ctrlPr>
              <w:rPr>
                <w:rFonts w:ascii="Cambria Math" w:hAnsi="Cambria Math"/>
                <w:i/>
                <w:iCs/>
              </w:rPr>
            </m:ctrlPr>
          </m:sub>
        </m:sSub>
      </m:oMath>
      <w:r>
        <w:t>——</w:t>
      </w:r>
      <w:r>
        <w:tab/>
      </w:r>
      <w:r>
        <w:t>梁端耗能钢筋无</w:t>
      </w:r>
      <w:r>
        <w:rPr>
          <w:rFonts w:hint="eastAsia"/>
        </w:rPr>
        <w:t>粘结</w:t>
      </w:r>
      <w:r>
        <w:t>长度</w:t>
      </w:r>
      <w:r>
        <w:rPr>
          <w:rFonts w:hint="eastAsia"/>
        </w:rPr>
        <w:t>；</w:t>
      </w:r>
    </w:p>
    <w:p>
      <w:pPr>
        <w:pStyle w:val="86"/>
      </w:pPr>
      <w:r>
        <w:rPr>
          <w:iCs/>
        </w:rP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ups</m:t>
            </m:r>
            <m:ctrlPr>
              <w:rPr>
                <w:rFonts w:ascii="Cambria Math" w:hAnsi="Cambria Math"/>
                <w:i/>
                <w:iCs/>
              </w:rPr>
            </m:ctrlPr>
          </m:sub>
        </m:sSub>
      </m:oMath>
      <w:r>
        <w:t>——</w:t>
      </w:r>
      <w:r>
        <w:tab/>
      </w:r>
      <w:r>
        <w:t>预应力</w:t>
      </w:r>
      <w:r>
        <w:rPr>
          <w:rFonts w:hint="eastAsia"/>
        </w:rPr>
        <w:t>筋</w:t>
      </w:r>
      <w:r>
        <w:t>的无</w:t>
      </w:r>
      <w:r>
        <w:rPr>
          <w:rFonts w:hint="eastAsia"/>
        </w:rPr>
        <w:t>粘结</w:t>
      </w:r>
      <w:r>
        <w:t>长度</w:t>
      </w:r>
      <w:r>
        <w:rPr>
          <w:rFonts w:hint="eastAsia"/>
        </w:rPr>
        <w:t>；</w:t>
      </w:r>
    </w:p>
    <w:p>
      <w:pPr>
        <w:pStyle w:val="86"/>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w:rPr>
                <w:rFonts w:ascii="Cambria Math" w:hAnsi="Cambria Math"/>
              </w:rPr>
              <m:t>pu</m:t>
            </m:r>
            <m:ctrlPr>
              <w:rPr>
                <w:rFonts w:ascii="Cambria Math" w:hAnsi="Cambria Math"/>
                <w:i/>
                <w:iCs/>
              </w:rPr>
            </m:ctrlPr>
          </m:sub>
        </m:sSub>
      </m:oMath>
      <w:r>
        <w:t>——</w:t>
      </w:r>
      <w:r>
        <w:tab/>
      </w:r>
      <w:r>
        <w:t>无</w:t>
      </w:r>
      <w:r>
        <w:rPr>
          <w:rFonts w:hint="eastAsia"/>
        </w:rPr>
        <w:t>粘结</w:t>
      </w:r>
      <w:r>
        <w:t>预应力</w:t>
      </w:r>
      <w:r>
        <w:rPr>
          <w:rFonts w:hint="eastAsia"/>
        </w:rPr>
        <w:t>筋</w:t>
      </w:r>
      <w:r>
        <w:t>应力达到0.95</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ptk</m:t>
            </m:r>
            <m:ctrlPr>
              <w:rPr>
                <w:rFonts w:ascii="Cambria Math" w:hAnsi="Cambria Math"/>
              </w:rPr>
            </m:ctrlPr>
          </m:sub>
        </m:sSub>
      </m:oMath>
      <w:r>
        <w:t>时的应变；</w:t>
      </w:r>
    </w:p>
    <w:p>
      <w:pPr>
        <w:pStyle w:val="86"/>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w:rPr>
                <w:rFonts w:ascii="Cambria Math" w:hAnsi="Cambria Math"/>
              </w:rPr>
              <m:t>s</m:t>
            </m:r>
            <m:ctrlPr>
              <w:rPr>
                <w:rFonts w:ascii="Cambria Math" w:hAnsi="Cambria Math"/>
                <w:i/>
                <w:iCs/>
              </w:rPr>
            </m:ctrlPr>
          </m:sub>
        </m:sSub>
      </m:oMath>
      <w:r>
        <w:t>——</w:t>
      </w:r>
      <w:r>
        <w:tab/>
      </w:r>
      <w:r>
        <w:t>耗能钢筋的应变</w:t>
      </w:r>
      <w:r>
        <w:rPr>
          <w:rFonts w:hint="eastAsia"/>
        </w:rPr>
        <w:t>；</w:t>
      </w:r>
    </w:p>
    <w:p>
      <w:pPr>
        <w:pStyle w:val="86"/>
      </w:pPr>
      <w:r>
        <w:tab/>
      </w:r>
      <m:oMath>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1</m:t>
            </m:r>
            <m:ctrlPr>
              <w:rPr>
                <w:rFonts w:ascii="Cambria Math" w:hAnsi="Cambria Math"/>
                <w:i/>
              </w:rPr>
            </m:ctrlPr>
          </m:sub>
        </m:sSub>
        <m:r>
          <m:rPr>
            <m:sty m:val="p"/>
          </m:rPr>
          <w:rPr>
            <w:rFonts w:hint="eastAsia" w:ascii="XITS Math" w:hAnsi="XITS Math" w:cs="XITS Math"/>
          </w:rPr>
          <m: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2</m:t>
            </m:r>
            <m:ctrlPr>
              <w:rPr>
                <w:rFonts w:ascii="Cambria Math" w:hAnsi="Cambria Math"/>
                <w:i/>
              </w:rPr>
            </m:ctrlPr>
          </m:sub>
        </m:sSub>
      </m:oMath>
      <w:r>
        <w:t>——</w:t>
      </w:r>
      <w:r>
        <w:tab/>
      </w:r>
      <w:r>
        <w:rPr>
          <w:rFonts w:hint="eastAsia"/>
        </w:rPr>
        <w:t>柱两侧梁柱</w:t>
      </w:r>
      <w:r>
        <w:t>结合面</w:t>
      </w:r>
      <w:r>
        <w:rPr>
          <w:rFonts w:hint="eastAsia"/>
        </w:rPr>
        <w:t>张开</w:t>
      </w:r>
      <w:r>
        <w:t>角度</w:t>
      </w:r>
      <w:r>
        <w:rPr>
          <w:rFonts w:hint="eastAsia"/>
        </w:rPr>
        <w:t>；</w:t>
      </w:r>
    </w:p>
    <w:p>
      <w:pPr>
        <w:pStyle w:val="86"/>
      </w:pPr>
      <w:r>
        <w:tab/>
      </w:r>
      <m:oMath>
        <m:r>
          <m:rPr/>
          <w:rPr>
            <w:rFonts w:ascii="Cambria Math" w:hAnsi="Cambria Math"/>
          </w:rPr>
          <m:t>x</m:t>
        </m:r>
      </m:oMath>
      <w:r>
        <w:t>——</w:t>
      </w:r>
      <w:r>
        <w:tab/>
      </w:r>
      <w:r>
        <w:rPr>
          <w:rFonts w:hint="eastAsia"/>
        </w:rPr>
        <w:t>等效矩形应力图形的混凝土受压区高度；</w:t>
      </w:r>
    </w:p>
    <w:p/>
    <w:p>
      <w:pPr>
        <w:pStyle w:val="4"/>
      </w:pPr>
      <w:bookmarkStart w:id="64" w:name="_Toc86067824"/>
      <w:r>
        <w:t>计算系数及其他</w:t>
      </w:r>
      <w:bookmarkEnd w:id="64"/>
      <w:r>
        <w:rPr>
          <w:rFonts w:hint="eastAsia"/>
        </w:rPr>
        <w:t>：</w:t>
      </w:r>
    </w:p>
    <w:p>
      <w:pPr>
        <w:pStyle w:val="86"/>
      </w:pPr>
      <w:r>
        <w:tab/>
      </w:r>
      <m:oMath>
        <m:sSub>
          <m:sSubPr>
            <m:ctrlPr>
              <w:rPr>
                <w:rFonts w:ascii="Cambria Math" w:hAnsi="Cambria Math"/>
                <w:i/>
                <w:iCs/>
              </w:rPr>
            </m:ctrlPr>
          </m:sSubPr>
          <m:e>
            <m:sSub>
              <m:sSubPr>
                <m:ctrlPr>
                  <w:rPr>
                    <w:rStyle w:val="83"/>
                    <w:rFonts w:ascii="Cambria Math" w:hAnsi="Cambria Math"/>
                    <w:i/>
                    <w:iCs/>
                    <w:color w:val="auto"/>
                  </w:rPr>
                </m:ctrlPr>
              </m:sSubPr>
              <m:e>
                <m:r>
                  <m:rPr/>
                  <w:rPr>
                    <w:rStyle w:val="83"/>
                    <w:rFonts w:ascii="Cambria Math" w:hAnsi="Cambria Math"/>
                    <w:color w:val="auto"/>
                  </w:rPr>
                  <m:t>α</m:t>
                </m:r>
                <m:ctrlPr>
                  <w:rPr>
                    <w:rStyle w:val="83"/>
                    <w:rFonts w:ascii="Cambria Math" w:hAnsi="Cambria Math"/>
                    <w:i/>
                    <w:iCs/>
                    <w:color w:val="auto"/>
                  </w:rPr>
                </m:ctrlPr>
              </m:e>
              <m:sub>
                <m:r>
                  <m:rPr/>
                  <w:rPr>
                    <w:rStyle w:val="83"/>
                    <w:rFonts w:ascii="Cambria Math" w:hAnsi="Cambria Math"/>
                    <w:color w:val="auto"/>
                  </w:rPr>
                  <m:t>1</m:t>
                </m:r>
                <m:ctrlPr>
                  <w:rPr>
                    <w:rStyle w:val="83"/>
                    <w:rFonts w:ascii="Cambria Math" w:hAnsi="Cambria Math"/>
                    <w:i/>
                    <w:iCs/>
                    <w:color w:val="auto"/>
                  </w:rPr>
                </m:ctrlPr>
              </m:sub>
            </m:sSub>
            <m:r>
              <m:rPr>
                <m:sty m:val="p"/>
              </m:rPr>
              <w:rPr>
                <w:rFonts w:hint="eastAsia" w:ascii="XITS Math" w:hAnsi="XITS Math" w:cs="XITS Math"/>
              </w:rPr>
              <m:t>、</m:t>
            </m:r>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w:t>
      </w:r>
      <w:r>
        <w:tab/>
      </w:r>
      <w:r>
        <w:t>受压区混凝土等效矩形应力图调整系数</w:t>
      </w:r>
      <w:r>
        <w:rPr>
          <w:rFonts w:hint="eastAsia"/>
        </w:rPr>
        <w:t>；</w:t>
      </w:r>
    </w:p>
    <w:p>
      <w:pPr>
        <w:pStyle w:val="86"/>
      </w:pPr>
      <w:r>
        <w:tab/>
      </w:r>
      <m:oMath>
        <m:r>
          <m:rPr/>
          <w:rPr>
            <w:rFonts w:ascii="Cambria Math" w:hAnsi="Cambria Math"/>
          </w:rPr>
          <m:t>μ</m:t>
        </m:r>
      </m:oMath>
      <w:r>
        <w:t>——</w:t>
      </w:r>
      <w:r>
        <w:tab/>
      </w:r>
      <w:r>
        <w:t>摩擦系数</w:t>
      </w:r>
      <w:r>
        <w:rPr>
          <w:rFonts w:hint="eastAsia"/>
        </w:rPr>
        <w:t>；</w:t>
      </w:r>
    </w:p>
    <w:p>
      <w:pPr>
        <w:pStyle w:val="86"/>
      </w:pPr>
      <w:r>
        <w:tab/>
      </w:r>
      <m:oMath>
        <m:sSub>
          <m:sSubPr>
            <m:ctrlPr>
              <w:rPr>
                <w:rFonts w:ascii="Cambria Math" w:hAnsi="Cambria Math" w:cs="XITS Math"/>
                <w:i/>
              </w:rPr>
            </m:ctrlPr>
          </m:sSubPr>
          <m:e>
            <m:r>
              <m:rPr/>
              <w:rPr>
                <w:rFonts w:ascii="Cambria Math" w:hAnsi="Cambria Math" w:cs="Cambria Math"/>
              </w:rPr>
              <m:t>ξ</m:t>
            </m:r>
            <m:ctrlPr>
              <w:rPr>
                <w:rFonts w:ascii="Cambria Math" w:hAnsi="Cambria Math" w:cs="XITS Math"/>
                <w:i/>
              </w:rPr>
            </m:ctrlPr>
          </m:e>
          <m:sub>
            <m:r>
              <m:rPr/>
              <w:rPr>
                <w:rFonts w:ascii="Cambria Math" w:hAnsi="Cambria Math" w:cs="XITS Math"/>
              </w:rPr>
              <m:t>b</m:t>
            </m:r>
            <m:ctrlPr>
              <w:rPr>
                <w:rFonts w:ascii="Cambria Math" w:hAnsi="Cambria Math" w:cs="XITS Math"/>
                <w:i/>
              </w:rPr>
            </m:ctrlPr>
          </m:sub>
        </m:sSub>
      </m:oMath>
      <w:r>
        <w:t>——</w:t>
      </w:r>
      <w:r>
        <w:tab/>
      </w:r>
      <w:r>
        <w:rPr>
          <w:rFonts w:hint="eastAsia"/>
        </w:rPr>
        <w:t>相对界限受压区高度。</w:t>
      </w:r>
    </w:p>
    <w:p/>
    <w:p>
      <w:pPr>
        <w:pStyle w:val="86"/>
      </w:pPr>
    </w:p>
    <w:p>
      <w:pPr>
        <w:pStyle w:val="5"/>
      </w:pPr>
      <w:r>
        <w:br w:type="page"/>
      </w:r>
    </w:p>
    <w:p>
      <w:pPr>
        <w:pStyle w:val="2"/>
      </w:pPr>
      <w:bookmarkStart w:id="65" w:name="_Toc91664505"/>
      <w:bookmarkStart w:id="66" w:name="_Toc92182241"/>
      <w:bookmarkStart w:id="67" w:name="_Toc91664395"/>
      <w:bookmarkStart w:id="68" w:name="_Toc202345806"/>
      <w:bookmarkStart w:id="69" w:name="_Toc86067836"/>
      <w:r>
        <w:t>基本规定</w:t>
      </w:r>
      <w:bookmarkEnd w:id="65"/>
      <w:bookmarkEnd w:id="66"/>
      <w:bookmarkEnd w:id="67"/>
      <w:bookmarkEnd w:id="68"/>
      <w:bookmarkEnd w:id="69"/>
    </w:p>
    <w:p>
      <w:pPr>
        <w:pStyle w:val="3"/>
      </w:pPr>
      <w:bookmarkStart w:id="70" w:name="_Toc202345807"/>
      <w:bookmarkStart w:id="71" w:name="_Toc86067848"/>
      <w:bookmarkStart w:id="72" w:name="_Toc92182242"/>
      <w:bookmarkStart w:id="73" w:name="_Toc91664396"/>
      <w:bookmarkStart w:id="74" w:name="_Toc91664506"/>
      <w:r>
        <w:rPr>
          <w:rFonts w:hint="eastAsia"/>
        </w:rPr>
        <w:t>一般规定</w:t>
      </w:r>
      <w:bookmarkEnd w:id="70"/>
      <w:bookmarkStart w:id="75" w:name="_Toc197444872"/>
      <w:bookmarkEnd w:id="75"/>
    </w:p>
    <w:p>
      <w:pPr>
        <w:pStyle w:val="4"/>
      </w:pPr>
      <w:r>
        <w:rPr>
          <w:rFonts w:hint="eastAsia"/>
        </w:rPr>
        <w:t>预应力压接装配式结构包括压接装配框架结构、压接装配框架-抗震墙结构、压接装配框架-核心筒结构、压接装配板柱-抗震墙结构。</w:t>
      </w:r>
    </w:p>
    <w:p>
      <w:pPr>
        <w:pStyle w:val="4"/>
      </w:pPr>
      <w:bookmarkStart w:id="76" w:name="_Ref197960585"/>
      <w:r>
        <w:rPr>
          <w:rFonts w:hint="eastAsia"/>
        </w:rPr>
        <w:t>预应力压接装配式结构应具有清晰、完整及可靠的传力途径，宜合理连接压接装配框架、压接装配板柱和抗震墙等抗侧力分体系形成具有多道抗震防线的整体抗震结构体系。</w:t>
      </w:r>
      <w:bookmarkEnd w:id="76"/>
    </w:p>
    <w:p>
      <w:pPr>
        <w:pStyle w:val="4"/>
      </w:pPr>
      <w:bookmarkStart w:id="77" w:name="_Ref197960722"/>
      <w:bookmarkStart w:id="78" w:name="_Ref86134775"/>
      <w:r>
        <w:rPr>
          <w:rFonts w:hint="eastAsia"/>
        </w:rPr>
        <w:t>抗震计算时，预应力压接装配式结构的阻尼比应符合下列规定：</w:t>
      </w:r>
      <w:bookmarkEnd w:id="77"/>
    </w:p>
    <w:p>
      <w:pPr>
        <w:pStyle w:val="70"/>
      </w:pPr>
      <w:r>
        <w:rPr>
          <w:rFonts w:hint="eastAsia"/>
          <w:b/>
        </w:rPr>
        <w:t>1</w:t>
      </w:r>
      <w:r>
        <w:rPr>
          <w:b/>
        </w:rPr>
        <w:tab/>
      </w:r>
      <w:bookmarkStart w:id="79" w:name="_Hlk175142110"/>
      <w:r>
        <w:rPr>
          <w:rFonts w:hint="eastAsia"/>
        </w:rPr>
        <w:t>压接装配框架</w:t>
      </w:r>
      <w:r>
        <w:t>的阻尼比可</w:t>
      </w:r>
      <w:r>
        <w:rPr>
          <w:rFonts w:hint="eastAsia"/>
        </w:rPr>
        <w:t>取</w:t>
      </w:r>
      <w:r>
        <w:t>0.03</w:t>
      </w:r>
      <w:r>
        <w:rPr>
          <w:rFonts w:hint="eastAsia"/>
        </w:rPr>
        <w:t>，压接装配板柱的阻尼比可取0</w:t>
      </w:r>
      <w:r>
        <w:t>.04</w:t>
      </w:r>
      <w:r>
        <w:rPr>
          <w:rFonts w:hint="eastAsia"/>
        </w:rPr>
        <w:t>，</w:t>
      </w:r>
      <w:bookmarkEnd w:id="79"/>
      <w:r>
        <w:rPr>
          <w:rFonts w:hint="eastAsia"/>
        </w:rPr>
        <w:t>预应力压接装配式结构的</w:t>
      </w:r>
      <w:r>
        <w:t>等效阻尼比可按压接装配框架</w:t>
      </w:r>
      <w:r>
        <w:rPr>
          <w:rFonts w:hint="eastAsia"/>
        </w:rPr>
        <w:t>和压接装配板柱</w:t>
      </w:r>
      <w:r>
        <w:t>部分在整个结构总变形能</w:t>
      </w:r>
      <w:r>
        <w:rPr>
          <w:rFonts w:hint="eastAsia"/>
        </w:rPr>
        <w:t>中</w:t>
      </w:r>
      <w:r>
        <w:t>所占比例折算</w:t>
      </w:r>
      <w:r>
        <w:rPr>
          <w:rFonts w:hint="eastAsia"/>
        </w:rPr>
        <w:t>；</w:t>
      </w:r>
    </w:p>
    <w:p>
      <w:pPr>
        <w:pStyle w:val="70"/>
      </w:pPr>
      <w:r>
        <w:rPr>
          <w:rFonts w:hint="eastAsia"/>
          <w:b/>
        </w:rPr>
        <w:t>2</w:t>
      </w:r>
      <w:r>
        <w:rPr>
          <w:b/>
        </w:rPr>
        <w:tab/>
      </w:r>
      <w:bookmarkStart w:id="80" w:name="_Toc86067855"/>
      <w:r>
        <w:t>对于框架结构，等效阻尼比也可</w:t>
      </w:r>
      <w:r>
        <w:rPr>
          <w:rFonts w:hint="eastAsia"/>
        </w:rPr>
        <w:t>根据压接装配框架</w:t>
      </w:r>
      <w:r>
        <w:t>所承担竖向荷载的结构面积占总结构面积比</w:t>
      </w:r>
      <m:oMath>
        <m:r>
          <m:rPr>
            <m:sty m:val="p"/>
          </m:rPr>
          <w:rPr>
            <w:rFonts w:ascii="Cambria Math" w:hAnsi="Cambria Math"/>
          </w:rPr>
          <m:t>ξ</m:t>
        </m:r>
      </m:oMath>
      <w:r>
        <w:rPr>
          <w:rFonts w:hint="eastAsia"/>
        </w:rPr>
        <w:t>按</w:t>
      </w:r>
      <w:r>
        <w:fldChar w:fldCharType="begin"/>
      </w:r>
      <w:r>
        <w:instrText xml:space="preserve"> REF _Ref63609473 \h </w:instrText>
      </w:r>
      <w:r>
        <w:fldChar w:fldCharType="separate"/>
      </w:r>
      <w:r>
        <w:t>表3. 1. 3</w:t>
      </w:r>
      <w:r>
        <w:fldChar w:fldCharType="end"/>
      </w:r>
      <w:r>
        <w:rPr>
          <w:rFonts w:hint="eastAsia"/>
        </w:rPr>
        <w:t>的规定</w:t>
      </w:r>
      <w:r>
        <w:t>取值</w:t>
      </w:r>
      <w:r>
        <w:rPr>
          <w:rFonts w:hint="eastAsia"/>
        </w:rPr>
        <w:t>。</w:t>
      </w:r>
      <w:r>
        <w:t>如两个方向面积比不同</w:t>
      </w:r>
      <w:r>
        <w:rPr>
          <w:rFonts w:hint="eastAsia"/>
        </w:rPr>
        <w:t>时，等效阻尼比</w:t>
      </w:r>
      <w:r>
        <w:t>应取较</w:t>
      </w:r>
      <w:r>
        <w:rPr>
          <w:rFonts w:hint="eastAsia"/>
        </w:rPr>
        <w:t>小</w:t>
      </w:r>
      <w:r>
        <w:t>值</w:t>
      </w:r>
      <w:r>
        <w:rPr>
          <w:rFonts w:hint="eastAsia"/>
        </w:rPr>
        <w:t>；</w:t>
      </w:r>
    </w:p>
    <w:p>
      <w:pPr>
        <w:pStyle w:val="70"/>
        <w:rPr>
          <w:b/>
        </w:rPr>
      </w:pPr>
      <w:r>
        <w:rPr>
          <w:b/>
        </w:rPr>
        <w:t>3</w:t>
      </w:r>
      <w:r>
        <w:tab/>
      </w:r>
      <w:r>
        <w:t>对于</w:t>
      </w:r>
      <w:r>
        <w:rPr>
          <w:rFonts w:hint="eastAsia"/>
        </w:rPr>
        <w:t>压接装配</w:t>
      </w:r>
      <w:r>
        <w:t>框架-抗震墙结构</w:t>
      </w:r>
      <w:r>
        <w:rPr>
          <w:rFonts w:hint="eastAsia"/>
        </w:rPr>
        <w:t>、压接装配</w:t>
      </w:r>
      <w:r>
        <w:t>框架-核心筒结构</w:t>
      </w:r>
      <w:r>
        <w:rPr>
          <w:rFonts w:hint="eastAsia"/>
        </w:rPr>
        <w:t>和压接装配板柱-抗震墙结构</w:t>
      </w:r>
      <w:r>
        <w:t>，等效阻尼比可取0.05</w:t>
      </w:r>
      <w:bookmarkEnd w:id="78"/>
      <w:bookmarkEnd w:id="80"/>
      <w:r>
        <w:rPr>
          <w:rFonts w:hint="eastAsia"/>
        </w:rPr>
        <w:t>。</w:t>
      </w:r>
    </w:p>
    <w:p>
      <w:pPr>
        <w:pStyle w:val="68"/>
      </w:pPr>
      <w:bookmarkStart w:id="81" w:name="_Ref63609473"/>
      <w:r>
        <w:t>表</w:t>
      </w:r>
      <w:r>
        <w:fldChar w:fldCharType="begin"/>
      </w:r>
      <w:r>
        <w:instrText xml:space="preserve"> STYLEREF 3 \s </w:instrText>
      </w:r>
      <w:r>
        <w:fldChar w:fldCharType="separate"/>
      </w:r>
      <w:r>
        <w:t>3. 1. 3</w:t>
      </w:r>
      <w:r>
        <w:fldChar w:fldCharType="end"/>
      </w:r>
      <w:bookmarkEnd w:id="81"/>
      <w:r>
        <w:t>框架结构等效阻尼比近似取值</w:t>
      </w:r>
    </w:p>
    <w:tbl>
      <w:tblPr>
        <w:tblStyle w:val="8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4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7"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m:oMathPara>
              <m:oMath>
                <m:r>
                  <m:rPr>
                    <m:sty m:val="b"/>
                  </m:rPr>
                  <w:rPr>
                    <w:rFonts w:ascii="Cambria Math" w:hAnsi="Cambria Math" w:eastAsia="宋体"/>
                  </w:rPr>
                  <m:t>ξ</m:t>
                </m:r>
              </m:oMath>
            </m:oMathPara>
          </w:p>
        </w:tc>
        <w:tc>
          <w:tcPr>
            <w:tcW w:w="4139"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结构等效阻尼比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7" w:type="dxa"/>
            <w:vAlign w:val="center"/>
          </w:tcPr>
          <w:p>
            <w:pPr>
              <w:pStyle w:val="65"/>
              <w:rPr>
                <w:rFonts w:hint="eastAsia" w:ascii="MS Sans Serif" w:hAnsi="MS Sans Serif"/>
              </w:rPr>
            </w:pPr>
            <m:oMathPara>
              <m:oMath>
                <m:r>
                  <m:rPr>
                    <m:sty m:val="p"/>
                  </m:rPr>
                  <w:rPr>
                    <w:rFonts w:ascii="Cambria Math" w:hAnsi="Cambria Math"/>
                  </w:rPr>
                  <m:t>ξ≥0.70</m:t>
                </m:r>
              </m:oMath>
            </m:oMathPara>
          </w:p>
        </w:tc>
        <w:tc>
          <w:tcPr>
            <w:tcW w:w="4139" w:type="dxa"/>
            <w:vAlign w:val="center"/>
          </w:tcPr>
          <w:p>
            <w:pPr>
              <w:pStyle w:val="65"/>
              <w:rPr>
                <w:rFonts w:hint="eastAsia" w:ascii="MS Sans Serif" w:hAnsi="MS Sans Serif"/>
              </w:rPr>
            </w:pPr>
            <w:r>
              <w:rPr>
                <w:rFonts w:ascii="MS Sans Serif" w:hAnsi="MS Sans Serif"/>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37" w:type="dxa"/>
            <w:vAlign w:val="center"/>
          </w:tcPr>
          <w:p>
            <w:pPr>
              <w:pStyle w:val="65"/>
              <w:rPr>
                <w:rFonts w:hint="eastAsia" w:ascii="MS Sans Serif" w:hAnsi="MS Sans Serif"/>
              </w:rPr>
            </w:pPr>
            <m:oMathPara>
              <m:oMath>
                <m:r>
                  <m:rPr>
                    <m:sty m:val="p"/>
                  </m:rPr>
                  <w:rPr>
                    <w:rFonts w:ascii="Cambria Math" w:hAnsi="Cambria Math"/>
                  </w:rPr>
                  <m:t>0.25≤ξ&lt;0.70</m:t>
                </m:r>
              </m:oMath>
            </m:oMathPara>
          </w:p>
        </w:tc>
        <w:tc>
          <w:tcPr>
            <w:tcW w:w="4139" w:type="dxa"/>
            <w:vAlign w:val="center"/>
          </w:tcPr>
          <w:p>
            <w:pPr>
              <w:pStyle w:val="65"/>
              <w:rPr>
                <w:rFonts w:hint="eastAsia" w:ascii="MS Sans Serif" w:hAnsi="MS Sans Serif"/>
              </w:rPr>
            </w:pPr>
            <w:r>
              <w:rPr>
                <w:rFonts w:ascii="MS Sans Serif" w:hAnsi="MS Sans Serif"/>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137" w:type="dxa"/>
            <w:vAlign w:val="center"/>
          </w:tcPr>
          <w:p>
            <w:pPr>
              <w:pStyle w:val="65"/>
              <w:rPr>
                <w:rFonts w:hint="eastAsia" w:ascii="MS Sans Serif" w:hAnsi="MS Sans Serif"/>
              </w:rPr>
            </w:pPr>
            <m:oMathPara>
              <m:oMath>
                <m:r>
                  <m:rPr>
                    <m:sty m:val="p"/>
                  </m:rPr>
                  <w:rPr>
                    <w:rFonts w:ascii="Cambria Math" w:hAnsi="Cambria Math"/>
                  </w:rPr>
                  <m:t>ξ&lt;0.25</m:t>
                </m:r>
              </m:oMath>
            </m:oMathPara>
          </w:p>
        </w:tc>
        <w:tc>
          <w:tcPr>
            <w:tcW w:w="4139" w:type="dxa"/>
            <w:vAlign w:val="center"/>
          </w:tcPr>
          <w:p>
            <w:pPr>
              <w:pStyle w:val="65"/>
              <w:rPr>
                <w:rFonts w:hint="eastAsia" w:ascii="MS Sans Serif" w:hAnsi="MS Sans Serif"/>
              </w:rPr>
            </w:pPr>
            <w:r>
              <w:rPr>
                <w:rFonts w:ascii="MS Sans Serif" w:hAnsi="MS Sans Serif"/>
              </w:rPr>
              <w:t>0.05</w:t>
            </w:r>
          </w:p>
        </w:tc>
      </w:tr>
    </w:tbl>
    <w:p/>
    <w:p>
      <w:pPr>
        <w:pStyle w:val="4"/>
      </w:pPr>
      <w:r>
        <w:rPr>
          <w:rFonts w:hint="eastAsia"/>
        </w:rPr>
        <w:t>预应力压接装配式结构构件设计应符合下列规定：</w:t>
      </w:r>
    </w:p>
    <w:p>
      <w:pPr>
        <w:pStyle w:val="70"/>
      </w:pPr>
      <w:r>
        <w:rPr>
          <w:rFonts w:hint="eastAsia"/>
          <w:b/>
        </w:rPr>
        <w:t>1</w:t>
      </w:r>
      <w:r>
        <w:tab/>
      </w:r>
      <w:r>
        <w:rPr>
          <w:rFonts w:hint="eastAsia"/>
        </w:rPr>
        <w:t>对持久设计状况，应对框架梁、框架柱、楼板和连接进行承载能力极限状态验算，应对框架梁和楼板进行正常使用极限状态下的变形、裂缝控制或舒适度验算；</w:t>
      </w:r>
    </w:p>
    <w:p>
      <w:pPr>
        <w:pStyle w:val="70"/>
      </w:pPr>
      <w:r>
        <w:rPr>
          <w:rFonts w:hint="eastAsia"/>
          <w:b/>
        </w:rPr>
        <w:t>2</w:t>
      </w:r>
      <w:r>
        <w:tab/>
      </w:r>
      <w:r>
        <w:rPr>
          <w:rFonts w:hint="eastAsia"/>
        </w:rPr>
        <w:t>对地震设计状况，应对抗侧力构件进行承载能力极限状态验算；</w:t>
      </w:r>
    </w:p>
    <w:p>
      <w:pPr>
        <w:pStyle w:val="70"/>
      </w:pPr>
      <w:r>
        <w:rPr>
          <w:b/>
        </w:rPr>
        <w:t>3</w:t>
      </w:r>
      <w:r>
        <w:tab/>
      </w:r>
      <w:r>
        <w:rPr>
          <w:rFonts w:hint="eastAsia"/>
        </w:rPr>
        <w:t>对制作、运输和堆放、安装等短暂设计状况，应依据现行国家标准</w:t>
      </w:r>
      <w:r>
        <w:t>《混凝土结构设计</w:t>
      </w:r>
      <w:r>
        <w:rPr>
          <w:rFonts w:hint="eastAsia"/>
        </w:rPr>
        <w:t>标准</w:t>
      </w:r>
      <w:r>
        <w:t>》GB/</w:t>
      </w:r>
      <w:r>
        <w:rPr>
          <w:rFonts w:hint="eastAsia"/>
        </w:rPr>
        <w:t>T</w:t>
      </w:r>
      <w:r>
        <w:t xml:space="preserve"> 50010</w:t>
      </w:r>
      <w:r>
        <w:rPr>
          <w:rFonts w:hint="eastAsia"/>
        </w:rPr>
        <w:t>和《混凝土结构工程施工规范》GB</w:t>
      </w:r>
      <w:r>
        <w:t xml:space="preserve"> 50666</w:t>
      </w:r>
      <w:r>
        <w:rPr>
          <w:rFonts w:hint="eastAsia"/>
        </w:rPr>
        <w:t>的有关规定进行预制构件验算；</w:t>
      </w:r>
    </w:p>
    <w:p>
      <w:pPr>
        <w:pStyle w:val="70"/>
      </w:pPr>
      <w:r>
        <w:rPr>
          <w:rFonts w:hint="eastAsia"/>
          <w:b/>
        </w:rPr>
        <w:t>4</w:t>
      </w:r>
      <w:r>
        <w:tab/>
      </w:r>
      <w:r>
        <w:rPr>
          <w:rFonts w:hint="eastAsia"/>
        </w:rPr>
        <w:t>以上验算除满足本规程相关规定外，尚应满足国家现行标准</w:t>
      </w:r>
      <w:r>
        <w:t>《混凝土结构设计</w:t>
      </w:r>
      <w:r>
        <w:rPr>
          <w:rFonts w:hint="eastAsia"/>
        </w:rPr>
        <w:t>标准</w:t>
      </w:r>
      <w:r>
        <w:t>》GB/</w:t>
      </w:r>
      <w:r>
        <w:rPr>
          <w:rFonts w:hint="eastAsia"/>
        </w:rPr>
        <w:t>T</w:t>
      </w:r>
      <w:r>
        <w:t xml:space="preserve"> 50010、《建筑抗震设计</w:t>
      </w:r>
      <w:r>
        <w:rPr>
          <w:rFonts w:hint="eastAsia"/>
        </w:rPr>
        <w:t>标准</w:t>
      </w:r>
      <w:r>
        <w:t>》GB/T 50011、</w:t>
      </w:r>
      <w:r>
        <w:rPr>
          <w:rFonts w:hint="eastAsia"/>
        </w:rPr>
        <w:t>《钢管混凝土结构技术规范》GB 50936、《混凝土结构通用规范》GB 55008、</w:t>
      </w:r>
      <w:r>
        <w:t>《</w:t>
      </w:r>
      <w:r>
        <w:rPr>
          <w:rFonts w:hint="eastAsia"/>
        </w:rPr>
        <w:t>无粘结</w:t>
      </w:r>
      <w:r>
        <w:t xml:space="preserve">预应力混凝土结构技术规程》JGJ </w:t>
      </w:r>
      <w:r>
        <w:rPr>
          <w:rFonts w:hint="eastAsia"/>
        </w:rPr>
        <w:t>92和</w:t>
      </w:r>
      <w:r>
        <w:t>《预应力混凝土结构设计规范》JGJ 369的</w:t>
      </w:r>
      <w:r>
        <w:rPr>
          <w:rFonts w:hint="eastAsia"/>
        </w:rPr>
        <w:t>有关</w:t>
      </w:r>
      <w:r>
        <w:t>规定。</w:t>
      </w:r>
    </w:p>
    <w:p>
      <w:pPr>
        <w:pStyle w:val="4"/>
      </w:pPr>
      <w:r>
        <w:rPr>
          <w:rFonts w:hint="eastAsia"/>
        </w:rPr>
        <w:t>预应力压接装配式结构</w:t>
      </w:r>
      <w:r>
        <w:t>构件的承载力应</w:t>
      </w:r>
      <w:r>
        <w:rPr>
          <w:rFonts w:hint="eastAsia"/>
        </w:rPr>
        <w:t>按</w:t>
      </w:r>
      <w:r>
        <w:t>下</w:t>
      </w:r>
      <w:r>
        <w:rPr>
          <w:rFonts w:hint="eastAsia"/>
        </w:rPr>
        <w:t>列公</w:t>
      </w:r>
      <w:r>
        <w:t>式验算</w:t>
      </w:r>
      <w:r>
        <w:rPr>
          <w:rFonts w:hint="eastAsia"/>
        </w:rPr>
        <w:t>：</w:t>
      </w:r>
    </w:p>
    <w:p>
      <w:pPr>
        <w:pStyle w:val="85"/>
      </w:pPr>
      <w:r>
        <w:t>持久</w:t>
      </w:r>
      <w:r>
        <w:rPr>
          <w:rFonts w:hint="eastAsia"/>
        </w:rPr>
        <w:t>或</w:t>
      </w:r>
      <w:r>
        <w:t>短暂设计状况</w:t>
      </w:r>
      <w:r>
        <w:rPr>
          <w:rFonts w:hint="eastAsia"/>
        </w:rPr>
        <w:t xml:space="preserve">： </w:t>
      </w:r>
      <w:r>
        <w:tab/>
      </w: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0</m:t>
            </m:r>
            <m:ctrlPr>
              <w:rPr>
                <w:rFonts w:ascii="Cambria Math" w:hAnsi="Cambria Math"/>
              </w:rPr>
            </m:ctrlPr>
          </m:sub>
        </m:sSub>
        <m:r>
          <m:rPr/>
          <w:rPr>
            <w:rFonts w:ascii="Cambria Math" w:hAnsi="Cambria Math"/>
          </w:rPr>
          <m:t>S</m:t>
        </m:r>
        <m:r>
          <m:rPr>
            <m:sty m:val="p"/>
          </m:rPr>
          <w:rPr>
            <w:rFonts w:ascii="Cambria Math" w:hAnsi="Cambria Math"/>
          </w:rPr>
          <m:t>≤</m:t>
        </m:r>
        <m:r>
          <m:rPr/>
          <w:rPr>
            <w:rFonts w:ascii="Cambria Math" w:hAnsi="Cambria Math"/>
          </w:rPr>
          <m:t>R</m:t>
        </m:r>
      </m:oMath>
      <w:r>
        <w:tab/>
      </w:r>
      <w:r>
        <w:t>（</w:t>
      </w:r>
      <w:r>
        <w:fldChar w:fldCharType="begin"/>
      </w:r>
      <w:r>
        <w:instrText xml:space="preserve"> STYLEREF 3 \s </w:instrText>
      </w:r>
      <w:r>
        <w:fldChar w:fldCharType="separate"/>
      </w:r>
      <w:r>
        <w:t>3. 1. 5</w:t>
      </w:r>
      <w:r>
        <w:fldChar w:fldCharType="end"/>
      </w:r>
      <w:r>
        <w:noBreakHyphen/>
      </w:r>
      <w:r>
        <w:fldChar w:fldCharType="begin"/>
      </w:r>
      <w:r>
        <w:instrText xml:space="preserve"> SEQ 公式 \* ARABIC \s 3 </w:instrText>
      </w:r>
      <w:r>
        <w:fldChar w:fldCharType="separate"/>
      </w:r>
      <w:r>
        <w:t>1</w:t>
      </w:r>
      <w:r>
        <w:fldChar w:fldCharType="end"/>
      </w:r>
      <w:r>
        <w:t>）</w:t>
      </w:r>
    </w:p>
    <w:p>
      <w:pPr>
        <w:pStyle w:val="85"/>
      </w:pPr>
      <w:r>
        <w:t>地震设计状况</w:t>
      </w:r>
      <w:r>
        <w:rPr>
          <w:rFonts w:hint="eastAsia"/>
        </w:rPr>
        <w:t xml:space="preserve"> ：  </w:t>
      </w:r>
      <w:r>
        <w:tab/>
      </w:r>
      <m:oMath>
        <m:r>
          <m:rPr/>
          <w:rPr>
            <w:rFonts w:ascii="Cambria Math" w:hAnsi="Cambria Math"/>
          </w:rPr>
          <m:t>S</m:t>
        </m:r>
        <m:r>
          <m:rPr>
            <m:sty m:val="p"/>
          </m:rPr>
          <w:rPr>
            <w:rFonts w:ascii="Cambria Math" w:hAnsi="Cambria Math"/>
          </w:rPr>
          <m:t>≤</m:t>
        </m:r>
        <m:r>
          <m:rPr/>
          <w:rPr>
            <w:rFonts w:ascii="Cambria Math" w:hAnsi="Cambria Math"/>
          </w:rPr>
          <m:t>R</m:t>
        </m:r>
        <m:r>
          <m:rPr>
            <m:lit/>
            <m:sty m:val="p"/>
          </m:rPr>
          <w:rPr>
            <w:rFonts w:ascii="Cambria Math" w:hAnsi="Cambria Math"/>
          </w:rPr>
          <m:t>/</m:t>
        </m:r>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RE</m:t>
            </m:r>
            <m:ctrlPr>
              <w:rPr>
                <w:rFonts w:ascii="Cambria Math" w:hAnsi="Cambria Math"/>
              </w:rPr>
            </m:ctrlPr>
          </m:sub>
        </m:sSub>
      </m:oMath>
      <w:r>
        <w:tab/>
      </w:r>
      <w:r>
        <w:t>（</w:t>
      </w:r>
      <w:r>
        <w:fldChar w:fldCharType="begin"/>
      </w:r>
      <w:r>
        <w:instrText xml:space="preserve"> STYLEREF 3 \s </w:instrText>
      </w:r>
      <w:r>
        <w:fldChar w:fldCharType="separate"/>
      </w:r>
      <w:r>
        <w:t>3. 1. 5</w:t>
      </w:r>
      <w:r>
        <w:fldChar w:fldCharType="end"/>
      </w:r>
      <w:r>
        <w:noBreakHyphen/>
      </w:r>
      <w:r>
        <w:fldChar w:fldCharType="begin"/>
      </w:r>
      <w:r>
        <w:instrText xml:space="preserve"> SEQ 公式 \* ARABIC \s 3 </w:instrText>
      </w:r>
      <w:r>
        <w:fldChar w:fldCharType="separate"/>
      </w:r>
      <w:r>
        <w:t>2</w:t>
      </w:r>
      <w:r>
        <w:fldChar w:fldCharType="end"/>
      </w:r>
      <w:r>
        <w:t>）</w:t>
      </w:r>
    </w:p>
    <w:p>
      <w:pPr>
        <w:pStyle w:val="86"/>
      </w:pPr>
      <w:r>
        <w:t>式中：</w:t>
      </w:r>
      <w:r>
        <w:tab/>
      </w: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0</m:t>
            </m:r>
            <m:ctrlPr>
              <w:rPr>
                <w:rFonts w:ascii="Cambria Math" w:hAnsi="Cambria Math"/>
              </w:rPr>
            </m:ctrlPr>
          </m:sub>
        </m:sSub>
      </m:oMath>
      <w:r>
        <w:t>——</w:t>
      </w:r>
      <w:r>
        <w:tab/>
      </w:r>
      <w:r>
        <w:t>结构重要性系数</w:t>
      </w:r>
      <w:r>
        <w:rPr>
          <w:rFonts w:hint="eastAsia"/>
        </w:rPr>
        <w:t>，</w:t>
      </w:r>
      <w:r>
        <w:t>在持久设计状况和短暂设计状况下，对安全等级为一级</w:t>
      </w:r>
      <w:r>
        <w:rPr>
          <w:rFonts w:hint="eastAsia"/>
        </w:rPr>
        <w:t>、二级和三级</w:t>
      </w:r>
      <w:r>
        <w:t>的结构构件</w:t>
      </w:r>
      <w:r>
        <w:rPr>
          <w:rFonts w:hint="eastAsia"/>
        </w:rPr>
        <w:t>，</w:t>
      </w:r>
      <w:r>
        <w:t>应分别取</w:t>
      </w: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0</m:t>
            </m:r>
            <m:ctrlPr>
              <w:rPr>
                <w:rFonts w:ascii="Cambria Math" w:hAnsi="Cambria Math"/>
              </w:rPr>
            </m:ctrlPr>
          </m:sub>
        </m:sSub>
      </m:oMath>
      <w:r>
        <w:t>不小于1.1、1.0</w:t>
      </w:r>
      <w:r>
        <w:rPr>
          <w:rFonts w:hint="eastAsia"/>
        </w:rPr>
        <w:t>和0.9；</w:t>
      </w:r>
      <w:r>
        <w:t>对参与组合的预应力作用效应项，当预应力作用效应对承载力有利时，</w:t>
      </w:r>
      <m:oMath>
        <m:sSub>
          <m:sSubPr>
            <m:ctrlPr>
              <w:rPr>
                <w:rFonts w:ascii="Cambria Math" w:hAnsi="Cambria Math"/>
              </w:rPr>
            </m:ctrlPr>
          </m:sSubPr>
          <m:e>
            <m:r>
              <m:rPr>
                <m:sty m:val="p"/>
              </m:rPr>
              <w:rPr>
                <w:rFonts w:ascii="Cambria Math" w:hAnsi="Cambria Math"/>
              </w:rPr>
              <m:t>γ</m:t>
            </m:r>
            <m:ctrlPr>
              <w:rPr>
                <w:rFonts w:ascii="Cambria Math" w:hAnsi="Cambria Math"/>
              </w:rPr>
            </m:ctrlPr>
          </m:e>
          <m:sub>
            <m:r>
              <m:rPr>
                <m:sty m:val="p"/>
              </m:rPr>
              <w:rPr>
                <w:rFonts w:ascii="Cambria Math" w:hAnsi="Cambria Math"/>
              </w:rPr>
              <m:t>0</m:t>
            </m:r>
            <m:ctrlPr>
              <w:rPr>
                <w:rFonts w:ascii="Cambria Math" w:hAnsi="Cambria Math"/>
              </w:rPr>
            </m:ctrlPr>
          </m:sub>
        </m:sSub>
      </m:oMath>
      <w:r>
        <w:t>应取1.0；</w:t>
      </w:r>
    </w:p>
    <w:p>
      <w:pPr>
        <w:pStyle w:val="86"/>
      </w:pPr>
      <w:r>
        <w:tab/>
      </w:r>
      <m:oMath>
        <m:r>
          <m:rPr/>
          <w:rPr>
            <w:rFonts w:ascii="XITS Math" w:hAnsi="XITS Math" w:cs="XITS Math"/>
          </w:rPr>
          <m:t>S</m:t>
        </m:r>
      </m:oMath>
      <w:r>
        <w:t xml:space="preserve"> ——</w:t>
      </w:r>
      <w:r>
        <w:tab/>
      </w:r>
      <w:r>
        <w:t>作用组合的效应设计值</w:t>
      </w:r>
      <w:r>
        <w:rPr>
          <w:rFonts w:hint="eastAsia"/>
        </w:rPr>
        <w:t>，</w:t>
      </w:r>
      <w:r>
        <w:t>对持久设计状况和短暂设计状况应按作用的基本组合计算</w:t>
      </w:r>
      <w:r>
        <w:rPr>
          <w:rFonts w:hint="eastAsia"/>
        </w:rPr>
        <w:t>，</w:t>
      </w:r>
      <w:r>
        <w:t>对地震设计状况应按作用的地震组合计算；</w:t>
      </w:r>
    </w:p>
    <w:p>
      <w:pPr>
        <w:pStyle w:val="86"/>
      </w:pPr>
      <w:r>
        <w:tab/>
      </w:r>
      <m:oMath>
        <m:r>
          <m:rPr/>
          <w:rPr>
            <w:rFonts w:ascii="Cambria Math" w:hAnsi="Cambria Math"/>
          </w:rPr>
          <m:t>R</m:t>
        </m:r>
      </m:oMath>
      <w:r>
        <w:t xml:space="preserve"> ——</w:t>
      </w:r>
      <w:r>
        <w:tab/>
      </w:r>
      <w:r>
        <w:t>结构构件承载力设计值；</w:t>
      </w:r>
    </w:p>
    <w:p>
      <w:pPr>
        <w:pStyle w:val="86"/>
      </w:pPr>
      <w:r>
        <w:tab/>
      </w:r>
      <m:oMath>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RE</m:t>
            </m:r>
            <m:ctrlPr>
              <w:rPr>
                <w:rFonts w:ascii="Cambria Math" w:hAnsi="Cambria Math"/>
              </w:rPr>
            </m:ctrlPr>
          </m:sub>
        </m:sSub>
      </m:oMath>
      <w:r>
        <w:t>——</w:t>
      </w:r>
      <w:r>
        <w:tab/>
      </w:r>
      <w:r>
        <w:t>承载力抗震调整系数</w:t>
      </w:r>
      <w:r>
        <w:rPr>
          <w:rFonts w:hint="eastAsia"/>
        </w:rPr>
        <w:t>。</w:t>
      </w:r>
      <w:r>
        <w:t>按本</w:t>
      </w:r>
      <w:r>
        <w:rPr>
          <w:rFonts w:hint="eastAsia"/>
        </w:rPr>
        <w:t>规程</w:t>
      </w:r>
      <w:r>
        <w:t>第</w:t>
      </w:r>
      <w:r>
        <w:fldChar w:fldCharType="begin"/>
      </w:r>
      <w:r>
        <w:instrText xml:space="preserve"> REF _Ref173160761 \r \h </w:instrText>
      </w:r>
      <w:r>
        <w:fldChar w:fldCharType="separate"/>
      </w:r>
      <w:r>
        <w:t>3. 1. 6</w:t>
      </w:r>
      <w:r>
        <w:fldChar w:fldCharType="end"/>
      </w:r>
      <w:r>
        <w:t>条的规定取用。</w:t>
      </w:r>
    </w:p>
    <w:p>
      <w:pPr>
        <w:pStyle w:val="4"/>
      </w:pPr>
      <w:bookmarkStart w:id="82" w:name="_Ref173160761"/>
      <w:r>
        <w:rPr>
          <w:rFonts w:hint="eastAsia"/>
        </w:rPr>
        <w:t>预应力压接装配式结构</w:t>
      </w:r>
      <w:r>
        <w:t>构件的承载力抗震调整系数</w:t>
      </w:r>
      <m:oMath>
        <m:sSub>
          <m:sSubPr>
            <m:ctrlPr>
              <w:rPr>
                <w:rFonts w:ascii="Cambria Math" w:hAnsi="Cambria Math"/>
                <w:i/>
              </w:rPr>
            </m:ctrlPr>
          </m:sSubPr>
          <m:e>
            <m:r>
              <m:rPr/>
              <w:rPr>
                <w:rFonts w:ascii="Cambria Math" w:hAnsi="Cambria Math"/>
              </w:rPr>
              <m:t>γ</m:t>
            </m:r>
            <m:ctrlPr>
              <w:rPr>
                <w:rFonts w:ascii="Cambria Math" w:hAnsi="Cambria Math"/>
                <w:i/>
              </w:rPr>
            </m:ctrlPr>
          </m:e>
          <m:sub>
            <m:r>
              <m:rPr>
                <m:sty m:val="p"/>
              </m:rPr>
              <w:rPr>
                <w:rFonts w:ascii="Cambria Math" w:hAnsi="Cambria Math"/>
              </w:rPr>
              <m:t>RE</m:t>
            </m:r>
            <m:ctrlPr>
              <w:rPr>
                <w:rFonts w:ascii="Cambria Math" w:hAnsi="Cambria Math"/>
                <w:i/>
              </w:rPr>
            </m:ctrlPr>
          </m:sub>
        </m:sSub>
      </m:oMath>
      <w:r>
        <w:t>应按表</w:t>
      </w:r>
      <w:r>
        <w:fldChar w:fldCharType="begin"/>
      </w:r>
      <w:r>
        <w:instrText xml:space="preserve"> STYLEREF 3 \s </w:instrText>
      </w:r>
      <w:r>
        <w:fldChar w:fldCharType="separate"/>
      </w:r>
      <w:r>
        <w:t>3. 1. 6</w:t>
      </w:r>
      <w:r>
        <w:fldChar w:fldCharType="end"/>
      </w:r>
      <w:r>
        <w:t>取用。当</w:t>
      </w:r>
      <w:r>
        <w:rPr>
          <w:rFonts w:hint="eastAsia"/>
        </w:rPr>
        <w:t>竖向地震为主的地震组合内力起控制作用时</w:t>
      </w:r>
      <w:r>
        <w:t>，</w:t>
      </w:r>
      <m:oMath>
        <m:sSub>
          <m:sSubPr>
            <m:ctrlPr>
              <w:rPr>
                <w:rFonts w:ascii="Cambria Math" w:hAnsi="Cambria Math"/>
                <w:i/>
              </w:rPr>
            </m:ctrlPr>
          </m:sSubPr>
          <m:e>
            <m:r>
              <m:rPr/>
              <w:rPr>
                <w:rFonts w:ascii="Cambria Math" w:hAnsi="Cambria Math"/>
              </w:rPr>
              <m:t>γ</m:t>
            </m:r>
            <m:ctrlPr>
              <w:rPr>
                <w:rFonts w:ascii="Cambria Math" w:hAnsi="Cambria Math"/>
                <w:i/>
              </w:rPr>
            </m:ctrlPr>
          </m:e>
          <m:sub>
            <m:r>
              <m:rPr>
                <m:sty m:val="p"/>
              </m:rPr>
              <w:rPr>
                <w:rFonts w:ascii="Cambria Math" w:hAnsi="Cambria Math"/>
              </w:rPr>
              <m:t>RE</m:t>
            </m:r>
            <m:ctrlPr>
              <w:rPr>
                <w:rFonts w:ascii="Cambria Math" w:hAnsi="Cambria Math"/>
                <w:i/>
              </w:rPr>
            </m:ctrlPr>
          </m:sub>
        </m:sSub>
      </m:oMath>
      <w:r>
        <w:t>应取为1.0</w:t>
      </w:r>
      <w:r>
        <w:rPr>
          <w:rFonts w:hint="eastAsia"/>
        </w:rPr>
        <w:t>0</w:t>
      </w:r>
      <w:r>
        <w:t>。</w:t>
      </w:r>
      <w:bookmarkEnd w:id="82"/>
    </w:p>
    <w:p>
      <w:pPr>
        <w:pStyle w:val="68"/>
      </w:pPr>
      <w:r>
        <w:t>表</w:t>
      </w:r>
      <w:r>
        <w:fldChar w:fldCharType="begin"/>
      </w:r>
      <w:r>
        <w:instrText xml:space="preserve"> STYLEREF 3 \s </w:instrText>
      </w:r>
      <w:r>
        <w:fldChar w:fldCharType="separate"/>
      </w:r>
      <w:r>
        <w:t>3. 1. 6</w:t>
      </w:r>
      <w:r>
        <w:fldChar w:fldCharType="end"/>
      </w:r>
      <w:r>
        <w:t xml:space="preserve"> 承载力抗震调整系数表</w:t>
      </w:r>
    </w:p>
    <w:tbl>
      <w:tblPr>
        <w:tblStyle w:val="8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0"/>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结构构件</w:t>
            </w:r>
          </w:p>
        </w:tc>
        <w:tc>
          <w:tcPr>
            <w:tcW w:w="2758"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受力状态</w:t>
            </w:r>
          </w:p>
        </w:tc>
        <w:tc>
          <w:tcPr>
            <w:tcW w:w="2759"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m:oMathPara>
              <m:oMath>
                <m:sSub>
                  <m:sSubPr>
                    <m:ctrlPr>
                      <w:rPr>
                        <w:rFonts w:ascii="Cambria Math" w:hAnsi="Cambria Math" w:eastAsia="宋体"/>
                        <w:b w:val="0"/>
                      </w:rPr>
                    </m:ctrlPr>
                  </m:sSubPr>
                  <m:e>
                    <m:r>
                      <m:rPr>
                        <m:sty m:val="b"/>
                      </m:rPr>
                      <w:rPr>
                        <w:rFonts w:ascii="Cambria Math" w:hAnsi="Cambria Math" w:eastAsia="宋体"/>
                      </w:rPr>
                      <m:t>γ</m:t>
                    </m:r>
                    <m:ctrlPr>
                      <w:rPr>
                        <w:rFonts w:ascii="Cambria Math" w:hAnsi="Cambria Math" w:eastAsia="宋体"/>
                        <w:b/>
                      </w:rPr>
                    </m:ctrlPr>
                  </m:e>
                  <m:sub>
                    <m:r>
                      <m:rPr>
                        <m:sty m:val="b"/>
                      </m:rPr>
                      <w:rPr>
                        <w:rFonts w:ascii="Cambria Math" w:hAnsi="Cambria Math" w:eastAsia="宋体"/>
                      </w:rPr>
                      <m:t>RE</m:t>
                    </m:r>
                    <m:ctrlPr>
                      <w:rPr>
                        <w:rFonts w:ascii="Cambria Math" w:hAnsi="Cambria Math" w:eastAsia="宋体"/>
                        <w:b w:val="0"/>
                      </w:rPr>
                    </m:ctrlPr>
                  </m:sub>
                </m:sSub>
              </m:oMath>
            </m:oMathPara>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vAlign w:val="center"/>
          </w:tcPr>
          <w:p>
            <w:pPr>
              <w:pStyle w:val="65"/>
              <w:rPr>
                <w:rFonts w:hint="eastAsia" w:ascii="MS Sans Serif" w:hAnsi="MS Sans Serif"/>
              </w:rPr>
            </w:pPr>
            <w:r>
              <w:rPr>
                <w:rFonts w:ascii="MS Sans Serif" w:hAnsi="MS Sans Serif"/>
              </w:rPr>
              <w:t>梁</w:t>
            </w:r>
          </w:p>
        </w:tc>
        <w:tc>
          <w:tcPr>
            <w:tcW w:w="2758" w:type="dxa"/>
            <w:vAlign w:val="center"/>
          </w:tcPr>
          <w:p>
            <w:pPr>
              <w:pStyle w:val="65"/>
              <w:rPr>
                <w:rFonts w:hint="eastAsia" w:ascii="MS Sans Serif" w:hAnsi="MS Sans Serif"/>
              </w:rPr>
            </w:pPr>
            <w:r>
              <w:rPr>
                <w:rFonts w:ascii="MS Sans Serif" w:hAnsi="MS Sans Serif"/>
              </w:rPr>
              <w:t>受弯</w:t>
            </w:r>
          </w:p>
        </w:tc>
        <w:tc>
          <w:tcPr>
            <w:tcW w:w="2759" w:type="dxa"/>
            <w:vAlign w:val="center"/>
          </w:tcPr>
          <w:p>
            <w:pPr>
              <w:pStyle w:val="65"/>
              <w:rPr>
                <w:rFonts w:hint="eastAsia" w:ascii="MS Sans Serif" w:hAnsi="MS Sans Serif"/>
              </w:rPr>
            </w:pPr>
            <w:r>
              <w:rPr>
                <w:rFonts w:ascii="MS Sans Serif" w:hAnsi="MS Sans Serif"/>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vAlign w:val="center"/>
          </w:tcPr>
          <w:p>
            <w:pPr>
              <w:pStyle w:val="65"/>
              <w:rPr>
                <w:rFonts w:hint="eastAsia" w:ascii="MS Sans Serif" w:hAnsi="MS Sans Serif"/>
              </w:rPr>
            </w:pPr>
            <w:r>
              <w:rPr>
                <w:rFonts w:ascii="MS Sans Serif" w:hAnsi="MS Sans Serif"/>
              </w:rPr>
              <w:t>轴压比小于0.15的柱</w:t>
            </w:r>
          </w:p>
        </w:tc>
        <w:tc>
          <w:tcPr>
            <w:tcW w:w="2758" w:type="dxa"/>
            <w:vAlign w:val="center"/>
          </w:tcPr>
          <w:p>
            <w:pPr>
              <w:pStyle w:val="65"/>
              <w:rPr>
                <w:rFonts w:hint="eastAsia" w:ascii="MS Sans Serif" w:hAnsi="MS Sans Serif"/>
              </w:rPr>
            </w:pPr>
            <w:r>
              <w:rPr>
                <w:rFonts w:ascii="MS Sans Serif" w:hAnsi="MS Sans Serif"/>
              </w:rPr>
              <w:t>偏压</w:t>
            </w:r>
          </w:p>
        </w:tc>
        <w:tc>
          <w:tcPr>
            <w:tcW w:w="2759" w:type="dxa"/>
            <w:vAlign w:val="center"/>
          </w:tcPr>
          <w:p>
            <w:pPr>
              <w:pStyle w:val="65"/>
              <w:rPr>
                <w:rFonts w:hint="eastAsia" w:ascii="MS Sans Serif" w:hAnsi="MS Sans Serif"/>
              </w:rPr>
            </w:pPr>
            <w:r>
              <w:rPr>
                <w:rFonts w:ascii="MS Sans Serif" w:hAnsi="MS Sans Serif"/>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759" w:type="dxa"/>
            <w:vAlign w:val="center"/>
          </w:tcPr>
          <w:p>
            <w:pPr>
              <w:pStyle w:val="65"/>
              <w:rPr>
                <w:rFonts w:hint="eastAsia" w:ascii="MS Sans Serif" w:hAnsi="MS Sans Serif"/>
              </w:rPr>
            </w:pPr>
            <w:r>
              <w:rPr>
                <w:rFonts w:ascii="MS Sans Serif" w:hAnsi="MS Sans Serif"/>
              </w:rPr>
              <w:t>轴压比不小于0.15的柱</w:t>
            </w:r>
          </w:p>
        </w:tc>
        <w:tc>
          <w:tcPr>
            <w:tcW w:w="2758" w:type="dxa"/>
            <w:vAlign w:val="center"/>
          </w:tcPr>
          <w:p>
            <w:pPr>
              <w:pStyle w:val="65"/>
              <w:rPr>
                <w:rFonts w:hint="eastAsia" w:ascii="MS Sans Serif" w:hAnsi="MS Sans Serif"/>
              </w:rPr>
            </w:pPr>
            <w:r>
              <w:rPr>
                <w:rFonts w:ascii="MS Sans Serif" w:hAnsi="MS Sans Serif"/>
              </w:rPr>
              <w:t>偏压</w:t>
            </w:r>
          </w:p>
        </w:tc>
        <w:tc>
          <w:tcPr>
            <w:tcW w:w="2759" w:type="dxa"/>
            <w:vAlign w:val="center"/>
          </w:tcPr>
          <w:p>
            <w:pPr>
              <w:pStyle w:val="65"/>
              <w:rPr>
                <w:rFonts w:hint="eastAsia" w:ascii="MS Sans Serif" w:hAnsi="MS Sans Serif"/>
              </w:rPr>
            </w:pPr>
            <w:r>
              <w:rPr>
                <w:rFonts w:ascii="MS Sans Serif" w:hAnsi="MS Sans Serif"/>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vAlign w:val="center"/>
          </w:tcPr>
          <w:p>
            <w:pPr>
              <w:pStyle w:val="65"/>
              <w:rPr>
                <w:rFonts w:hint="eastAsia" w:ascii="MS Sans Serif" w:hAnsi="MS Sans Serif"/>
              </w:rPr>
            </w:pPr>
            <w:r>
              <w:rPr>
                <w:rFonts w:ascii="MS Sans Serif" w:hAnsi="MS Sans Serif"/>
              </w:rPr>
              <w:t>框架节点</w:t>
            </w:r>
          </w:p>
        </w:tc>
        <w:tc>
          <w:tcPr>
            <w:tcW w:w="2758" w:type="dxa"/>
            <w:vAlign w:val="center"/>
          </w:tcPr>
          <w:p>
            <w:pPr>
              <w:pStyle w:val="65"/>
              <w:rPr>
                <w:rFonts w:hint="eastAsia" w:ascii="MS Sans Serif" w:hAnsi="MS Sans Serif"/>
              </w:rPr>
            </w:pPr>
            <w:r>
              <w:rPr>
                <w:rFonts w:ascii="MS Sans Serif" w:hAnsi="MS Sans Serif"/>
              </w:rPr>
              <w:t>受剪</w:t>
            </w:r>
          </w:p>
        </w:tc>
        <w:tc>
          <w:tcPr>
            <w:tcW w:w="2759" w:type="dxa"/>
            <w:vAlign w:val="center"/>
          </w:tcPr>
          <w:p>
            <w:pPr>
              <w:pStyle w:val="65"/>
              <w:rPr>
                <w:rFonts w:hint="eastAsia" w:ascii="MS Sans Serif" w:hAnsi="MS Sans Serif"/>
              </w:rPr>
            </w:pPr>
            <w:r>
              <w:rPr>
                <w:rFonts w:ascii="MS Sans Serif" w:hAnsi="MS Sans Serif"/>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vAlign w:val="center"/>
          </w:tcPr>
          <w:p>
            <w:pPr>
              <w:pStyle w:val="65"/>
              <w:rPr>
                <w:rFonts w:hint="eastAsia" w:ascii="MS Sans Serif" w:hAnsi="MS Sans Serif"/>
              </w:rPr>
            </w:pPr>
            <w:r>
              <w:rPr>
                <w:rFonts w:ascii="MS Sans Serif" w:hAnsi="MS Sans Serif"/>
              </w:rPr>
              <w:t>各类构件</w:t>
            </w:r>
          </w:p>
        </w:tc>
        <w:tc>
          <w:tcPr>
            <w:tcW w:w="2758" w:type="dxa"/>
            <w:vAlign w:val="center"/>
          </w:tcPr>
          <w:p>
            <w:pPr>
              <w:pStyle w:val="65"/>
              <w:rPr>
                <w:rFonts w:hint="eastAsia" w:ascii="MS Sans Serif" w:hAnsi="MS Sans Serif"/>
              </w:rPr>
            </w:pPr>
            <w:r>
              <w:rPr>
                <w:rFonts w:ascii="MS Sans Serif" w:hAnsi="MS Sans Serif"/>
              </w:rPr>
              <w:t>受剪、偏拉</w:t>
            </w:r>
          </w:p>
        </w:tc>
        <w:tc>
          <w:tcPr>
            <w:tcW w:w="2759" w:type="dxa"/>
            <w:vAlign w:val="center"/>
          </w:tcPr>
          <w:p>
            <w:pPr>
              <w:pStyle w:val="65"/>
              <w:rPr>
                <w:rFonts w:hint="eastAsia" w:ascii="MS Sans Serif" w:hAnsi="MS Sans Serif"/>
              </w:rPr>
            </w:pPr>
            <w:r>
              <w:rPr>
                <w:rFonts w:ascii="MS Sans Serif" w:hAnsi="MS Sans Serif"/>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9" w:type="dxa"/>
            <w:vAlign w:val="center"/>
          </w:tcPr>
          <w:p>
            <w:pPr>
              <w:pStyle w:val="65"/>
              <w:rPr>
                <w:rFonts w:hint="eastAsia" w:ascii="MS Sans Serif" w:hAnsi="MS Sans Serif"/>
              </w:rPr>
            </w:pPr>
            <w:r>
              <w:rPr>
                <w:rFonts w:ascii="MS Sans Serif" w:hAnsi="MS Sans Serif"/>
              </w:rPr>
              <w:t>局部受压部位</w:t>
            </w:r>
          </w:p>
        </w:tc>
        <w:tc>
          <w:tcPr>
            <w:tcW w:w="2758" w:type="dxa"/>
            <w:vAlign w:val="center"/>
          </w:tcPr>
          <w:p>
            <w:pPr>
              <w:pStyle w:val="65"/>
              <w:rPr>
                <w:rFonts w:hint="eastAsia" w:ascii="MS Sans Serif" w:hAnsi="MS Sans Serif"/>
              </w:rPr>
            </w:pPr>
            <w:r>
              <w:rPr>
                <w:rFonts w:ascii="MS Sans Serif" w:hAnsi="MS Sans Serif"/>
              </w:rPr>
              <w:t>局部受压</w:t>
            </w:r>
          </w:p>
        </w:tc>
        <w:tc>
          <w:tcPr>
            <w:tcW w:w="2759" w:type="dxa"/>
            <w:vAlign w:val="center"/>
          </w:tcPr>
          <w:p>
            <w:pPr>
              <w:pStyle w:val="65"/>
              <w:rPr>
                <w:rFonts w:hint="eastAsia" w:ascii="MS Sans Serif" w:hAnsi="MS Sans Serif"/>
              </w:rPr>
            </w:pPr>
            <w:r>
              <w:rPr>
                <w:rFonts w:ascii="MS Sans Serif" w:hAnsi="MS Sans Serif"/>
              </w:rPr>
              <w:t>1.00</w:t>
            </w:r>
          </w:p>
        </w:tc>
      </w:tr>
    </w:tbl>
    <w:p>
      <w:pPr>
        <w:pStyle w:val="67"/>
      </w:pPr>
      <w:r>
        <w:tab/>
      </w:r>
      <w:r>
        <w:t>注：圆形钢管混凝土偏心受压柱</w:t>
      </w:r>
      <m:oMath>
        <m:sSub>
          <m:sSubPr>
            <m:ctrlPr>
              <w:rPr>
                <w:rFonts w:ascii="Cambria Math" w:hAnsi="Cambria Math"/>
                <w:i/>
              </w:rPr>
            </m:ctrlPr>
          </m:sSubPr>
          <m:e>
            <m:r>
              <m:rPr/>
              <w:rPr>
                <w:rFonts w:ascii="Cambria Math" w:hAnsi="Cambria Math"/>
              </w:rPr>
              <m:t>γ</m:t>
            </m:r>
            <m:ctrlPr>
              <w:rPr>
                <w:rFonts w:ascii="Cambria Math" w:hAnsi="Cambria Math"/>
                <w:i/>
              </w:rPr>
            </m:ctrlPr>
          </m:e>
          <m:sub>
            <m:r>
              <m:rPr>
                <m:sty m:val="p"/>
              </m:rPr>
              <w:rPr>
                <w:rFonts w:ascii="Cambria Math" w:hAnsi="Cambria Math"/>
              </w:rPr>
              <m:t>RE</m:t>
            </m:r>
            <m:ctrlPr>
              <w:rPr>
                <w:rFonts w:ascii="Cambria Math" w:hAnsi="Cambria Math"/>
                <w:i/>
              </w:rPr>
            </m:ctrlPr>
          </m:sub>
        </m:sSub>
      </m:oMath>
      <w:r>
        <w:t>取0.8</w:t>
      </w:r>
      <w:r>
        <w:rPr>
          <w:rFonts w:hint="eastAsia"/>
        </w:rPr>
        <w:t>0</w:t>
      </w:r>
      <w:r>
        <w:t>；</w:t>
      </w:r>
    </w:p>
    <w:p/>
    <w:p>
      <w:pPr>
        <w:pStyle w:val="4"/>
      </w:pPr>
      <w:bookmarkStart w:id="83" w:name="_Ref198027270"/>
      <w:r>
        <w:rPr>
          <w:rFonts w:hint="eastAsia"/>
        </w:rPr>
        <w:t>当预应力压接装配式结构的安全等级为一级时，宜按现行国家标准《混凝土结构设计标准》GB</w:t>
      </w:r>
      <w:r>
        <w:t>/</w:t>
      </w:r>
      <w:r>
        <w:rPr>
          <w:rFonts w:hint="eastAsia"/>
        </w:rPr>
        <w:t>T</w:t>
      </w:r>
      <w:r>
        <w:t xml:space="preserve"> 50010</w:t>
      </w:r>
      <w:r>
        <w:rPr>
          <w:rFonts w:hint="eastAsia"/>
        </w:rPr>
        <w:t>的有关规定进行防连续倒塌设计，并应符合下列规定：</w:t>
      </w:r>
      <w:bookmarkEnd w:id="83"/>
    </w:p>
    <w:p>
      <w:pPr>
        <w:pStyle w:val="70"/>
        <w:rPr>
          <w:b/>
          <w:bCs/>
        </w:rPr>
      </w:pPr>
      <w:r>
        <w:rPr>
          <w:rFonts w:hint="eastAsia"/>
          <w:b/>
          <w:bCs/>
        </w:rPr>
        <w:t>1</w:t>
      </w:r>
      <w:r>
        <w:rPr>
          <w:b/>
          <w:bCs/>
        </w:rPr>
        <w:tab/>
      </w:r>
      <w:r>
        <w:rPr>
          <w:rFonts w:hint="eastAsia"/>
        </w:rPr>
        <w:t>预应力筋的张拉控制应力不宜大于极限强度标准值的7</w:t>
      </w:r>
      <w:r>
        <w:t>0%</w:t>
      </w:r>
      <w:r>
        <w:rPr>
          <w:rFonts w:hint="eastAsia"/>
        </w:rPr>
        <w:t>；</w:t>
      </w:r>
    </w:p>
    <w:p>
      <w:pPr>
        <w:pStyle w:val="70"/>
      </w:pPr>
      <w:r>
        <w:rPr>
          <w:b/>
          <w:bCs/>
        </w:rPr>
        <w:t>2</w:t>
      </w:r>
      <w:r>
        <w:tab/>
      </w:r>
      <w:r>
        <w:rPr>
          <w:rFonts w:hint="eastAsia"/>
        </w:rPr>
        <w:t>对于采用梁板柱复合节点的压接装配框架，通过每个梁柱接缝的预应力筋总根数不应少于3根；</w:t>
      </w:r>
    </w:p>
    <w:p>
      <w:pPr>
        <w:pStyle w:val="70"/>
      </w:pPr>
      <w:r>
        <w:rPr>
          <w:b/>
          <w:bCs/>
        </w:rPr>
        <w:t>3</w:t>
      </w:r>
      <w:r>
        <w:tab/>
      </w:r>
      <w:r>
        <w:rPr>
          <w:rFonts w:hint="eastAsia"/>
        </w:rPr>
        <w:t>防连续倒塌设计在概念设计的基础上，采用局部加强法、拉结构件法或拆除构件法进行设计。拆除构件后的剩余结构可采用线性静力方法、非线性静力方法或非线性动力方法进行抗连续倒塌计算。</w:t>
      </w:r>
    </w:p>
    <w:p>
      <w:pPr>
        <w:pStyle w:val="70"/>
      </w:pPr>
      <w:r>
        <w:rPr>
          <w:b/>
          <w:bCs/>
        </w:rPr>
        <w:t>4</w:t>
      </w:r>
      <w:r>
        <w:tab/>
      </w:r>
      <w:r>
        <w:rPr>
          <w:rFonts w:hint="eastAsia"/>
        </w:rPr>
        <w:t>宜对位于关键传力部位的压接装配框架、压接装配板柱进行预应力筋长期应力监测，当应力出现异常时，应及时分析原因并进行处理。</w:t>
      </w:r>
    </w:p>
    <w:p/>
    <w:p>
      <w:pPr>
        <w:pStyle w:val="3"/>
      </w:pPr>
      <w:bookmarkStart w:id="84" w:name="_Toc202345808"/>
      <w:r>
        <w:t>结构</w:t>
      </w:r>
      <w:bookmarkEnd w:id="71"/>
      <w:bookmarkEnd w:id="72"/>
      <w:bookmarkEnd w:id="73"/>
      <w:bookmarkEnd w:id="74"/>
      <w:bookmarkStart w:id="85" w:name="_Ref86131526"/>
      <w:r>
        <w:rPr>
          <w:rFonts w:hint="eastAsia"/>
        </w:rPr>
        <w:t>布置</w:t>
      </w:r>
      <w:bookmarkEnd w:id="84"/>
      <w:bookmarkStart w:id="86" w:name="_Toc197444873"/>
      <w:bookmarkEnd w:id="86"/>
    </w:p>
    <w:p>
      <w:pPr>
        <w:pStyle w:val="4"/>
      </w:pPr>
      <w:bookmarkStart w:id="87" w:name="_Toc86067844"/>
      <w:bookmarkStart w:id="88" w:name="_Ref86131167"/>
      <w:r>
        <w:rPr>
          <w:rFonts w:hint="eastAsia"/>
        </w:rPr>
        <w:t>预应力压接装配式结构的</w:t>
      </w:r>
      <w:r>
        <w:t>最大适用高度不宜超过</w:t>
      </w:r>
      <w:r>
        <w:fldChar w:fldCharType="begin"/>
      </w:r>
      <w:r>
        <w:instrText xml:space="preserve"> REF _Ref63602699 \h </w:instrText>
      </w:r>
      <w:r>
        <w:fldChar w:fldCharType="separate"/>
      </w:r>
      <w:r>
        <w:t>表 3. 2. 1</w:t>
      </w:r>
      <w:r>
        <w:fldChar w:fldCharType="end"/>
      </w:r>
      <w:r>
        <w:t>的规定</w:t>
      </w:r>
      <w:r>
        <w:rPr>
          <w:rFonts w:hint="eastAsia"/>
        </w:rPr>
        <w:t>；</w:t>
      </w:r>
      <w:r>
        <w:t>对于平面或竖向均不规则的高层建筑，最大</w:t>
      </w:r>
      <w:r>
        <w:rPr>
          <w:rFonts w:hint="eastAsia"/>
        </w:rPr>
        <w:t>适</w:t>
      </w:r>
      <w:r>
        <w:t>用高度宜适当降低。</w:t>
      </w:r>
      <w:bookmarkEnd w:id="87"/>
      <w:bookmarkEnd w:id="88"/>
    </w:p>
    <w:p>
      <w:pPr>
        <w:pStyle w:val="68"/>
      </w:pPr>
      <w:bookmarkStart w:id="89" w:name="_Ref63602699"/>
      <w:r>
        <w:t xml:space="preserve">表 </w:t>
      </w:r>
      <w:r>
        <w:fldChar w:fldCharType="begin"/>
      </w:r>
      <w:r>
        <w:instrText xml:space="preserve"> STYLEREF 3 \s </w:instrText>
      </w:r>
      <w:r>
        <w:fldChar w:fldCharType="separate"/>
      </w:r>
      <w:r>
        <w:t>3. 2. 1</w:t>
      </w:r>
      <w:r>
        <w:fldChar w:fldCharType="end"/>
      </w:r>
      <w:bookmarkEnd w:id="89"/>
      <w:r>
        <w:t xml:space="preserve"> </w:t>
      </w:r>
      <w:r>
        <w:rPr>
          <w:rFonts w:hint="eastAsia"/>
        </w:rPr>
        <w:t>预应力压接装配式结构的</w:t>
      </w:r>
      <w:r>
        <w:t>最大适用高度（m）</w:t>
      </w:r>
    </w:p>
    <w:tbl>
      <w:tblPr>
        <w:tblStyle w:val="84"/>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576"/>
        <w:gridCol w:w="1576"/>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Merge w:val="restart"/>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val="0"/>
              </w:rPr>
            </w:pPr>
            <w:r>
              <w:rPr>
                <w:rFonts w:ascii="MS Sans Serif" w:hAnsi="MS Sans Serif" w:eastAsia="宋体"/>
                <w:b/>
              </w:rPr>
              <w:t>结构类型</w:t>
            </w:r>
          </w:p>
        </w:tc>
        <w:tc>
          <w:tcPr>
            <w:tcW w:w="4729" w:type="dxa"/>
            <w:gridSpan w:val="3"/>
            <w:tcBorders>
              <w:top w:val="single" w:color="auto" w:sz="12" w:space="0"/>
              <w:bottom w:val="single" w:color="auto" w:sz="4" w:space="0"/>
              <w:right w:val="single" w:color="auto" w:sz="12" w:space="0"/>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Merge w:val="continue"/>
            <w:vAlign w:val="center"/>
          </w:tcPr>
          <w:p>
            <w:pPr>
              <w:pStyle w:val="65"/>
              <w:rPr>
                <w:rFonts w:hint="eastAsia" w:ascii="MS Sans Serif" w:hAnsi="MS Sans Serif"/>
              </w:rPr>
            </w:pPr>
          </w:p>
        </w:tc>
        <w:tc>
          <w:tcPr>
            <w:tcW w:w="1576" w:type="dxa"/>
            <w:tcBorders>
              <w:top w:val="single" w:color="auto" w:sz="4" w:space="0"/>
            </w:tcBorders>
            <w:vAlign w:val="center"/>
          </w:tcPr>
          <w:p>
            <w:pPr>
              <w:pStyle w:val="65"/>
              <w:rPr>
                <w:rFonts w:hint="eastAsia" w:ascii="MS Sans Serif" w:hAnsi="MS Sans Serif"/>
              </w:rPr>
            </w:pPr>
            <w:r>
              <w:rPr>
                <w:rFonts w:ascii="MS Sans Serif" w:hAnsi="MS Sans Serif"/>
              </w:rPr>
              <w:t>7度</w:t>
            </w:r>
          </w:p>
        </w:tc>
        <w:tc>
          <w:tcPr>
            <w:tcW w:w="1576" w:type="dxa"/>
            <w:tcBorders>
              <w:top w:val="single" w:color="auto" w:sz="4" w:space="0"/>
            </w:tcBorders>
            <w:vAlign w:val="center"/>
          </w:tcPr>
          <w:p>
            <w:pPr>
              <w:pStyle w:val="65"/>
              <w:rPr>
                <w:rFonts w:hint="eastAsia" w:ascii="MS Sans Serif" w:hAnsi="MS Sans Serif"/>
              </w:rPr>
            </w:pPr>
            <w:r>
              <w:rPr>
                <w:rFonts w:ascii="MS Sans Serif" w:hAnsi="MS Sans Serif"/>
              </w:rPr>
              <w:t>8度</w:t>
            </w:r>
            <w:r>
              <w:rPr>
                <w:rFonts w:hint="eastAsia" w:ascii="MS Sans Serif" w:hAnsi="MS Sans Serif"/>
              </w:rPr>
              <w:t>（0</w:t>
            </w:r>
            <w:r>
              <w:rPr>
                <w:rFonts w:ascii="MS Sans Serif" w:hAnsi="MS Sans Serif"/>
              </w:rPr>
              <w:t>.2</w:t>
            </w:r>
            <w:r>
              <w:rPr>
                <w:rFonts w:hint="eastAsia" w:ascii="MS Sans Serif" w:hAnsi="MS Sans Serif"/>
              </w:rPr>
              <w:t>g）</w:t>
            </w:r>
          </w:p>
        </w:tc>
        <w:tc>
          <w:tcPr>
            <w:tcW w:w="1577" w:type="dxa"/>
            <w:tcBorders>
              <w:top w:val="single" w:color="auto" w:sz="4" w:space="0"/>
            </w:tcBorders>
            <w:vAlign w:val="center"/>
          </w:tcPr>
          <w:p>
            <w:pPr>
              <w:pStyle w:val="65"/>
              <w:rPr>
                <w:rFonts w:hint="eastAsia" w:ascii="MS Sans Serif" w:hAnsi="MS Sans Serif"/>
              </w:rPr>
            </w:pPr>
            <w:r>
              <w:rPr>
                <w:rFonts w:ascii="MS Sans Serif" w:hAnsi="MS Sans Serif"/>
              </w:rPr>
              <w:t>8度</w:t>
            </w:r>
            <w:r>
              <w:rPr>
                <w:rFonts w:hint="eastAsia" w:ascii="MS Sans Serif" w:hAnsi="MS Sans Serif"/>
              </w:rPr>
              <w:t>（0</w:t>
            </w:r>
            <w:r>
              <w:rPr>
                <w:rFonts w:ascii="MS Sans Serif" w:hAnsi="MS Sans Serif"/>
              </w:rPr>
              <w:t>.3</w:t>
            </w:r>
            <w:r>
              <w:rPr>
                <w:rFonts w:hint="eastAsia" w:ascii="MS Sans Serif" w:hAnsi="MS Sans Serif"/>
              </w:rPr>
              <w:t>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Align w:val="center"/>
          </w:tcPr>
          <w:p>
            <w:pPr>
              <w:pStyle w:val="65"/>
              <w:rPr>
                <w:rFonts w:hint="eastAsia" w:ascii="MS Sans Serif" w:hAnsi="MS Sans Serif"/>
              </w:rPr>
            </w:pPr>
            <w:r>
              <w:rPr>
                <w:rFonts w:ascii="MS Sans Serif" w:hAnsi="MS Sans Serif"/>
              </w:rPr>
              <w:t>框架结构</w:t>
            </w:r>
          </w:p>
        </w:tc>
        <w:tc>
          <w:tcPr>
            <w:tcW w:w="1576" w:type="dxa"/>
            <w:vAlign w:val="center"/>
          </w:tcPr>
          <w:p>
            <w:pPr>
              <w:pStyle w:val="65"/>
              <w:rPr>
                <w:rFonts w:hint="eastAsia" w:ascii="MS Sans Serif" w:hAnsi="MS Sans Serif"/>
              </w:rPr>
            </w:pPr>
            <w:r>
              <w:rPr>
                <w:rFonts w:ascii="MS Sans Serif" w:hAnsi="MS Sans Serif"/>
              </w:rPr>
              <w:t>50</w:t>
            </w:r>
          </w:p>
        </w:tc>
        <w:tc>
          <w:tcPr>
            <w:tcW w:w="1576" w:type="dxa"/>
            <w:vAlign w:val="center"/>
          </w:tcPr>
          <w:p>
            <w:pPr>
              <w:pStyle w:val="65"/>
              <w:rPr>
                <w:rFonts w:hint="eastAsia" w:ascii="MS Sans Serif" w:hAnsi="MS Sans Serif"/>
              </w:rPr>
            </w:pPr>
            <w:r>
              <w:rPr>
                <w:rFonts w:ascii="MS Sans Serif" w:hAnsi="MS Sans Serif"/>
              </w:rPr>
              <w:t>40</w:t>
            </w:r>
          </w:p>
        </w:tc>
        <w:tc>
          <w:tcPr>
            <w:tcW w:w="1577" w:type="dxa"/>
            <w:vAlign w:val="center"/>
          </w:tcPr>
          <w:p>
            <w:pPr>
              <w:pStyle w:val="65"/>
              <w:rPr>
                <w:rFonts w:hint="eastAsia" w:ascii="MS Sans Serif" w:hAnsi="MS Sans Serif"/>
              </w:rPr>
            </w:pPr>
            <w:r>
              <w:rPr>
                <w:rFonts w:hint="eastAsia" w:ascii="MS Sans Serif" w:hAnsi="MS Sans Serif"/>
              </w:rPr>
              <w:t>3</w:t>
            </w:r>
            <w:r>
              <w:rPr>
                <w:rFonts w:ascii="MS Sans Serif" w:hAnsi="MS Sans Serif"/>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93" w:type="dxa"/>
            <w:vAlign w:val="center"/>
          </w:tcPr>
          <w:p>
            <w:pPr>
              <w:pStyle w:val="65"/>
              <w:rPr>
                <w:rFonts w:hint="eastAsia" w:ascii="MS Sans Serif" w:hAnsi="MS Sans Serif"/>
              </w:rPr>
            </w:pPr>
            <w:r>
              <w:rPr>
                <w:rFonts w:ascii="MS Sans Serif" w:hAnsi="MS Sans Serif"/>
              </w:rPr>
              <w:t>框架-抗震墙结构</w:t>
            </w:r>
          </w:p>
        </w:tc>
        <w:tc>
          <w:tcPr>
            <w:tcW w:w="1576" w:type="dxa"/>
            <w:vAlign w:val="center"/>
          </w:tcPr>
          <w:p>
            <w:pPr>
              <w:pStyle w:val="65"/>
              <w:rPr>
                <w:rFonts w:hint="eastAsia" w:ascii="MS Sans Serif" w:hAnsi="MS Sans Serif"/>
              </w:rPr>
            </w:pPr>
            <w:r>
              <w:rPr>
                <w:rFonts w:ascii="MS Sans Serif" w:hAnsi="MS Sans Serif"/>
              </w:rPr>
              <w:t>120</w:t>
            </w:r>
          </w:p>
        </w:tc>
        <w:tc>
          <w:tcPr>
            <w:tcW w:w="1576" w:type="dxa"/>
            <w:vAlign w:val="center"/>
          </w:tcPr>
          <w:p>
            <w:pPr>
              <w:pStyle w:val="65"/>
              <w:rPr>
                <w:rFonts w:hint="eastAsia" w:ascii="MS Sans Serif" w:hAnsi="MS Sans Serif"/>
              </w:rPr>
            </w:pPr>
            <w:r>
              <w:rPr>
                <w:rFonts w:ascii="MS Sans Serif" w:hAnsi="MS Sans Serif"/>
              </w:rPr>
              <w:t>100</w:t>
            </w:r>
          </w:p>
        </w:tc>
        <w:tc>
          <w:tcPr>
            <w:tcW w:w="1577" w:type="dxa"/>
            <w:vAlign w:val="center"/>
          </w:tcPr>
          <w:p>
            <w:pPr>
              <w:pStyle w:val="65"/>
              <w:rPr>
                <w:rFonts w:hint="eastAsia" w:ascii="MS Sans Serif" w:hAnsi="MS Sans Serif"/>
              </w:rPr>
            </w:pPr>
            <w:r>
              <w:rPr>
                <w:rFonts w:hint="eastAsia" w:ascii="MS Sans Serif" w:hAnsi="MS Sans Serif"/>
              </w:rPr>
              <w:t>8</w:t>
            </w:r>
            <w:r>
              <w:rPr>
                <w:rFonts w:ascii="MS Sans Serif" w:hAnsi="MS Sans Serif"/>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Align w:val="center"/>
          </w:tcPr>
          <w:p>
            <w:pPr>
              <w:pStyle w:val="65"/>
              <w:rPr>
                <w:rFonts w:hint="eastAsia" w:ascii="MS Sans Serif" w:hAnsi="MS Sans Serif"/>
              </w:rPr>
            </w:pPr>
            <w:r>
              <w:rPr>
                <w:rFonts w:ascii="MS Sans Serif" w:hAnsi="MS Sans Serif"/>
              </w:rPr>
              <w:t>框架</w:t>
            </w:r>
            <w:r>
              <w:rPr>
                <w:rFonts w:hint="eastAsia" w:ascii="MS Sans Serif" w:hAnsi="MS Sans Serif"/>
              </w:rPr>
              <w:t>（混凝土柱）</w:t>
            </w:r>
            <w:r>
              <w:rPr>
                <w:rFonts w:ascii="MS Sans Serif" w:hAnsi="MS Sans Serif"/>
              </w:rPr>
              <w:t>-核心筒结构</w:t>
            </w:r>
          </w:p>
        </w:tc>
        <w:tc>
          <w:tcPr>
            <w:tcW w:w="1576" w:type="dxa"/>
            <w:vAlign w:val="center"/>
          </w:tcPr>
          <w:p>
            <w:pPr>
              <w:pStyle w:val="65"/>
              <w:rPr>
                <w:rFonts w:hint="eastAsia" w:ascii="MS Sans Serif" w:hAnsi="MS Sans Serif"/>
              </w:rPr>
            </w:pPr>
            <w:r>
              <w:rPr>
                <w:rFonts w:ascii="MS Sans Serif" w:hAnsi="MS Sans Serif"/>
              </w:rPr>
              <w:t>130</w:t>
            </w:r>
          </w:p>
        </w:tc>
        <w:tc>
          <w:tcPr>
            <w:tcW w:w="1576" w:type="dxa"/>
            <w:vAlign w:val="center"/>
          </w:tcPr>
          <w:p>
            <w:pPr>
              <w:pStyle w:val="65"/>
              <w:rPr>
                <w:rFonts w:hint="eastAsia" w:ascii="MS Sans Serif" w:hAnsi="MS Sans Serif"/>
              </w:rPr>
            </w:pPr>
            <w:r>
              <w:rPr>
                <w:rFonts w:ascii="MS Sans Serif" w:hAnsi="MS Sans Serif"/>
              </w:rPr>
              <w:t>100</w:t>
            </w:r>
          </w:p>
        </w:tc>
        <w:tc>
          <w:tcPr>
            <w:tcW w:w="1577" w:type="dxa"/>
            <w:vAlign w:val="center"/>
          </w:tcPr>
          <w:p>
            <w:pPr>
              <w:pStyle w:val="65"/>
              <w:rPr>
                <w:rFonts w:hint="eastAsia" w:ascii="MS Sans Serif" w:hAnsi="MS Sans Serif"/>
              </w:rPr>
            </w:pPr>
            <w:r>
              <w:rPr>
                <w:rFonts w:hint="eastAsia" w:ascii="MS Sans Serif" w:hAnsi="MS Sans Serif"/>
              </w:rPr>
              <w:t>9</w:t>
            </w:r>
            <w:r>
              <w:rPr>
                <w:rFonts w:ascii="MS Sans Serif" w:hAnsi="MS Sans Serif"/>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Align w:val="center"/>
          </w:tcPr>
          <w:p>
            <w:pPr>
              <w:pStyle w:val="65"/>
              <w:rPr>
                <w:rFonts w:hint="eastAsia" w:ascii="MS Sans Serif" w:hAnsi="MS Sans Serif"/>
              </w:rPr>
            </w:pPr>
            <w:r>
              <w:rPr>
                <w:rFonts w:ascii="MS Sans Serif" w:hAnsi="MS Sans Serif"/>
              </w:rPr>
              <w:t>框架</w:t>
            </w:r>
            <w:r>
              <w:rPr>
                <w:rFonts w:hint="eastAsia" w:ascii="MS Sans Serif" w:hAnsi="MS Sans Serif"/>
              </w:rPr>
              <w:t>（钢管混凝土柱）</w:t>
            </w:r>
            <w:r>
              <w:rPr>
                <w:rFonts w:ascii="MS Sans Serif" w:hAnsi="MS Sans Serif"/>
              </w:rPr>
              <w:t>-核心筒结构</w:t>
            </w:r>
          </w:p>
        </w:tc>
        <w:tc>
          <w:tcPr>
            <w:tcW w:w="1576" w:type="dxa"/>
            <w:vAlign w:val="center"/>
          </w:tcPr>
          <w:p>
            <w:pPr>
              <w:pStyle w:val="65"/>
              <w:rPr>
                <w:rFonts w:hint="eastAsia" w:ascii="MS Sans Serif" w:hAnsi="MS Sans Serif"/>
              </w:rPr>
            </w:pPr>
            <w:r>
              <w:rPr>
                <w:rFonts w:ascii="MS Sans Serif" w:hAnsi="MS Sans Serif"/>
              </w:rPr>
              <w:t>1</w:t>
            </w:r>
            <w:r>
              <w:rPr>
                <w:rFonts w:hint="eastAsia" w:ascii="MS Sans Serif" w:hAnsi="MS Sans Serif"/>
              </w:rPr>
              <w:t>5</w:t>
            </w:r>
            <w:r>
              <w:rPr>
                <w:rFonts w:ascii="MS Sans Serif" w:hAnsi="MS Sans Serif"/>
              </w:rPr>
              <w:t>0</w:t>
            </w:r>
          </w:p>
        </w:tc>
        <w:tc>
          <w:tcPr>
            <w:tcW w:w="1576" w:type="dxa"/>
            <w:vAlign w:val="center"/>
          </w:tcPr>
          <w:p>
            <w:pPr>
              <w:pStyle w:val="65"/>
              <w:rPr>
                <w:rFonts w:hint="eastAsia" w:ascii="MS Sans Serif" w:hAnsi="MS Sans Serif"/>
              </w:rPr>
            </w:pPr>
            <w:r>
              <w:rPr>
                <w:rFonts w:ascii="MS Sans Serif" w:hAnsi="MS Sans Serif"/>
              </w:rPr>
              <w:t>1</w:t>
            </w:r>
            <w:r>
              <w:rPr>
                <w:rFonts w:hint="eastAsia" w:ascii="MS Sans Serif" w:hAnsi="MS Sans Serif"/>
              </w:rPr>
              <w:t>3</w:t>
            </w:r>
            <w:r>
              <w:rPr>
                <w:rFonts w:ascii="MS Sans Serif" w:hAnsi="MS Sans Serif"/>
              </w:rPr>
              <w:t>0</w:t>
            </w:r>
          </w:p>
        </w:tc>
        <w:tc>
          <w:tcPr>
            <w:tcW w:w="1577" w:type="dxa"/>
            <w:vAlign w:val="center"/>
          </w:tcPr>
          <w:p>
            <w:pPr>
              <w:pStyle w:val="65"/>
              <w:rPr>
                <w:rFonts w:hint="eastAsia" w:ascii="MS Sans Serif" w:hAnsi="MS Sans Serif"/>
              </w:rPr>
            </w:pPr>
            <w:r>
              <w:rPr>
                <w:rFonts w:hint="eastAsia" w:ascii="MS Sans Serif" w:hAnsi="MS Sans Serif"/>
              </w:rPr>
              <w:t>1</w:t>
            </w:r>
            <w:r>
              <w:rPr>
                <w:rFonts w:ascii="MS Sans Serif" w:hAnsi="MS Sans Serif"/>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3" w:type="dxa"/>
            <w:vAlign w:val="center"/>
          </w:tcPr>
          <w:p>
            <w:pPr>
              <w:pStyle w:val="65"/>
              <w:rPr>
                <w:rFonts w:hint="eastAsia" w:ascii="MS Sans Serif" w:hAnsi="MS Sans Serif"/>
              </w:rPr>
            </w:pPr>
            <w:r>
              <w:rPr>
                <w:rFonts w:hint="eastAsia" w:ascii="MS Sans Serif" w:hAnsi="MS Sans Serif"/>
              </w:rPr>
              <w:t>板柱-抗震墙结构</w:t>
            </w:r>
          </w:p>
        </w:tc>
        <w:tc>
          <w:tcPr>
            <w:tcW w:w="1576" w:type="dxa"/>
            <w:vAlign w:val="center"/>
          </w:tcPr>
          <w:p>
            <w:pPr>
              <w:pStyle w:val="65"/>
              <w:rPr>
                <w:rFonts w:hint="eastAsia" w:ascii="MS Sans Serif" w:hAnsi="MS Sans Serif"/>
              </w:rPr>
            </w:pPr>
            <w:r>
              <w:rPr>
                <w:rFonts w:hint="eastAsia" w:ascii="MS Sans Serif" w:hAnsi="MS Sans Serif"/>
              </w:rPr>
              <w:t>60</w:t>
            </w:r>
          </w:p>
        </w:tc>
        <w:tc>
          <w:tcPr>
            <w:tcW w:w="1576" w:type="dxa"/>
            <w:vAlign w:val="center"/>
          </w:tcPr>
          <w:p>
            <w:pPr>
              <w:pStyle w:val="65"/>
              <w:rPr>
                <w:rFonts w:hint="eastAsia" w:ascii="MS Sans Serif" w:hAnsi="MS Sans Serif"/>
              </w:rPr>
            </w:pPr>
            <w:r>
              <w:rPr>
                <w:rFonts w:hint="eastAsia" w:ascii="MS Sans Serif" w:hAnsi="MS Sans Serif"/>
              </w:rPr>
              <w:t>45</w:t>
            </w:r>
          </w:p>
        </w:tc>
        <w:tc>
          <w:tcPr>
            <w:tcW w:w="1577" w:type="dxa"/>
            <w:vAlign w:val="center"/>
          </w:tcPr>
          <w:p>
            <w:pPr>
              <w:pStyle w:val="65"/>
              <w:rPr>
                <w:rFonts w:hint="eastAsia" w:ascii="MS Sans Serif" w:hAnsi="MS Sans Serif"/>
              </w:rPr>
            </w:pPr>
            <w:r>
              <w:rPr>
                <w:rFonts w:hint="eastAsia" w:ascii="MS Sans Serif" w:hAnsi="MS Sans Serif"/>
              </w:rPr>
              <w:t>30</w:t>
            </w:r>
          </w:p>
        </w:tc>
      </w:tr>
    </w:tbl>
    <w:p>
      <w:pPr>
        <w:pStyle w:val="67"/>
      </w:pPr>
      <w:bookmarkStart w:id="90" w:name="_Ref76377448"/>
      <w:r>
        <w:tab/>
      </w:r>
      <w:r>
        <w:rPr>
          <w:rFonts w:hint="eastAsia"/>
        </w:rPr>
        <w:t>注：</w:t>
      </w:r>
      <w:r>
        <w:tab/>
      </w:r>
      <w:r>
        <w:rPr>
          <w:rFonts w:hint="eastAsia"/>
        </w:rPr>
        <w:t>1</w:t>
      </w:r>
      <w:r>
        <w:tab/>
      </w:r>
      <w:r>
        <w:rPr>
          <w:rFonts w:hint="eastAsia"/>
        </w:rPr>
        <w:t>框架结构指全部或部分采用压接装配框架的框架结构，包括与其他类型框架混合布置的结构；</w:t>
      </w:r>
    </w:p>
    <w:p>
      <w:pPr>
        <w:pStyle w:val="67"/>
      </w:pPr>
      <w:r>
        <w:tab/>
      </w:r>
      <w:r>
        <w:tab/>
      </w:r>
      <w:r>
        <w:t>2</w:t>
      </w:r>
      <w:r>
        <w:tab/>
      </w:r>
      <w:r>
        <w:rPr>
          <w:rFonts w:hint="eastAsia"/>
        </w:rPr>
        <w:t>板柱-抗震墙结构指完全由压接装配板柱和抗震墙组成抗侧力体系的结构；</w:t>
      </w:r>
    </w:p>
    <w:p>
      <w:pPr>
        <w:pStyle w:val="67"/>
      </w:pPr>
      <w:r>
        <w:tab/>
      </w:r>
      <w:r>
        <w:tab/>
      </w:r>
      <w:r>
        <w:t>3</w:t>
      </w:r>
      <w:r>
        <w:tab/>
      </w:r>
      <w:r>
        <w:rPr>
          <w:rFonts w:hint="eastAsia"/>
        </w:rPr>
        <w:t>当8度区IV类场地时，不宜采用板柱-抗震墙结构。</w:t>
      </w:r>
    </w:p>
    <w:bookmarkEnd w:id="90"/>
    <w:p>
      <w:pPr>
        <w:pStyle w:val="4"/>
      </w:pPr>
      <w:bookmarkStart w:id="91" w:name="_Ref198027469"/>
      <w:r>
        <w:rPr>
          <w:rFonts w:hint="eastAsia"/>
        </w:rPr>
        <w:t>采用由梁板柱复合节点组成的</w:t>
      </w:r>
      <w:bookmarkStart w:id="92" w:name="_Toc86067849"/>
      <w:r>
        <w:rPr>
          <w:rFonts w:hint="eastAsia"/>
        </w:rPr>
        <w:t>压接装配框架</w:t>
      </w:r>
      <w:r>
        <w:t>的</w:t>
      </w:r>
      <w:r>
        <w:rPr>
          <w:rFonts w:hint="eastAsia"/>
        </w:rPr>
        <w:t>各类房屋结构</w:t>
      </w:r>
      <w:r>
        <w:t>布置应符合下列规定：</w:t>
      </w:r>
      <w:bookmarkEnd w:id="85"/>
      <w:bookmarkEnd w:id="91"/>
      <w:bookmarkEnd w:id="92"/>
    </w:p>
    <w:p>
      <w:pPr>
        <w:pStyle w:val="70"/>
      </w:pPr>
      <w:r>
        <w:rPr>
          <w:rFonts w:hint="eastAsia"/>
          <w:b/>
        </w:rPr>
        <w:t>1</w:t>
      </w:r>
      <w:r>
        <w:tab/>
      </w:r>
      <w:r>
        <w:rPr>
          <w:rFonts w:hint="eastAsia"/>
        </w:rPr>
        <w:t>压接装配框架应作为结构抗侧力体系的一部分，设计不提供抗侧能力的梁可与压接装配框架铰接连接。</w:t>
      </w:r>
    </w:p>
    <w:p>
      <w:pPr>
        <w:pStyle w:val="70"/>
      </w:pPr>
      <w:r>
        <w:rPr>
          <w:rFonts w:hint="eastAsia"/>
          <w:b/>
        </w:rPr>
        <w:t>2</w:t>
      </w:r>
      <w:r>
        <w:tab/>
      </w:r>
      <w:r>
        <w:rPr>
          <w:rFonts w:hint="eastAsia"/>
        </w:rPr>
        <w:t>压接装配框架可与现浇混凝土框架、装配整体式框架、抗震墙及钢-混凝土混合结构等结构体系混合布置，结构整体应具有满足要求的承载力、刚度、延性。</w:t>
      </w:r>
    </w:p>
    <w:p>
      <w:pPr>
        <w:pStyle w:val="70"/>
      </w:pPr>
      <w:r>
        <w:rPr>
          <w:rFonts w:hint="eastAsia"/>
          <w:b/>
        </w:rPr>
        <w:t>3</w:t>
      </w:r>
      <w:r>
        <w:tab/>
      </w:r>
      <w:r>
        <w:rPr>
          <w:rFonts w:hint="eastAsia"/>
        </w:rPr>
        <w:t>单跨框架或总</w:t>
      </w:r>
      <w:r>
        <w:t>长度小于1</w:t>
      </w:r>
      <w:r>
        <w:rPr>
          <w:rFonts w:hint="eastAsia"/>
        </w:rPr>
        <w:t>0m</w:t>
      </w:r>
      <w:r>
        <w:t>的</w:t>
      </w:r>
      <w:r>
        <w:rPr>
          <w:rFonts w:hint="eastAsia"/>
        </w:rPr>
        <w:t>多跨</w:t>
      </w:r>
      <w:r>
        <w:t>框架不</w:t>
      </w:r>
      <w:r>
        <w:rPr>
          <w:rFonts w:hint="eastAsia"/>
        </w:rPr>
        <w:t>应</w:t>
      </w:r>
      <w:r>
        <w:t>采用</w:t>
      </w:r>
      <w:r>
        <w:rPr>
          <w:rFonts w:hint="eastAsia"/>
        </w:rPr>
        <w:t>压接装配框架</w:t>
      </w:r>
      <w:r>
        <w:t>。</w:t>
      </w:r>
    </w:p>
    <w:p>
      <w:pPr>
        <w:pStyle w:val="4"/>
      </w:pPr>
      <w:bookmarkStart w:id="93" w:name="_Ref172273861"/>
      <w:r>
        <w:rPr>
          <w:rFonts w:hint="eastAsia"/>
        </w:rPr>
        <w:t>采用由自复位梁柱节点组成的压接装配框架的各类房屋结构布置应符合下列规定：</w:t>
      </w:r>
      <w:bookmarkEnd w:id="93"/>
    </w:p>
    <w:p>
      <w:pPr>
        <w:pStyle w:val="70"/>
      </w:pPr>
      <w:r>
        <w:rPr>
          <w:rFonts w:hint="eastAsia"/>
          <w:b/>
        </w:rPr>
        <w:t>1</w:t>
      </w:r>
      <w:r>
        <w:tab/>
      </w:r>
      <w:r>
        <w:rPr>
          <w:rFonts w:hint="eastAsia"/>
        </w:rPr>
        <w:t>应按性能化设计要求复核设防地震作用下结构整体的自复位能力；</w:t>
      </w:r>
    </w:p>
    <w:p>
      <w:pPr>
        <w:pStyle w:val="70"/>
      </w:pPr>
      <w:r>
        <w:rPr>
          <w:rFonts w:hint="eastAsia"/>
          <w:b/>
        </w:rPr>
        <w:t>2</w:t>
      </w:r>
      <w:r>
        <w:rPr>
          <w:b/>
        </w:rPr>
        <w:tab/>
      </w:r>
      <w:r>
        <w:rPr>
          <w:rFonts w:hint="eastAsia"/>
        </w:rPr>
        <w:t>压接装配框架宜沿建筑外周单方向布置，结构整体应具有满足要求的承载力、刚度和延性，压接装配框架梁柱结合面处耗能钢筋的受弯承载力贡献应满足本规程</w:t>
      </w:r>
      <w:r>
        <w:fldChar w:fldCharType="begin"/>
      </w:r>
      <w:r>
        <w:instrText xml:space="preserve"> </w:instrText>
      </w:r>
      <w:r>
        <w:rPr>
          <w:rFonts w:hint="eastAsia"/>
        </w:rPr>
        <w:instrText xml:space="preserve">REF _Ref167182077 \r \h</w:instrText>
      </w:r>
      <w:r>
        <w:instrText xml:space="preserve"> </w:instrText>
      </w:r>
      <w:r>
        <w:fldChar w:fldCharType="separate"/>
      </w:r>
      <w:r>
        <w:t>5. 5. 3</w:t>
      </w:r>
      <w:r>
        <w:fldChar w:fldCharType="end"/>
      </w:r>
      <w:r>
        <w:rPr>
          <w:rFonts w:hint="eastAsia"/>
        </w:rPr>
        <w:t>的规定；</w:t>
      </w:r>
    </w:p>
    <w:p>
      <w:pPr>
        <w:pStyle w:val="70"/>
      </w:pPr>
      <w:r>
        <w:rPr>
          <w:rFonts w:hint="eastAsia"/>
          <w:b/>
        </w:rPr>
        <w:t>3</w:t>
      </w:r>
      <w:r>
        <w:tab/>
      </w:r>
      <w:r>
        <w:rPr>
          <w:rFonts w:hint="eastAsia"/>
        </w:rPr>
        <w:t>压接装配框架不宜与现浇混凝土框架、装配整体式框架、混凝土抗震墙等抗侧力体系混合布置；</w:t>
      </w:r>
    </w:p>
    <w:p>
      <w:pPr>
        <w:pStyle w:val="70"/>
      </w:pPr>
      <w:r>
        <w:rPr>
          <w:rFonts w:hint="eastAsia"/>
          <w:b/>
        </w:rPr>
        <w:t>4</w:t>
      </w:r>
      <w:r>
        <w:tab/>
      </w:r>
      <w:r>
        <w:rPr>
          <w:rFonts w:hint="eastAsia"/>
        </w:rPr>
        <w:t>楼板与框架梁端的连接应采用避免给梁端提供附加的抗弯能力的滑动连接；</w:t>
      </w:r>
    </w:p>
    <w:p>
      <w:pPr>
        <w:pStyle w:val="70"/>
      </w:pPr>
      <w:r>
        <w:rPr>
          <w:rFonts w:hint="eastAsia"/>
          <w:b/>
        </w:rPr>
        <w:t>5</w:t>
      </w:r>
      <w:r>
        <w:tab/>
      </w:r>
      <w:r>
        <w:rPr>
          <w:rFonts w:hint="eastAsia"/>
        </w:rPr>
        <w:t>压接装配框架的柱脚节点应采用柱端外包钢板低损伤节点（图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-2</w:t>
      </w:r>
      <w:r>
        <w:rPr>
          <w:rFonts w:hint="eastAsia"/>
        </w:rPr>
        <w:t>）。</w:t>
      </w:r>
    </w:p>
    <w:p>
      <w:pPr>
        <w:pStyle w:val="70"/>
      </w:pPr>
      <w:r>
        <w:rPr>
          <w:rFonts w:hint="eastAsia"/>
          <w:b/>
        </w:rPr>
        <w:t>6</w:t>
      </w:r>
      <w:r>
        <w:rPr>
          <w:b/>
        </w:rPr>
        <w:tab/>
      </w:r>
      <w:r>
        <w:rPr>
          <w:rFonts w:hint="eastAsia"/>
        </w:rPr>
        <w:t>当结构中采用较多非抗侧力柱时，应按本规程4.2节要求对结构整体进行设防地震和罕遇地震下的非线性弹塑性分析与验算。</w:t>
      </w:r>
    </w:p>
    <w:p>
      <w:pPr>
        <w:pStyle w:val="4"/>
      </w:pPr>
      <w:r>
        <w:rPr>
          <w:rFonts w:hint="eastAsia"/>
        </w:rPr>
        <w:t>压接装配板柱应与抗震墙联合使用组成可靠的抗震结构。压接装配板柱-抗震墙结构中，全部水平作用应由抗震墙承担。</w:t>
      </w:r>
    </w:p>
    <w:p>
      <w:pPr>
        <w:pStyle w:val="4"/>
      </w:pPr>
      <w:bookmarkStart w:id="94" w:name="_Ref198027812"/>
      <w:r>
        <w:rPr>
          <w:rFonts w:hint="eastAsia"/>
        </w:rPr>
        <w:t>预应力压接装配式结构的楼盖宜采用施工阶段免支撑或少支撑的预制预应力楼板或叠合楼板。当采用由梁板柱复合节点组成的压接装配框架时，应采用叠合楼板，后浇叠合层厚度不应小于50mm，叠合梁与叠合板应通过叠合层及钢筋连接为整体。</w:t>
      </w:r>
      <w:bookmarkEnd w:id="94"/>
    </w:p>
    <w:p>
      <w:pPr>
        <w:pStyle w:val="4"/>
      </w:pPr>
      <w:bookmarkStart w:id="95" w:name="_Ref88037122"/>
      <w:bookmarkStart w:id="96" w:name="_Toc86067850"/>
      <w:r>
        <w:rPr>
          <w:rFonts w:hint="eastAsia"/>
        </w:rPr>
        <w:t>预应力压接装配式结构</w:t>
      </w:r>
      <w:r>
        <w:t>应根据结构受力特点及建筑尺度、形状、使用功能</w:t>
      </w:r>
      <w:r>
        <w:rPr>
          <w:rFonts w:hint="eastAsia"/>
        </w:rPr>
        <w:t>和预应力张拉施工</w:t>
      </w:r>
      <w:r>
        <w:t>要求确定结构缝的位置和构造；伸缩缝、沉降缝、防震缝应结合考虑，伸缩缝与沉降缝的宽度应满足防震缝</w:t>
      </w:r>
      <w:r>
        <w:rPr>
          <w:rFonts w:hint="eastAsia"/>
        </w:rPr>
        <w:t>的规定</w:t>
      </w:r>
      <w:r>
        <w:t>。</w:t>
      </w:r>
      <w:bookmarkEnd w:id="95"/>
      <w:bookmarkEnd w:id="96"/>
    </w:p>
    <w:p>
      <w:pPr>
        <w:pStyle w:val="4"/>
      </w:pPr>
      <w:bookmarkStart w:id="97" w:name="_Ref86131585"/>
      <w:bookmarkStart w:id="98" w:name="_Toc86067851"/>
      <w:r>
        <w:rPr>
          <w:rFonts w:hint="eastAsia"/>
        </w:rPr>
        <w:t>预应力压接装配式结构</w:t>
      </w:r>
      <w:r>
        <w:t>伸缩缝的最大间距超过表</w:t>
      </w:r>
      <w:r>
        <w:fldChar w:fldCharType="begin"/>
      </w:r>
      <w:r>
        <w:instrText xml:space="preserve"> STYLEREF 3 \s </w:instrText>
      </w:r>
      <w:r>
        <w:fldChar w:fldCharType="separate"/>
      </w:r>
      <w:r>
        <w:t>3. 2. 7</w:t>
      </w:r>
      <w:r>
        <w:fldChar w:fldCharType="end"/>
      </w:r>
      <w:r>
        <w:t>中数值时</w:t>
      </w:r>
      <w:r>
        <w:rPr>
          <w:rFonts w:hint="eastAsia"/>
        </w:rPr>
        <w:t>，</w:t>
      </w:r>
      <w:r>
        <w:t>应对结构进行混凝土收缩、徐变和温度作用下的</w:t>
      </w:r>
      <w:r>
        <w:rPr>
          <w:rFonts w:hint="eastAsia"/>
        </w:rPr>
        <w:t>应力</w:t>
      </w:r>
      <w:r>
        <w:t>计算分析，并在施工过程中采取低收缩混凝土材料、设置施工后浇带</w:t>
      </w:r>
      <w:r>
        <w:rPr>
          <w:rFonts w:hint="eastAsia"/>
        </w:rPr>
        <w:t>、采用</w:t>
      </w:r>
      <w:r>
        <w:t>跳仓法施工、加强混凝土养护或施加额外预应力等抗裂措施。</w:t>
      </w:r>
      <w:bookmarkEnd w:id="97"/>
      <w:bookmarkEnd w:id="98"/>
    </w:p>
    <w:p>
      <w:pPr>
        <w:pStyle w:val="68"/>
      </w:pPr>
      <w:r>
        <w:t>表</w:t>
      </w:r>
      <w:r>
        <w:fldChar w:fldCharType="begin"/>
      </w:r>
      <w:r>
        <w:instrText xml:space="preserve"> STYLEREF 3 \s </w:instrText>
      </w:r>
      <w:r>
        <w:fldChar w:fldCharType="separate"/>
      </w:r>
      <w:r>
        <w:t>3. 2. 7</w:t>
      </w:r>
      <w:r>
        <w:fldChar w:fldCharType="end"/>
      </w:r>
      <w:r>
        <w:t xml:space="preserve"> </w:t>
      </w:r>
      <w:r>
        <w:rPr>
          <w:rFonts w:hint="eastAsia"/>
        </w:rPr>
        <w:t>结构</w:t>
      </w:r>
      <w:r>
        <w:t>伸缩缝最大间距（m）</w:t>
      </w:r>
    </w:p>
    <w:tbl>
      <w:tblPr>
        <w:tblStyle w:val="84"/>
        <w:tblW w:w="8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75"/>
        <w:gridCol w:w="2430"/>
        <w:gridCol w:w="2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75" w:type="dxa"/>
            <w:tcBorders>
              <w:top w:val="single" w:color="auto" w:sz="12" w:space="0"/>
              <w:left w:val="single" w:color="auto" w:sz="12" w:space="0"/>
              <w:bottom w:val="single" w:color="auto" w:sz="4" w:space="0"/>
              <w:right w:val="single" w:color="auto" w:sz="4" w:space="0"/>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结构类型</w:t>
            </w:r>
          </w:p>
        </w:tc>
        <w:tc>
          <w:tcPr>
            <w:tcW w:w="2430" w:type="dxa"/>
            <w:tcBorders>
              <w:top w:val="single" w:color="auto" w:sz="12" w:space="0"/>
              <w:bottom w:val="single" w:color="auto" w:sz="4" w:space="0"/>
              <w:right w:val="single" w:color="auto" w:sz="4" w:space="0"/>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室内或土中</w:t>
            </w:r>
          </w:p>
        </w:tc>
        <w:tc>
          <w:tcPr>
            <w:tcW w:w="2101" w:type="dxa"/>
            <w:tcBorders>
              <w:top w:val="single" w:color="auto" w:sz="12" w:space="0"/>
              <w:bottom w:val="single" w:color="auto" w:sz="4" w:space="0"/>
              <w:right w:val="single" w:color="auto" w:sz="12" w:space="0"/>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露天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75" w:type="dxa"/>
            <w:tcBorders>
              <w:top w:val="single" w:color="auto" w:sz="4" w:space="0"/>
            </w:tcBorders>
            <w:vAlign w:val="center"/>
          </w:tcPr>
          <w:p>
            <w:pPr>
              <w:pStyle w:val="65"/>
              <w:rPr>
                <w:rFonts w:hint="eastAsia" w:ascii="MS Sans Serif" w:hAnsi="MS Sans Serif"/>
              </w:rPr>
            </w:pPr>
            <w:r>
              <w:rPr>
                <w:rFonts w:ascii="MS Sans Serif" w:hAnsi="MS Sans Serif"/>
              </w:rPr>
              <w:t>框架结构</w:t>
            </w:r>
          </w:p>
        </w:tc>
        <w:tc>
          <w:tcPr>
            <w:tcW w:w="2430" w:type="dxa"/>
            <w:tcBorders>
              <w:top w:val="single" w:color="auto" w:sz="4" w:space="0"/>
            </w:tcBorders>
            <w:vAlign w:val="center"/>
          </w:tcPr>
          <w:p>
            <w:pPr>
              <w:pStyle w:val="65"/>
              <w:rPr>
                <w:rFonts w:hint="eastAsia" w:ascii="MS Sans Serif" w:hAnsi="MS Sans Serif"/>
              </w:rPr>
            </w:pPr>
            <w:r>
              <w:rPr>
                <w:rFonts w:ascii="MS Sans Serif" w:hAnsi="MS Sans Serif"/>
              </w:rPr>
              <w:t>75</w:t>
            </w:r>
          </w:p>
        </w:tc>
        <w:tc>
          <w:tcPr>
            <w:tcW w:w="2101" w:type="dxa"/>
            <w:tcBorders>
              <w:top w:val="single" w:color="auto" w:sz="4" w:space="0"/>
            </w:tcBorders>
            <w:vAlign w:val="center"/>
          </w:tcPr>
          <w:p>
            <w:pPr>
              <w:pStyle w:val="65"/>
              <w:rPr>
                <w:rFonts w:hint="eastAsia" w:ascii="MS Sans Serif" w:hAnsi="MS Sans Serif"/>
              </w:rPr>
            </w:pPr>
            <w:r>
              <w:rPr>
                <w:rFonts w:ascii="MS Sans Serif" w:hAnsi="MS Sans Serif"/>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75" w:type="dxa"/>
            <w:vAlign w:val="center"/>
          </w:tcPr>
          <w:p>
            <w:pPr>
              <w:pStyle w:val="65"/>
              <w:rPr>
                <w:rFonts w:hint="eastAsia" w:ascii="MS Sans Serif" w:hAnsi="MS Sans Serif"/>
              </w:rPr>
            </w:pPr>
            <w:r>
              <w:rPr>
                <w:rFonts w:ascii="MS Sans Serif" w:hAnsi="MS Sans Serif"/>
              </w:rPr>
              <w:t>框架-抗震墙（核心筒）结构</w:t>
            </w:r>
          </w:p>
        </w:tc>
        <w:tc>
          <w:tcPr>
            <w:tcW w:w="2430" w:type="dxa"/>
            <w:vAlign w:val="center"/>
          </w:tcPr>
          <w:p>
            <w:pPr>
              <w:pStyle w:val="65"/>
              <w:rPr>
                <w:rFonts w:hint="eastAsia" w:ascii="MS Sans Serif" w:hAnsi="MS Sans Serif"/>
              </w:rPr>
            </w:pPr>
            <w:r>
              <w:rPr>
                <w:rFonts w:ascii="MS Sans Serif" w:hAnsi="MS Sans Serif"/>
              </w:rPr>
              <w:t>70</w:t>
            </w:r>
          </w:p>
        </w:tc>
        <w:tc>
          <w:tcPr>
            <w:tcW w:w="2101" w:type="dxa"/>
            <w:vAlign w:val="center"/>
          </w:tcPr>
          <w:p>
            <w:pPr>
              <w:pStyle w:val="65"/>
              <w:rPr>
                <w:rFonts w:hint="eastAsia" w:ascii="MS Sans Serif" w:hAnsi="MS Sans Serif"/>
              </w:rPr>
            </w:pPr>
            <w:r>
              <w:rPr>
                <w:rFonts w:ascii="MS Sans Serif" w:hAnsi="MS Sans Serif"/>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75" w:type="dxa"/>
            <w:vAlign w:val="center"/>
          </w:tcPr>
          <w:p>
            <w:pPr>
              <w:pStyle w:val="65"/>
              <w:rPr>
                <w:rFonts w:hint="eastAsia" w:ascii="MS Sans Serif" w:hAnsi="MS Sans Serif"/>
              </w:rPr>
            </w:pPr>
            <w:r>
              <w:rPr>
                <w:rFonts w:hint="eastAsia" w:ascii="MS Sans Serif" w:hAnsi="MS Sans Serif"/>
              </w:rPr>
              <w:t>板柱-抗震墙结构</w:t>
            </w:r>
          </w:p>
        </w:tc>
        <w:tc>
          <w:tcPr>
            <w:tcW w:w="2430" w:type="dxa"/>
            <w:vAlign w:val="center"/>
          </w:tcPr>
          <w:p>
            <w:pPr>
              <w:pStyle w:val="65"/>
              <w:rPr>
                <w:rFonts w:hint="eastAsia" w:ascii="MS Sans Serif" w:hAnsi="MS Sans Serif"/>
              </w:rPr>
            </w:pPr>
            <w:r>
              <w:rPr>
                <w:rFonts w:hint="eastAsia" w:ascii="MS Sans Serif" w:hAnsi="MS Sans Serif"/>
              </w:rPr>
              <w:t>6</w:t>
            </w:r>
            <w:r>
              <w:rPr>
                <w:rFonts w:ascii="MS Sans Serif" w:hAnsi="MS Sans Serif"/>
              </w:rPr>
              <w:t>0</w:t>
            </w:r>
          </w:p>
        </w:tc>
        <w:tc>
          <w:tcPr>
            <w:tcW w:w="2101" w:type="dxa"/>
            <w:vAlign w:val="center"/>
          </w:tcPr>
          <w:p>
            <w:pPr>
              <w:pStyle w:val="65"/>
              <w:rPr>
                <w:rFonts w:hint="eastAsia" w:ascii="MS Sans Serif" w:hAnsi="MS Sans Serif"/>
              </w:rPr>
            </w:pPr>
            <w:r>
              <w:rPr>
                <w:rFonts w:hint="eastAsia" w:ascii="MS Sans Serif" w:hAnsi="MS Sans Serif"/>
              </w:rPr>
              <w:t>4</w:t>
            </w:r>
            <w:r>
              <w:rPr>
                <w:rFonts w:ascii="MS Sans Serif" w:hAnsi="MS Sans Serif"/>
              </w:rPr>
              <w:t>5</w:t>
            </w:r>
          </w:p>
        </w:tc>
      </w:tr>
    </w:tbl>
    <w:p>
      <w:bookmarkStart w:id="99" w:name="_Ref86131673"/>
      <w:bookmarkStart w:id="100" w:name="_Toc86067852"/>
    </w:p>
    <w:p>
      <w:pPr>
        <w:pStyle w:val="4"/>
      </w:pPr>
      <w:bookmarkStart w:id="101" w:name="_Ref88037153"/>
      <w:r>
        <w:rPr>
          <w:rFonts w:hint="eastAsia"/>
        </w:rPr>
        <w:t>预应力压接装配式</w:t>
      </w:r>
      <w:r>
        <w:t>结构</w:t>
      </w:r>
      <w:r>
        <w:rPr>
          <w:rFonts w:hint="eastAsia"/>
        </w:rPr>
        <w:t>的</w:t>
      </w:r>
      <w:r>
        <w:t>平面布置</w:t>
      </w:r>
      <w:r>
        <w:rPr>
          <w:rFonts w:hint="eastAsia"/>
        </w:rPr>
        <w:t>不宜将预应力筋张拉端设置在结构缝内，当必须设置在结构缝内时</w:t>
      </w:r>
      <w:r>
        <w:t>应预留锚</w:t>
      </w:r>
      <w:r>
        <w:rPr>
          <w:rFonts w:hint="eastAsia"/>
        </w:rPr>
        <w:t>固、</w:t>
      </w:r>
      <w:r>
        <w:t>张拉施工空间。</w:t>
      </w:r>
      <w:bookmarkEnd w:id="99"/>
      <w:bookmarkEnd w:id="100"/>
      <w:bookmarkEnd w:id="101"/>
    </w:p>
    <w:p/>
    <w:p>
      <w:pPr>
        <w:pStyle w:val="3"/>
      </w:pPr>
      <w:bookmarkStart w:id="102" w:name="_Toc202345809"/>
      <w:r>
        <w:rPr>
          <w:rFonts w:hint="eastAsia"/>
        </w:rPr>
        <w:t>抗震规定</w:t>
      </w:r>
      <w:bookmarkEnd w:id="102"/>
      <w:bookmarkStart w:id="103" w:name="_Toc197444874"/>
      <w:bookmarkEnd w:id="103"/>
    </w:p>
    <w:p>
      <w:pPr>
        <w:pStyle w:val="4"/>
      </w:pPr>
      <w:bookmarkStart w:id="104" w:name="_Toc86067840"/>
      <w:bookmarkStart w:id="105" w:name="_Toc86068029"/>
      <w:r>
        <w:rPr>
          <w:rFonts w:hint="eastAsia"/>
        </w:rPr>
        <w:t>预应力压接装配式结构</w:t>
      </w:r>
      <w:r>
        <w:t>及其构件采用抗震性能化设计方法时，</w:t>
      </w:r>
      <w:r>
        <w:rPr>
          <w:rFonts w:hint="eastAsia"/>
        </w:rPr>
        <w:t>抗震性能</w:t>
      </w:r>
      <w:r>
        <w:t>目标和计算方法可按本</w:t>
      </w:r>
      <w:r>
        <w:rPr>
          <w:rFonts w:hint="eastAsia"/>
        </w:rPr>
        <w:t>节的</w:t>
      </w:r>
      <w:r>
        <w:t>规定采用</w:t>
      </w:r>
      <w:r>
        <w:rPr>
          <w:rFonts w:hint="eastAsia"/>
        </w:rPr>
        <w:t>。本规程未做规定的，应按</w:t>
      </w:r>
      <w:r>
        <w:t>现行国家标准《建筑抗震设计</w:t>
      </w:r>
      <w:r>
        <w:rPr>
          <w:rFonts w:hint="eastAsia"/>
        </w:rPr>
        <w:t>标准</w:t>
      </w:r>
      <w:r>
        <w:t>》GB/T 50011的抗震性能化设计</w:t>
      </w:r>
      <w:r>
        <w:rPr>
          <w:rFonts w:hint="eastAsia"/>
        </w:rPr>
        <w:t>有关规定执行</w:t>
      </w:r>
      <w:r>
        <w:t>。</w:t>
      </w:r>
      <w:bookmarkEnd w:id="104"/>
    </w:p>
    <w:bookmarkEnd w:id="105"/>
    <w:p>
      <w:pPr>
        <w:pStyle w:val="4"/>
      </w:pPr>
      <w:bookmarkStart w:id="106" w:name="_Ref88034730"/>
      <w:bookmarkStart w:id="107" w:name="_Toc86067845"/>
      <w:r>
        <w:rPr>
          <w:rFonts w:hint="eastAsia"/>
        </w:rPr>
        <w:t>预应力压接装配式结构</w:t>
      </w:r>
      <w:r>
        <w:t>应根据设防类别、烈度、结构类型和房屋高度采用不同的抗震等级，</w:t>
      </w:r>
      <w:r>
        <w:rPr>
          <w:rFonts w:hint="eastAsia"/>
        </w:rPr>
        <w:t>并应符合相应的计算和构造措施要求。丙类建筑的抗震等级应按表</w:t>
      </w:r>
      <w:r>
        <w:fldChar w:fldCharType="begin"/>
      </w:r>
      <w:r>
        <w:instrText xml:space="preserve"> STYLEREF 3 \s </w:instrText>
      </w:r>
      <w:r>
        <w:fldChar w:fldCharType="separate"/>
      </w:r>
      <w:r>
        <w:t>3. 3. 2</w:t>
      </w:r>
      <w:r>
        <w:fldChar w:fldCharType="end"/>
      </w:r>
      <w:r>
        <w:rPr>
          <w:rFonts w:hint="eastAsia"/>
        </w:rPr>
        <w:t>确定。乙类建筑应按本地区抗震设防烈度提高一度的要求加强抗震措施，当抗震等级超出表</w:t>
      </w:r>
      <w:r>
        <w:fldChar w:fldCharType="begin"/>
      </w:r>
      <w:r>
        <w:instrText xml:space="preserve"> STYLEREF 3 \s </w:instrText>
      </w:r>
      <w:r>
        <w:fldChar w:fldCharType="separate"/>
      </w:r>
      <w:r>
        <w:t>3. 3. 2</w:t>
      </w:r>
      <w:r>
        <w:fldChar w:fldCharType="end"/>
      </w:r>
      <w:r>
        <w:rPr>
          <w:rFonts w:hint="eastAsia"/>
        </w:rPr>
        <w:t>的规定时，应按现行国家标准《建筑抗震设计标准》GB</w:t>
      </w:r>
      <w:r>
        <w:t>/T</w:t>
      </w:r>
      <w:r>
        <w:rPr>
          <w:rFonts w:hint="eastAsia"/>
        </w:rPr>
        <w:t xml:space="preserve"> 50011的有关规定采取更严格的抗震措施。</w:t>
      </w:r>
      <w:bookmarkEnd w:id="106"/>
      <w:bookmarkEnd w:id="107"/>
    </w:p>
    <w:p>
      <w:pPr>
        <w:pStyle w:val="68"/>
      </w:pPr>
      <w:r>
        <w:t>表</w:t>
      </w:r>
      <w:r>
        <w:fldChar w:fldCharType="begin"/>
      </w:r>
      <w:r>
        <w:instrText xml:space="preserve"> STYLEREF 3 \s </w:instrText>
      </w:r>
      <w:r>
        <w:fldChar w:fldCharType="separate"/>
      </w:r>
      <w:r>
        <w:t>3. 3. 2</w:t>
      </w:r>
      <w:r>
        <w:fldChar w:fldCharType="end"/>
      </w:r>
      <w:r>
        <w:t>　丙类</w:t>
      </w:r>
      <w:r>
        <w:rPr>
          <w:rFonts w:hint="eastAsia"/>
        </w:rPr>
        <w:t>房屋结构</w:t>
      </w:r>
      <w:r>
        <w:t>的抗震等级</w:t>
      </w:r>
    </w:p>
    <w:tbl>
      <w:tblPr>
        <w:tblStyle w:val="10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019"/>
        <w:gridCol w:w="1588"/>
        <w:gridCol w:w="799"/>
        <w:gridCol w:w="800"/>
        <w:gridCol w:w="1580"/>
        <w:gridCol w:w="54"/>
        <w:gridCol w:w="811"/>
        <w:gridCol w:w="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gridSpan w:val="2"/>
            <w:vMerge w:val="restart"/>
            <w:tcBorders>
              <w:top w:val="single" w:color="auto" w:sz="12" w:space="0"/>
              <w:left w:val="single" w:color="auto" w:sz="12" w:space="0"/>
              <w:bottom w:val="nil"/>
              <w:right w:val="single" w:color="auto" w:sz="4" w:space="0"/>
              <w:insideV w:val="single" w:sz="4" w:space="0"/>
              <w:tl2br w:val="nil"/>
              <w:tr2bl w:val="nil"/>
            </w:tcBorders>
            <w:shd w:val="clear" w:color="auto" w:fill="FFFFFF"/>
            <w:vAlign w:val="center"/>
          </w:tcPr>
          <w:p>
            <w:pPr>
              <w:pStyle w:val="65"/>
              <w:rPr>
                <w:rFonts w:ascii="MS Sans Serif" w:hAnsi="MS Sans Serif" w:eastAsia="Arial"/>
                <w:b/>
              </w:rPr>
            </w:pPr>
            <w:r>
              <w:rPr>
                <w:rFonts w:hint="eastAsia" w:ascii="宋体" w:hAnsi="宋体" w:eastAsia="宋体" w:cs="宋体"/>
                <w:b/>
              </w:rPr>
              <w:t>结构类型</w:t>
            </w:r>
          </w:p>
        </w:tc>
        <w:tc>
          <w:tcPr>
            <w:tcW w:w="6176" w:type="dxa"/>
            <w:gridSpan w:val="7"/>
            <w:tcBorders>
              <w:top w:val="single" w:color="auto" w:sz="12" w:space="0"/>
              <w:bottom w:val="single" w:color="auto" w:sz="4" w:space="0"/>
              <w:right w:val="single" w:color="auto" w:sz="12" w:space="0"/>
              <w:insideV w:val="single" w:sz="4" w:space="0"/>
              <w:tl2br w:val="nil"/>
              <w:tr2bl w:val="nil"/>
            </w:tcBorders>
            <w:shd w:val="clear" w:color="auto" w:fill="FFFFFF"/>
            <w:vAlign w:val="center"/>
          </w:tcPr>
          <w:p>
            <w:pPr>
              <w:pStyle w:val="65"/>
              <w:rPr>
                <w:rFonts w:ascii="MS Sans Serif" w:hAnsi="MS Sans Serif" w:eastAsia="Arial"/>
                <w:b/>
              </w:rPr>
            </w:pPr>
            <w:r>
              <w:rPr>
                <w:rFonts w:hint="eastAsia" w:ascii="宋体" w:hAnsi="宋体" w:eastAsia="宋体" w:cs="宋体"/>
                <w:b/>
              </w:rPr>
              <w:t>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gridSpan w:val="2"/>
            <w:vMerge w:val="continue"/>
            <w:vAlign w:val="center"/>
          </w:tcPr>
          <w:p>
            <w:pPr>
              <w:pStyle w:val="65"/>
              <w:rPr>
                <w:rFonts w:hint="eastAsia" w:ascii="MS Sans Serif" w:hAnsi="MS Sans Serif"/>
              </w:rPr>
            </w:pPr>
          </w:p>
        </w:tc>
        <w:tc>
          <w:tcPr>
            <w:tcW w:w="3095" w:type="dxa"/>
            <w:gridSpan w:val="3"/>
            <w:tcBorders>
              <w:top w:val="single" w:color="auto" w:sz="4" w:space="0"/>
            </w:tcBorders>
            <w:vAlign w:val="center"/>
          </w:tcPr>
          <w:p>
            <w:pPr>
              <w:pStyle w:val="65"/>
              <w:rPr>
                <w:rFonts w:hint="eastAsia" w:ascii="MS Sans Serif" w:hAnsi="MS Sans Serif"/>
              </w:rPr>
            </w:pPr>
            <w:r>
              <w:rPr>
                <w:rFonts w:ascii="MS Sans Serif" w:hAnsi="MS Sans Serif"/>
              </w:rPr>
              <w:t>7度</w:t>
            </w:r>
          </w:p>
        </w:tc>
        <w:tc>
          <w:tcPr>
            <w:tcW w:w="3081" w:type="dxa"/>
            <w:gridSpan w:val="4"/>
            <w:tcBorders>
              <w:top w:val="single" w:color="auto" w:sz="4" w:space="0"/>
            </w:tcBorders>
            <w:vAlign w:val="center"/>
          </w:tcPr>
          <w:p>
            <w:pPr>
              <w:pStyle w:val="65"/>
              <w:rPr>
                <w:rFonts w:hint="eastAsia" w:ascii="MS Sans Serif" w:hAnsi="MS Sans Serif"/>
              </w:rPr>
            </w:pPr>
            <w:r>
              <w:rPr>
                <w:rFonts w:ascii="MS Sans Serif" w:hAnsi="MS Sans Serif"/>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10" w:type="dxa"/>
            <w:vMerge w:val="restart"/>
            <w:vAlign w:val="center"/>
          </w:tcPr>
          <w:p>
            <w:pPr>
              <w:pStyle w:val="65"/>
              <w:rPr>
                <w:rFonts w:hint="eastAsia" w:ascii="MS Sans Serif" w:hAnsi="MS Sans Serif"/>
              </w:rPr>
            </w:pPr>
            <w:r>
              <w:rPr>
                <w:rFonts w:ascii="MS Sans Serif" w:hAnsi="MS Sans Serif"/>
              </w:rPr>
              <w:t>框架结构</w:t>
            </w:r>
          </w:p>
        </w:tc>
        <w:tc>
          <w:tcPr>
            <w:tcW w:w="990" w:type="dxa"/>
            <w:vAlign w:val="center"/>
          </w:tcPr>
          <w:p>
            <w:pPr>
              <w:pStyle w:val="65"/>
              <w:rPr>
                <w:rFonts w:hint="eastAsia" w:ascii="MS Sans Serif" w:hAnsi="MS Sans Serif"/>
              </w:rPr>
            </w:pPr>
            <w:r>
              <w:rPr>
                <w:rFonts w:ascii="MS Sans Serif" w:hAnsi="MS Sans Serif"/>
              </w:rPr>
              <w:t>高度（m）</w:t>
            </w:r>
          </w:p>
        </w:tc>
        <w:tc>
          <w:tcPr>
            <w:tcW w:w="1542" w:type="dxa"/>
            <w:vAlign w:val="center"/>
          </w:tcPr>
          <w:p>
            <w:pPr>
              <w:pStyle w:val="65"/>
              <w:rPr>
                <w:rFonts w:hint="eastAsia" w:ascii="MS Sans Serif" w:hAnsi="MS Sans Serif"/>
              </w:rPr>
            </w:pPr>
            <w:r>
              <w:rPr>
                <w:rFonts w:ascii="MS Sans Serif" w:hAnsi="MS Sans Serif"/>
              </w:rPr>
              <w:t>≤24</w:t>
            </w:r>
          </w:p>
        </w:tc>
        <w:tc>
          <w:tcPr>
            <w:tcW w:w="1553" w:type="dxa"/>
            <w:gridSpan w:val="2"/>
            <w:vAlign w:val="center"/>
          </w:tcPr>
          <w:p>
            <w:pPr>
              <w:pStyle w:val="65"/>
              <w:rPr>
                <w:rFonts w:hint="eastAsia" w:ascii="MS Sans Serif" w:hAnsi="MS Sans Serif"/>
              </w:rPr>
            </w:pPr>
            <w:r>
              <w:rPr>
                <w:rFonts w:hint="eastAsia" w:ascii="MS Sans Serif" w:hAnsi="MS Sans Serif"/>
              </w:rPr>
              <w:t>&gt;</w:t>
            </w:r>
            <w:r>
              <w:rPr>
                <w:rFonts w:ascii="MS Sans Serif" w:hAnsi="MS Sans Serif"/>
              </w:rPr>
              <w:t>24</w:t>
            </w:r>
          </w:p>
        </w:tc>
        <w:tc>
          <w:tcPr>
            <w:tcW w:w="1534" w:type="dxa"/>
            <w:vAlign w:val="center"/>
          </w:tcPr>
          <w:p>
            <w:pPr>
              <w:pStyle w:val="65"/>
              <w:rPr>
                <w:rFonts w:hint="eastAsia" w:ascii="MS Sans Serif" w:hAnsi="MS Sans Serif"/>
              </w:rPr>
            </w:pPr>
            <w:r>
              <w:rPr>
                <w:rFonts w:ascii="MS Sans Serif" w:hAnsi="MS Sans Serif"/>
              </w:rPr>
              <w:t>≤24</w:t>
            </w:r>
          </w:p>
        </w:tc>
        <w:tc>
          <w:tcPr>
            <w:tcW w:w="1547" w:type="dxa"/>
            <w:gridSpan w:val="3"/>
            <w:vAlign w:val="center"/>
          </w:tcPr>
          <w:p>
            <w:pPr>
              <w:pStyle w:val="65"/>
              <w:rPr>
                <w:rFonts w:hint="eastAsia" w:ascii="MS Sans Serif" w:hAnsi="MS Sans Serif"/>
              </w:rPr>
            </w:pPr>
            <w:r>
              <w:rPr>
                <w:rFonts w:hint="eastAsia" w:ascii="MS Sans Serif" w:hAnsi="MS Sans Serif"/>
              </w:rPr>
              <w:t>&gt;</w:t>
            </w:r>
            <w:r>
              <w:rPr>
                <w:rFonts w:ascii="MS Sans Serif" w:hAnsi="MS Sans Serif"/>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框架</w:t>
            </w:r>
          </w:p>
        </w:tc>
        <w:tc>
          <w:tcPr>
            <w:tcW w:w="1542" w:type="dxa"/>
            <w:vAlign w:val="center"/>
          </w:tcPr>
          <w:p>
            <w:pPr>
              <w:pStyle w:val="65"/>
              <w:rPr>
                <w:rFonts w:hint="eastAsia" w:ascii="MS Sans Serif" w:hAnsi="MS Sans Serif"/>
              </w:rPr>
            </w:pPr>
            <w:r>
              <w:rPr>
                <w:rFonts w:ascii="MS Sans Serif" w:hAnsi="MS Sans Serif"/>
              </w:rPr>
              <w:t>三</w:t>
            </w:r>
          </w:p>
        </w:tc>
        <w:tc>
          <w:tcPr>
            <w:tcW w:w="1553" w:type="dxa"/>
            <w:gridSpan w:val="2"/>
            <w:vAlign w:val="center"/>
          </w:tcPr>
          <w:p>
            <w:pPr>
              <w:pStyle w:val="65"/>
              <w:rPr>
                <w:rFonts w:hint="eastAsia" w:ascii="MS Sans Serif" w:hAnsi="MS Sans Serif"/>
              </w:rPr>
            </w:pPr>
            <w:r>
              <w:rPr>
                <w:rFonts w:ascii="MS Sans Serif" w:hAnsi="MS Sans Serif"/>
              </w:rPr>
              <w:t>二</w:t>
            </w:r>
          </w:p>
        </w:tc>
        <w:tc>
          <w:tcPr>
            <w:tcW w:w="1534" w:type="dxa"/>
            <w:vAlign w:val="center"/>
          </w:tcPr>
          <w:p>
            <w:pPr>
              <w:pStyle w:val="65"/>
              <w:rPr>
                <w:rFonts w:hint="eastAsia" w:ascii="MS Sans Serif" w:hAnsi="MS Sans Serif"/>
              </w:rPr>
            </w:pPr>
            <w:r>
              <w:rPr>
                <w:rFonts w:ascii="MS Sans Serif" w:hAnsi="MS Sans Serif"/>
              </w:rPr>
              <w:t>二</w:t>
            </w:r>
          </w:p>
        </w:tc>
        <w:tc>
          <w:tcPr>
            <w:tcW w:w="1547" w:type="dxa"/>
            <w:gridSpan w:val="3"/>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hint="eastAsia" w:ascii="MS Sans Serif" w:hAnsi="MS Sans Serif"/>
              </w:rPr>
              <w:t>大跨度</w:t>
            </w:r>
            <w:r>
              <w:rPr>
                <w:rFonts w:ascii="MS Sans Serif" w:hAnsi="MS Sans Serif"/>
              </w:rPr>
              <w:t>框架</w:t>
            </w:r>
          </w:p>
        </w:tc>
        <w:tc>
          <w:tcPr>
            <w:tcW w:w="3095" w:type="dxa"/>
            <w:gridSpan w:val="3"/>
            <w:vAlign w:val="center"/>
          </w:tcPr>
          <w:p>
            <w:pPr>
              <w:pStyle w:val="65"/>
              <w:rPr>
                <w:rFonts w:hint="eastAsia" w:ascii="MS Sans Serif" w:hAnsi="MS Sans Serif"/>
              </w:rPr>
            </w:pPr>
            <w:r>
              <w:rPr>
                <w:rFonts w:ascii="MS Sans Serif" w:hAnsi="MS Sans Serif"/>
              </w:rPr>
              <w:t>二</w:t>
            </w:r>
          </w:p>
        </w:tc>
        <w:tc>
          <w:tcPr>
            <w:tcW w:w="3081" w:type="dxa"/>
            <w:gridSpan w:val="4"/>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10" w:type="dxa"/>
            <w:vMerge w:val="restart"/>
            <w:vAlign w:val="center"/>
          </w:tcPr>
          <w:p>
            <w:pPr>
              <w:pStyle w:val="65"/>
              <w:rPr>
                <w:rFonts w:hint="eastAsia" w:ascii="MS Sans Serif" w:hAnsi="MS Sans Serif"/>
              </w:rPr>
            </w:pPr>
            <w:r>
              <w:rPr>
                <w:rFonts w:ascii="MS Sans Serif" w:hAnsi="MS Sans Serif"/>
              </w:rPr>
              <w:t>框架-抗震墙结构</w:t>
            </w:r>
          </w:p>
        </w:tc>
        <w:tc>
          <w:tcPr>
            <w:tcW w:w="990" w:type="dxa"/>
            <w:vAlign w:val="center"/>
          </w:tcPr>
          <w:p>
            <w:pPr>
              <w:pStyle w:val="65"/>
              <w:rPr>
                <w:rFonts w:hint="eastAsia" w:ascii="MS Sans Serif" w:hAnsi="MS Sans Serif"/>
              </w:rPr>
            </w:pPr>
            <w:r>
              <w:rPr>
                <w:rFonts w:ascii="MS Sans Serif" w:hAnsi="MS Sans Serif"/>
              </w:rPr>
              <w:t>高度（m）</w:t>
            </w:r>
          </w:p>
        </w:tc>
        <w:tc>
          <w:tcPr>
            <w:tcW w:w="1542" w:type="dxa"/>
            <w:vAlign w:val="center"/>
          </w:tcPr>
          <w:p>
            <w:pPr>
              <w:pStyle w:val="65"/>
              <w:rPr>
                <w:rFonts w:hint="eastAsia" w:ascii="MS Sans Serif" w:hAnsi="MS Sans Serif"/>
              </w:rPr>
            </w:pPr>
            <w:r>
              <w:rPr>
                <w:rFonts w:ascii="MS Sans Serif" w:hAnsi="MS Sans Serif"/>
              </w:rPr>
              <w:t>≤24</w:t>
            </w:r>
          </w:p>
        </w:tc>
        <w:tc>
          <w:tcPr>
            <w:tcW w:w="776" w:type="dxa"/>
            <w:vAlign w:val="center"/>
          </w:tcPr>
          <w:p>
            <w:pPr>
              <w:pStyle w:val="65"/>
              <w:rPr>
                <w:rFonts w:hint="eastAsia" w:ascii="MS Sans Serif" w:hAnsi="MS Sans Serif"/>
              </w:rPr>
            </w:pPr>
            <w:r>
              <w:rPr>
                <w:rFonts w:ascii="MS Sans Serif" w:hAnsi="MS Sans Serif"/>
              </w:rPr>
              <w:t>25~60</w:t>
            </w:r>
          </w:p>
        </w:tc>
        <w:tc>
          <w:tcPr>
            <w:tcW w:w="777" w:type="dxa"/>
            <w:vAlign w:val="center"/>
          </w:tcPr>
          <w:p>
            <w:pPr>
              <w:pStyle w:val="65"/>
              <w:rPr>
                <w:rFonts w:hint="eastAsia" w:ascii="MS Sans Serif" w:hAnsi="MS Sans Serif"/>
              </w:rPr>
            </w:pPr>
            <w:r>
              <w:rPr>
                <w:rFonts w:hint="eastAsia" w:ascii="MS Sans Serif" w:hAnsi="MS Sans Serif"/>
              </w:rPr>
              <w:t>&gt;</w:t>
            </w:r>
            <w:r>
              <w:rPr>
                <w:rFonts w:ascii="MS Sans Serif" w:hAnsi="MS Sans Serif"/>
              </w:rPr>
              <w:t>60</w:t>
            </w:r>
          </w:p>
        </w:tc>
        <w:tc>
          <w:tcPr>
            <w:tcW w:w="1586" w:type="dxa"/>
            <w:gridSpan w:val="2"/>
            <w:vAlign w:val="center"/>
          </w:tcPr>
          <w:p>
            <w:pPr>
              <w:pStyle w:val="65"/>
              <w:rPr>
                <w:rFonts w:hint="eastAsia" w:ascii="MS Sans Serif" w:hAnsi="MS Sans Serif"/>
              </w:rPr>
            </w:pPr>
            <w:r>
              <w:rPr>
                <w:rFonts w:ascii="MS Sans Serif" w:hAnsi="MS Sans Serif"/>
              </w:rPr>
              <w:t>≤24</w:t>
            </w:r>
          </w:p>
        </w:tc>
        <w:tc>
          <w:tcPr>
            <w:tcW w:w="788" w:type="dxa"/>
            <w:vAlign w:val="center"/>
          </w:tcPr>
          <w:p>
            <w:pPr>
              <w:pStyle w:val="65"/>
              <w:rPr>
                <w:rFonts w:hint="eastAsia" w:ascii="MS Sans Serif" w:hAnsi="MS Sans Serif"/>
              </w:rPr>
            </w:pPr>
            <w:r>
              <w:rPr>
                <w:rFonts w:ascii="MS Sans Serif" w:hAnsi="MS Sans Serif"/>
              </w:rPr>
              <w:t>25~60</w:t>
            </w:r>
          </w:p>
        </w:tc>
        <w:tc>
          <w:tcPr>
            <w:tcW w:w="707" w:type="dxa"/>
            <w:vAlign w:val="center"/>
          </w:tcPr>
          <w:p>
            <w:pPr>
              <w:pStyle w:val="65"/>
              <w:rPr>
                <w:rFonts w:hint="eastAsia" w:ascii="MS Sans Serif" w:hAnsi="MS Sans Serif"/>
              </w:rPr>
            </w:pPr>
            <w:r>
              <w:rPr>
                <w:rFonts w:hint="eastAsia" w:ascii="MS Sans Serif" w:hAnsi="MS Sans Serif"/>
              </w:rPr>
              <w:t>&gt;</w:t>
            </w:r>
            <w:r>
              <w:rPr>
                <w:rFonts w:ascii="MS Sans Serif" w:hAnsi="MS Sans Serif"/>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框架</w:t>
            </w:r>
          </w:p>
        </w:tc>
        <w:tc>
          <w:tcPr>
            <w:tcW w:w="1542" w:type="dxa"/>
            <w:vAlign w:val="center"/>
          </w:tcPr>
          <w:p>
            <w:pPr>
              <w:pStyle w:val="65"/>
              <w:rPr>
                <w:rFonts w:hint="eastAsia" w:ascii="MS Sans Serif" w:hAnsi="MS Sans Serif"/>
              </w:rPr>
            </w:pPr>
            <w:r>
              <w:rPr>
                <w:rFonts w:ascii="MS Sans Serif" w:hAnsi="MS Sans Serif"/>
              </w:rPr>
              <w:t>四</w:t>
            </w:r>
          </w:p>
        </w:tc>
        <w:tc>
          <w:tcPr>
            <w:tcW w:w="776" w:type="dxa"/>
            <w:vAlign w:val="center"/>
          </w:tcPr>
          <w:p>
            <w:pPr>
              <w:pStyle w:val="65"/>
              <w:rPr>
                <w:rFonts w:hint="eastAsia" w:ascii="MS Sans Serif" w:hAnsi="MS Sans Serif"/>
              </w:rPr>
            </w:pPr>
            <w:r>
              <w:rPr>
                <w:rFonts w:ascii="MS Sans Serif" w:hAnsi="MS Sans Serif"/>
              </w:rPr>
              <w:t>三</w:t>
            </w:r>
          </w:p>
        </w:tc>
        <w:tc>
          <w:tcPr>
            <w:tcW w:w="777" w:type="dxa"/>
            <w:vAlign w:val="center"/>
          </w:tcPr>
          <w:p>
            <w:pPr>
              <w:pStyle w:val="65"/>
              <w:rPr>
                <w:rFonts w:hint="eastAsia" w:ascii="MS Sans Serif" w:hAnsi="MS Sans Serif"/>
              </w:rPr>
            </w:pPr>
            <w:r>
              <w:rPr>
                <w:rFonts w:hint="eastAsia" w:ascii="MS Sans Serif" w:hAnsi="MS Sans Serif"/>
              </w:rPr>
              <w:t>二</w:t>
            </w:r>
          </w:p>
        </w:tc>
        <w:tc>
          <w:tcPr>
            <w:tcW w:w="1586" w:type="dxa"/>
            <w:gridSpan w:val="2"/>
            <w:vAlign w:val="center"/>
          </w:tcPr>
          <w:p>
            <w:pPr>
              <w:pStyle w:val="65"/>
              <w:rPr>
                <w:rFonts w:hint="eastAsia" w:ascii="MS Sans Serif" w:hAnsi="MS Sans Serif"/>
              </w:rPr>
            </w:pPr>
            <w:r>
              <w:rPr>
                <w:rFonts w:ascii="MS Sans Serif" w:hAnsi="MS Sans Serif"/>
              </w:rPr>
              <w:t>三</w:t>
            </w:r>
          </w:p>
        </w:tc>
        <w:tc>
          <w:tcPr>
            <w:tcW w:w="788" w:type="dxa"/>
            <w:vAlign w:val="center"/>
          </w:tcPr>
          <w:p>
            <w:pPr>
              <w:pStyle w:val="65"/>
              <w:rPr>
                <w:rFonts w:hint="eastAsia" w:ascii="MS Sans Serif" w:hAnsi="MS Sans Serif"/>
              </w:rPr>
            </w:pPr>
            <w:r>
              <w:rPr>
                <w:rFonts w:ascii="MS Sans Serif" w:hAnsi="MS Sans Serif"/>
              </w:rPr>
              <w:t>二</w:t>
            </w:r>
          </w:p>
        </w:tc>
        <w:tc>
          <w:tcPr>
            <w:tcW w:w="707" w:type="dxa"/>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抗震墙</w:t>
            </w:r>
          </w:p>
        </w:tc>
        <w:tc>
          <w:tcPr>
            <w:tcW w:w="1542" w:type="dxa"/>
            <w:vAlign w:val="center"/>
          </w:tcPr>
          <w:p>
            <w:pPr>
              <w:pStyle w:val="65"/>
              <w:rPr>
                <w:rFonts w:hint="eastAsia" w:ascii="MS Sans Serif" w:hAnsi="MS Sans Serif"/>
              </w:rPr>
            </w:pPr>
            <w:r>
              <w:rPr>
                <w:rFonts w:ascii="MS Sans Serif" w:hAnsi="MS Sans Serif"/>
              </w:rPr>
              <w:t>三</w:t>
            </w:r>
          </w:p>
        </w:tc>
        <w:tc>
          <w:tcPr>
            <w:tcW w:w="1553" w:type="dxa"/>
            <w:gridSpan w:val="2"/>
            <w:vAlign w:val="center"/>
          </w:tcPr>
          <w:p>
            <w:pPr>
              <w:pStyle w:val="65"/>
              <w:rPr>
                <w:rFonts w:hint="eastAsia" w:ascii="MS Sans Serif" w:hAnsi="MS Sans Serif"/>
              </w:rPr>
            </w:pPr>
            <w:r>
              <w:rPr>
                <w:rFonts w:ascii="MS Sans Serif" w:hAnsi="MS Sans Serif"/>
              </w:rPr>
              <w:t>二</w:t>
            </w:r>
          </w:p>
        </w:tc>
        <w:tc>
          <w:tcPr>
            <w:tcW w:w="1586" w:type="dxa"/>
            <w:gridSpan w:val="2"/>
            <w:vAlign w:val="center"/>
          </w:tcPr>
          <w:p>
            <w:pPr>
              <w:pStyle w:val="65"/>
              <w:rPr>
                <w:rFonts w:hint="eastAsia" w:ascii="MS Sans Serif" w:hAnsi="MS Sans Serif"/>
              </w:rPr>
            </w:pPr>
            <w:r>
              <w:rPr>
                <w:rFonts w:ascii="MS Sans Serif" w:hAnsi="MS Sans Serif"/>
              </w:rPr>
              <w:t>二</w:t>
            </w:r>
          </w:p>
        </w:tc>
        <w:tc>
          <w:tcPr>
            <w:tcW w:w="1495" w:type="dxa"/>
            <w:gridSpan w:val="2"/>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restart"/>
            <w:vAlign w:val="center"/>
          </w:tcPr>
          <w:p>
            <w:pPr>
              <w:pStyle w:val="65"/>
              <w:rPr>
                <w:rFonts w:hint="eastAsia" w:ascii="MS Sans Serif" w:hAnsi="MS Sans Serif"/>
              </w:rPr>
            </w:pPr>
            <w:r>
              <w:rPr>
                <w:rFonts w:hint="eastAsia" w:ascii="MS Sans Serif" w:hAnsi="MS Sans Serif"/>
              </w:rPr>
              <w:t>框架（</w:t>
            </w:r>
            <w:r>
              <w:rPr>
                <w:rFonts w:ascii="MS Sans Serif" w:hAnsi="MS Sans Serif"/>
              </w:rPr>
              <w:t>混凝土</w:t>
            </w:r>
            <w:r>
              <w:rPr>
                <w:rFonts w:hint="eastAsia" w:ascii="MS Sans Serif" w:hAnsi="MS Sans Serif"/>
              </w:rPr>
              <w:t>柱）</w:t>
            </w:r>
            <w:r>
              <w:rPr>
                <w:rFonts w:ascii="MS Sans Serif" w:hAnsi="MS Sans Serif"/>
              </w:rPr>
              <w:t>-核心筒结构</w:t>
            </w:r>
          </w:p>
        </w:tc>
        <w:tc>
          <w:tcPr>
            <w:tcW w:w="990" w:type="dxa"/>
            <w:vAlign w:val="center"/>
          </w:tcPr>
          <w:p>
            <w:pPr>
              <w:pStyle w:val="65"/>
              <w:rPr>
                <w:rFonts w:hint="eastAsia" w:ascii="MS Sans Serif" w:hAnsi="MS Sans Serif"/>
              </w:rPr>
            </w:pPr>
            <w:r>
              <w:rPr>
                <w:rFonts w:ascii="MS Sans Serif" w:hAnsi="MS Sans Serif"/>
              </w:rPr>
              <w:t>框架</w:t>
            </w:r>
          </w:p>
        </w:tc>
        <w:tc>
          <w:tcPr>
            <w:tcW w:w="3095" w:type="dxa"/>
            <w:gridSpan w:val="3"/>
            <w:vAlign w:val="center"/>
          </w:tcPr>
          <w:p>
            <w:pPr>
              <w:pStyle w:val="65"/>
              <w:rPr>
                <w:rFonts w:hint="eastAsia" w:ascii="MS Sans Serif" w:hAnsi="MS Sans Serif"/>
              </w:rPr>
            </w:pPr>
            <w:r>
              <w:rPr>
                <w:rFonts w:ascii="MS Sans Serif" w:hAnsi="MS Sans Serif"/>
              </w:rPr>
              <w:t>二</w:t>
            </w:r>
          </w:p>
        </w:tc>
        <w:tc>
          <w:tcPr>
            <w:tcW w:w="3081" w:type="dxa"/>
            <w:gridSpan w:val="4"/>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核心筒</w:t>
            </w:r>
          </w:p>
        </w:tc>
        <w:tc>
          <w:tcPr>
            <w:tcW w:w="3095" w:type="dxa"/>
            <w:gridSpan w:val="3"/>
            <w:vAlign w:val="center"/>
          </w:tcPr>
          <w:p>
            <w:pPr>
              <w:pStyle w:val="65"/>
              <w:rPr>
                <w:rFonts w:hint="eastAsia" w:ascii="MS Sans Serif" w:hAnsi="MS Sans Serif"/>
              </w:rPr>
            </w:pPr>
            <w:r>
              <w:rPr>
                <w:rFonts w:ascii="MS Sans Serif" w:hAnsi="MS Sans Serif"/>
              </w:rPr>
              <w:t>二</w:t>
            </w:r>
          </w:p>
        </w:tc>
        <w:tc>
          <w:tcPr>
            <w:tcW w:w="3081" w:type="dxa"/>
            <w:gridSpan w:val="4"/>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restart"/>
            <w:vAlign w:val="center"/>
          </w:tcPr>
          <w:p>
            <w:pPr>
              <w:pStyle w:val="65"/>
              <w:rPr>
                <w:rFonts w:hint="eastAsia" w:ascii="MS Sans Serif" w:hAnsi="MS Sans Serif"/>
              </w:rPr>
            </w:pPr>
            <w:r>
              <w:rPr>
                <w:rFonts w:hint="eastAsia" w:ascii="MS Sans Serif" w:hAnsi="MS Sans Serif"/>
              </w:rPr>
              <w:t>框架（钢管</w:t>
            </w:r>
            <w:r>
              <w:rPr>
                <w:rFonts w:ascii="MS Sans Serif" w:hAnsi="MS Sans Serif"/>
              </w:rPr>
              <w:t>混凝土</w:t>
            </w:r>
            <w:r>
              <w:rPr>
                <w:rFonts w:hint="eastAsia" w:ascii="MS Sans Serif" w:hAnsi="MS Sans Serif"/>
              </w:rPr>
              <w:t>柱）</w:t>
            </w:r>
            <w:r>
              <w:rPr>
                <w:rFonts w:ascii="MS Sans Serif" w:hAnsi="MS Sans Serif"/>
              </w:rPr>
              <w:t>-核心筒结构</w:t>
            </w:r>
          </w:p>
        </w:tc>
        <w:tc>
          <w:tcPr>
            <w:tcW w:w="990" w:type="dxa"/>
            <w:vAlign w:val="center"/>
          </w:tcPr>
          <w:p>
            <w:pPr>
              <w:pStyle w:val="65"/>
              <w:rPr>
                <w:rFonts w:hint="eastAsia" w:ascii="MS Sans Serif" w:hAnsi="MS Sans Serif"/>
              </w:rPr>
            </w:pPr>
            <w:r>
              <w:rPr>
                <w:rFonts w:ascii="MS Sans Serif" w:hAnsi="MS Sans Serif"/>
              </w:rPr>
              <w:t>高度（m）</w:t>
            </w:r>
          </w:p>
        </w:tc>
        <w:tc>
          <w:tcPr>
            <w:tcW w:w="1542" w:type="dxa"/>
            <w:vAlign w:val="center"/>
          </w:tcPr>
          <w:p>
            <w:pPr>
              <w:pStyle w:val="65"/>
              <w:rPr>
                <w:rFonts w:hint="eastAsia" w:ascii="MS Sans Serif" w:hAnsi="MS Sans Serif"/>
              </w:rPr>
            </w:pPr>
            <w:r>
              <w:rPr>
                <w:rFonts w:ascii="MS Sans Serif" w:hAnsi="MS Sans Serif"/>
              </w:rPr>
              <w:t>≤1</w:t>
            </w:r>
            <w:r>
              <w:rPr>
                <w:rFonts w:hint="eastAsia" w:ascii="MS Sans Serif" w:hAnsi="MS Sans Serif"/>
              </w:rPr>
              <w:t>3</w:t>
            </w:r>
            <w:r>
              <w:rPr>
                <w:rFonts w:ascii="MS Sans Serif" w:hAnsi="MS Sans Serif"/>
              </w:rPr>
              <w:t>0</w:t>
            </w:r>
          </w:p>
        </w:tc>
        <w:tc>
          <w:tcPr>
            <w:tcW w:w="1553" w:type="dxa"/>
            <w:gridSpan w:val="2"/>
            <w:vAlign w:val="center"/>
          </w:tcPr>
          <w:p>
            <w:pPr>
              <w:pStyle w:val="65"/>
              <w:rPr>
                <w:rFonts w:hint="eastAsia" w:ascii="MS Sans Serif" w:hAnsi="MS Sans Serif"/>
              </w:rPr>
            </w:pPr>
            <w:r>
              <w:rPr>
                <w:rFonts w:hint="eastAsia" w:ascii="MS Sans Serif" w:hAnsi="MS Sans Serif"/>
              </w:rPr>
              <w:t>&gt;</w:t>
            </w:r>
            <w:r>
              <w:rPr>
                <w:rFonts w:ascii="MS Sans Serif" w:hAnsi="MS Sans Serif"/>
              </w:rPr>
              <w:t>1</w:t>
            </w:r>
            <w:r>
              <w:rPr>
                <w:rFonts w:hint="eastAsia" w:ascii="MS Sans Serif" w:hAnsi="MS Sans Serif"/>
              </w:rPr>
              <w:t>3</w:t>
            </w:r>
            <w:r>
              <w:rPr>
                <w:rFonts w:ascii="MS Sans Serif" w:hAnsi="MS Sans Serif"/>
              </w:rPr>
              <w:t>0</w:t>
            </w:r>
          </w:p>
        </w:tc>
        <w:tc>
          <w:tcPr>
            <w:tcW w:w="1534" w:type="dxa"/>
            <w:vAlign w:val="center"/>
          </w:tcPr>
          <w:p>
            <w:pPr>
              <w:pStyle w:val="65"/>
              <w:rPr>
                <w:rFonts w:hint="eastAsia" w:ascii="MS Sans Serif" w:hAnsi="MS Sans Serif"/>
              </w:rPr>
            </w:pPr>
            <w:r>
              <w:rPr>
                <w:rFonts w:ascii="MS Sans Serif" w:hAnsi="MS Sans Serif"/>
              </w:rPr>
              <w:t>≤</w:t>
            </w:r>
            <w:r>
              <w:rPr>
                <w:rFonts w:hint="eastAsia" w:ascii="MS Sans Serif" w:hAnsi="MS Sans Serif"/>
              </w:rPr>
              <w:t>10</w:t>
            </w:r>
            <w:r>
              <w:rPr>
                <w:rFonts w:ascii="MS Sans Serif" w:hAnsi="MS Sans Serif"/>
              </w:rPr>
              <w:t>0</w:t>
            </w:r>
          </w:p>
        </w:tc>
        <w:tc>
          <w:tcPr>
            <w:tcW w:w="1547" w:type="dxa"/>
            <w:gridSpan w:val="3"/>
            <w:vAlign w:val="center"/>
          </w:tcPr>
          <w:p>
            <w:pPr>
              <w:pStyle w:val="65"/>
              <w:rPr>
                <w:rFonts w:hint="eastAsia" w:ascii="MS Sans Serif" w:hAnsi="MS Sans Serif"/>
              </w:rPr>
            </w:pPr>
            <w:r>
              <w:rPr>
                <w:rFonts w:hint="eastAsia" w:ascii="MS Sans Serif" w:hAnsi="MS Sans Serif"/>
              </w:rPr>
              <w:t>&gt;10</w:t>
            </w:r>
            <w:r>
              <w:rPr>
                <w:rFonts w:ascii="MS Sans Serif" w:hAnsi="MS Sans Serif"/>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框架</w:t>
            </w:r>
          </w:p>
        </w:tc>
        <w:tc>
          <w:tcPr>
            <w:tcW w:w="1542" w:type="dxa"/>
            <w:vAlign w:val="center"/>
          </w:tcPr>
          <w:p>
            <w:pPr>
              <w:pStyle w:val="65"/>
              <w:rPr>
                <w:rFonts w:hint="eastAsia" w:ascii="MS Sans Serif" w:hAnsi="MS Sans Serif"/>
              </w:rPr>
            </w:pPr>
            <w:r>
              <w:rPr>
                <w:rFonts w:ascii="MS Sans Serif" w:hAnsi="MS Sans Serif"/>
              </w:rPr>
              <w:t>二</w:t>
            </w:r>
          </w:p>
        </w:tc>
        <w:tc>
          <w:tcPr>
            <w:tcW w:w="1553" w:type="dxa"/>
            <w:gridSpan w:val="2"/>
            <w:vAlign w:val="center"/>
          </w:tcPr>
          <w:p>
            <w:pPr>
              <w:pStyle w:val="65"/>
              <w:rPr>
                <w:rFonts w:hint="eastAsia" w:ascii="MS Sans Serif" w:hAnsi="MS Sans Serif"/>
              </w:rPr>
            </w:pPr>
            <w:r>
              <w:rPr>
                <w:rFonts w:ascii="MS Sans Serif" w:hAnsi="MS Sans Serif"/>
              </w:rPr>
              <w:t>一</w:t>
            </w:r>
          </w:p>
        </w:tc>
        <w:tc>
          <w:tcPr>
            <w:tcW w:w="1534" w:type="dxa"/>
            <w:vAlign w:val="center"/>
          </w:tcPr>
          <w:p>
            <w:pPr>
              <w:pStyle w:val="65"/>
              <w:rPr>
                <w:rFonts w:hint="eastAsia" w:ascii="MS Sans Serif" w:hAnsi="MS Sans Serif"/>
              </w:rPr>
            </w:pPr>
            <w:r>
              <w:rPr>
                <w:rFonts w:ascii="MS Sans Serif" w:hAnsi="MS Sans Serif"/>
              </w:rPr>
              <w:t>一</w:t>
            </w:r>
          </w:p>
        </w:tc>
        <w:tc>
          <w:tcPr>
            <w:tcW w:w="1547" w:type="dxa"/>
            <w:gridSpan w:val="3"/>
            <w:vAlign w:val="center"/>
          </w:tcPr>
          <w:p>
            <w:pPr>
              <w:pStyle w:val="65"/>
              <w:rPr>
                <w:rFonts w:hint="eastAsia" w:ascii="MS Sans Serif" w:hAnsi="MS Sans Serif"/>
              </w:rPr>
            </w:pPr>
            <w:r>
              <w:rPr>
                <w:rFonts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核心筒</w:t>
            </w:r>
          </w:p>
        </w:tc>
        <w:tc>
          <w:tcPr>
            <w:tcW w:w="1542" w:type="dxa"/>
            <w:vAlign w:val="center"/>
          </w:tcPr>
          <w:p>
            <w:pPr>
              <w:pStyle w:val="65"/>
              <w:rPr>
                <w:rFonts w:hint="eastAsia" w:ascii="MS Sans Serif" w:hAnsi="MS Sans Serif"/>
              </w:rPr>
            </w:pPr>
            <w:r>
              <w:rPr>
                <w:rFonts w:ascii="MS Sans Serif" w:hAnsi="MS Sans Serif"/>
              </w:rPr>
              <w:t>二</w:t>
            </w:r>
          </w:p>
        </w:tc>
        <w:tc>
          <w:tcPr>
            <w:tcW w:w="1553" w:type="dxa"/>
            <w:gridSpan w:val="2"/>
            <w:vAlign w:val="center"/>
          </w:tcPr>
          <w:p>
            <w:pPr>
              <w:pStyle w:val="65"/>
              <w:rPr>
                <w:rFonts w:hint="eastAsia" w:ascii="MS Sans Serif" w:hAnsi="MS Sans Serif"/>
              </w:rPr>
            </w:pPr>
            <w:r>
              <w:rPr>
                <w:rFonts w:ascii="MS Sans Serif" w:hAnsi="MS Sans Serif"/>
              </w:rPr>
              <w:t>一</w:t>
            </w:r>
          </w:p>
        </w:tc>
        <w:tc>
          <w:tcPr>
            <w:tcW w:w="1534" w:type="dxa"/>
            <w:vAlign w:val="center"/>
          </w:tcPr>
          <w:p>
            <w:pPr>
              <w:pStyle w:val="65"/>
              <w:rPr>
                <w:rFonts w:hint="eastAsia" w:ascii="MS Sans Serif" w:hAnsi="MS Sans Serif"/>
              </w:rPr>
            </w:pPr>
            <w:r>
              <w:rPr>
                <w:rFonts w:ascii="MS Sans Serif" w:hAnsi="MS Sans Serif"/>
              </w:rPr>
              <w:t>一</w:t>
            </w:r>
          </w:p>
        </w:tc>
        <w:tc>
          <w:tcPr>
            <w:tcW w:w="1547" w:type="dxa"/>
            <w:gridSpan w:val="3"/>
            <w:vAlign w:val="center"/>
          </w:tcPr>
          <w:p>
            <w:pPr>
              <w:pStyle w:val="65"/>
              <w:rPr>
                <w:rFonts w:hint="eastAsia" w:ascii="MS Sans Serif" w:hAnsi="MS Sans Serif"/>
              </w:rPr>
            </w:pPr>
            <w:r>
              <w:rPr>
                <w:rFonts w:ascii="MS Sans Serif" w:hAnsi="MS Sans Serif"/>
              </w:rPr>
              <w:t>特一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restart"/>
            <w:vAlign w:val="center"/>
          </w:tcPr>
          <w:p>
            <w:pPr>
              <w:pStyle w:val="65"/>
              <w:rPr>
                <w:rFonts w:hint="eastAsia" w:ascii="MS Sans Serif" w:hAnsi="MS Sans Serif"/>
              </w:rPr>
            </w:pPr>
            <w:r>
              <w:rPr>
                <w:rFonts w:hint="eastAsia" w:ascii="MS Sans Serif" w:hAnsi="MS Sans Serif"/>
              </w:rPr>
              <w:t>板柱-抗震墙结构</w:t>
            </w:r>
          </w:p>
        </w:tc>
        <w:tc>
          <w:tcPr>
            <w:tcW w:w="990" w:type="dxa"/>
            <w:vAlign w:val="center"/>
          </w:tcPr>
          <w:p>
            <w:pPr>
              <w:pStyle w:val="65"/>
              <w:rPr>
                <w:rFonts w:hint="eastAsia" w:ascii="MS Sans Serif" w:hAnsi="MS Sans Serif"/>
              </w:rPr>
            </w:pPr>
            <w:r>
              <w:rPr>
                <w:rFonts w:ascii="MS Sans Serif" w:hAnsi="MS Sans Serif"/>
              </w:rPr>
              <w:t>高度（m）</w:t>
            </w:r>
          </w:p>
        </w:tc>
        <w:tc>
          <w:tcPr>
            <w:tcW w:w="1542" w:type="dxa"/>
            <w:vAlign w:val="center"/>
          </w:tcPr>
          <w:p>
            <w:pPr>
              <w:pStyle w:val="65"/>
              <w:rPr>
                <w:rFonts w:hint="eastAsia" w:ascii="MS Sans Serif" w:hAnsi="MS Sans Serif"/>
              </w:rPr>
            </w:pPr>
            <w:r>
              <w:rPr>
                <w:rFonts w:ascii="MS Sans Serif" w:hAnsi="MS Sans Serif"/>
              </w:rPr>
              <w:t>≤35</w:t>
            </w:r>
          </w:p>
        </w:tc>
        <w:tc>
          <w:tcPr>
            <w:tcW w:w="1553" w:type="dxa"/>
            <w:gridSpan w:val="2"/>
            <w:vAlign w:val="center"/>
          </w:tcPr>
          <w:p>
            <w:pPr>
              <w:pStyle w:val="65"/>
              <w:rPr>
                <w:rFonts w:hint="eastAsia" w:ascii="MS Sans Serif" w:hAnsi="MS Sans Serif"/>
              </w:rPr>
            </w:pPr>
            <w:r>
              <w:rPr>
                <w:rFonts w:hint="eastAsia" w:ascii="MS Sans Serif" w:hAnsi="MS Sans Serif"/>
              </w:rPr>
              <w:t>&gt;</w:t>
            </w:r>
            <w:r>
              <w:rPr>
                <w:rFonts w:ascii="MS Sans Serif" w:hAnsi="MS Sans Serif"/>
              </w:rPr>
              <w:t>35</w:t>
            </w:r>
          </w:p>
        </w:tc>
        <w:tc>
          <w:tcPr>
            <w:tcW w:w="1534" w:type="dxa"/>
            <w:vAlign w:val="center"/>
          </w:tcPr>
          <w:p>
            <w:pPr>
              <w:pStyle w:val="65"/>
              <w:rPr>
                <w:rFonts w:hint="eastAsia" w:ascii="MS Sans Serif" w:hAnsi="MS Sans Serif"/>
              </w:rPr>
            </w:pPr>
            <w:r>
              <w:rPr>
                <w:rFonts w:ascii="MS Sans Serif" w:hAnsi="MS Sans Serif"/>
              </w:rPr>
              <w:t>≤35</w:t>
            </w:r>
          </w:p>
        </w:tc>
        <w:tc>
          <w:tcPr>
            <w:tcW w:w="1547" w:type="dxa"/>
            <w:gridSpan w:val="3"/>
            <w:vAlign w:val="center"/>
          </w:tcPr>
          <w:p>
            <w:pPr>
              <w:pStyle w:val="65"/>
              <w:rPr>
                <w:rFonts w:hint="eastAsia" w:ascii="MS Sans Serif" w:hAnsi="MS Sans Serif"/>
              </w:rPr>
            </w:pPr>
            <w:r>
              <w:rPr>
                <w:rFonts w:hint="eastAsia" w:ascii="MS Sans Serif" w:hAnsi="MS Sans Serif"/>
              </w:rPr>
              <w:t>&gt;</w:t>
            </w:r>
            <w:r>
              <w:rPr>
                <w:rFonts w:ascii="MS Sans Serif" w:hAnsi="MS Sans Serif"/>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hint="eastAsia" w:ascii="MS Sans Serif" w:hAnsi="MS Sans Serif"/>
              </w:rPr>
              <w:t>板柱的柱</w:t>
            </w:r>
          </w:p>
        </w:tc>
        <w:tc>
          <w:tcPr>
            <w:tcW w:w="1542" w:type="dxa"/>
            <w:vAlign w:val="center"/>
          </w:tcPr>
          <w:p>
            <w:pPr>
              <w:pStyle w:val="65"/>
              <w:rPr>
                <w:rFonts w:hint="eastAsia" w:ascii="MS Sans Serif" w:hAnsi="MS Sans Serif"/>
              </w:rPr>
            </w:pPr>
            <w:r>
              <w:rPr>
                <w:rFonts w:hint="eastAsia" w:ascii="MS Sans Serif" w:hAnsi="MS Sans Serif"/>
              </w:rPr>
              <w:t>二</w:t>
            </w:r>
          </w:p>
        </w:tc>
        <w:tc>
          <w:tcPr>
            <w:tcW w:w="1553" w:type="dxa"/>
            <w:gridSpan w:val="2"/>
            <w:vAlign w:val="center"/>
          </w:tcPr>
          <w:p>
            <w:pPr>
              <w:pStyle w:val="65"/>
              <w:rPr>
                <w:rFonts w:hint="eastAsia" w:ascii="MS Sans Serif" w:hAnsi="MS Sans Serif"/>
              </w:rPr>
            </w:pPr>
            <w:r>
              <w:rPr>
                <w:rFonts w:hint="eastAsia" w:ascii="MS Sans Serif" w:hAnsi="MS Sans Serif"/>
              </w:rPr>
              <w:t>二</w:t>
            </w:r>
          </w:p>
        </w:tc>
        <w:tc>
          <w:tcPr>
            <w:tcW w:w="1534" w:type="dxa"/>
            <w:vAlign w:val="center"/>
          </w:tcPr>
          <w:p>
            <w:pPr>
              <w:pStyle w:val="65"/>
              <w:rPr>
                <w:rFonts w:hint="eastAsia" w:ascii="MS Sans Serif" w:hAnsi="MS Sans Serif"/>
              </w:rPr>
            </w:pPr>
            <w:r>
              <w:rPr>
                <w:rFonts w:hint="eastAsia" w:ascii="MS Sans Serif" w:hAnsi="MS Sans Serif"/>
              </w:rPr>
              <w:t>一</w:t>
            </w:r>
          </w:p>
        </w:tc>
        <w:tc>
          <w:tcPr>
            <w:tcW w:w="1547" w:type="dxa"/>
            <w:gridSpan w:val="3"/>
            <w:vAlign w:val="center"/>
          </w:tcPr>
          <w:p>
            <w:pPr>
              <w:pStyle w:val="65"/>
              <w:rPr>
                <w:rFonts w:hint="eastAsia" w:ascii="MS Sans Serif" w:hAnsi="MS Sans Serif"/>
              </w:rPr>
            </w:pPr>
            <w:r>
              <w:rPr>
                <w:rFonts w:hint="eastAsia" w:ascii="MS Sans Serif" w:hAnsi="MS Sans Serif"/>
              </w:rPr>
              <w:t>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10" w:type="dxa"/>
            <w:vMerge w:val="continue"/>
            <w:vAlign w:val="center"/>
          </w:tcPr>
          <w:p>
            <w:pPr>
              <w:pStyle w:val="65"/>
              <w:rPr>
                <w:rFonts w:hint="eastAsia" w:ascii="MS Sans Serif" w:hAnsi="MS Sans Serif"/>
              </w:rPr>
            </w:pPr>
          </w:p>
        </w:tc>
        <w:tc>
          <w:tcPr>
            <w:tcW w:w="990" w:type="dxa"/>
            <w:vAlign w:val="center"/>
          </w:tcPr>
          <w:p>
            <w:pPr>
              <w:pStyle w:val="65"/>
              <w:rPr>
                <w:rFonts w:hint="eastAsia" w:ascii="MS Sans Serif" w:hAnsi="MS Sans Serif"/>
              </w:rPr>
            </w:pPr>
            <w:r>
              <w:rPr>
                <w:rFonts w:ascii="MS Sans Serif" w:hAnsi="MS Sans Serif"/>
              </w:rPr>
              <w:t>抗震墙</w:t>
            </w:r>
          </w:p>
        </w:tc>
        <w:tc>
          <w:tcPr>
            <w:tcW w:w="1542" w:type="dxa"/>
            <w:vAlign w:val="center"/>
          </w:tcPr>
          <w:p>
            <w:pPr>
              <w:pStyle w:val="65"/>
              <w:rPr>
                <w:rFonts w:hint="eastAsia" w:ascii="MS Sans Serif" w:hAnsi="MS Sans Serif"/>
              </w:rPr>
            </w:pPr>
            <w:r>
              <w:rPr>
                <w:rFonts w:ascii="MS Sans Serif" w:hAnsi="MS Sans Serif"/>
              </w:rPr>
              <w:t>二</w:t>
            </w:r>
          </w:p>
        </w:tc>
        <w:tc>
          <w:tcPr>
            <w:tcW w:w="1553" w:type="dxa"/>
            <w:gridSpan w:val="2"/>
            <w:vAlign w:val="center"/>
          </w:tcPr>
          <w:p>
            <w:pPr>
              <w:pStyle w:val="65"/>
              <w:rPr>
                <w:rFonts w:hint="eastAsia" w:ascii="MS Sans Serif" w:hAnsi="MS Sans Serif"/>
              </w:rPr>
            </w:pPr>
            <w:r>
              <w:rPr>
                <w:rFonts w:hint="eastAsia" w:ascii="MS Sans Serif" w:hAnsi="MS Sans Serif"/>
              </w:rPr>
              <w:t>一</w:t>
            </w:r>
          </w:p>
        </w:tc>
        <w:tc>
          <w:tcPr>
            <w:tcW w:w="1534" w:type="dxa"/>
            <w:vAlign w:val="center"/>
          </w:tcPr>
          <w:p>
            <w:pPr>
              <w:pStyle w:val="65"/>
              <w:rPr>
                <w:rFonts w:hint="eastAsia" w:ascii="MS Sans Serif" w:hAnsi="MS Sans Serif"/>
              </w:rPr>
            </w:pPr>
            <w:r>
              <w:rPr>
                <w:rFonts w:hint="eastAsia" w:ascii="MS Sans Serif" w:hAnsi="MS Sans Serif"/>
              </w:rPr>
              <w:t>一</w:t>
            </w:r>
          </w:p>
        </w:tc>
        <w:tc>
          <w:tcPr>
            <w:tcW w:w="1547" w:type="dxa"/>
            <w:gridSpan w:val="3"/>
            <w:vAlign w:val="center"/>
          </w:tcPr>
          <w:p>
            <w:pPr>
              <w:pStyle w:val="65"/>
              <w:rPr>
                <w:rFonts w:hint="eastAsia" w:ascii="MS Sans Serif" w:hAnsi="MS Sans Serif"/>
              </w:rPr>
            </w:pPr>
            <w:r>
              <w:rPr>
                <w:rFonts w:ascii="MS Sans Serif" w:hAnsi="MS Sans Serif"/>
              </w:rPr>
              <w:t>一</w:t>
            </w:r>
          </w:p>
        </w:tc>
      </w:tr>
    </w:tbl>
    <w:p>
      <w:pPr>
        <w:pStyle w:val="67"/>
      </w:pPr>
      <w:r>
        <w:tab/>
      </w:r>
      <w:r>
        <w:t>注：</w:t>
      </w:r>
      <w:r>
        <w:tab/>
      </w:r>
      <w:r>
        <w:rPr>
          <w:rFonts w:hint="eastAsia"/>
        </w:rPr>
        <w:t>1</w:t>
      </w:r>
      <w:r>
        <w:tab/>
      </w:r>
      <w:r>
        <w:t>大跨度框架指跨度不小于18m的框架</w:t>
      </w:r>
      <w:r>
        <w:rPr>
          <w:rFonts w:hint="eastAsia"/>
        </w:rPr>
        <w:t>；</w:t>
      </w:r>
    </w:p>
    <w:p>
      <w:pPr>
        <w:pStyle w:val="67"/>
      </w:pPr>
      <w:r>
        <w:tab/>
      </w:r>
      <w:r>
        <w:tab/>
      </w:r>
      <w:r>
        <w:t>2</w:t>
      </w:r>
      <w:r>
        <w:tab/>
      </w:r>
      <w:r>
        <w:rPr>
          <w:rFonts w:hint="eastAsia"/>
        </w:rPr>
        <w:t>接近或等于高度分界时，应允许结合房屋不规则程度及场地、地基条件确定抗震等级；</w:t>
      </w:r>
    </w:p>
    <w:p>
      <w:pPr>
        <w:pStyle w:val="67"/>
      </w:pPr>
      <w:r>
        <w:tab/>
      </w:r>
      <w:r>
        <w:tab/>
      </w:r>
      <w:r>
        <w:t>3</w:t>
      </w:r>
      <w:r>
        <w:tab/>
      </w:r>
      <w:r>
        <w:rPr>
          <w:rFonts w:hint="eastAsia"/>
        </w:rPr>
        <w:t>高度不超过60m的框架-核心筒结构按框架-抗震墙结构的要求设计时，应按表中框架-抗震墙结构的规定确定其抗震等级。</w:t>
      </w:r>
    </w:p>
    <w:p>
      <w:pPr>
        <w:pStyle w:val="4"/>
      </w:pPr>
      <w:bookmarkStart w:id="108" w:name="_Ref198028373"/>
      <w:r>
        <w:rPr>
          <w:rFonts w:hint="eastAsia"/>
        </w:rPr>
        <w:t>压接装配框架</w:t>
      </w:r>
      <w:r>
        <w:t>梁柱节点转动变形能力</w:t>
      </w:r>
      <w:r>
        <w:rPr>
          <w:rFonts w:hint="eastAsia"/>
        </w:rPr>
        <w:t>应符合以下规定：</w:t>
      </w:r>
      <w:bookmarkEnd w:id="108"/>
    </w:p>
    <w:p>
      <w:pPr>
        <w:pStyle w:val="70"/>
      </w:pPr>
      <w:r>
        <w:rPr>
          <w:rFonts w:hint="eastAsia"/>
          <w:b/>
        </w:rPr>
        <w:t>1</w:t>
      </w:r>
      <w:r>
        <w:tab/>
      </w:r>
      <w:r>
        <w:rPr>
          <w:rFonts w:hint="eastAsia"/>
        </w:rPr>
        <w:t>按</w:t>
      </w:r>
      <w:r>
        <w:t>一</w:t>
      </w:r>
      <w:r>
        <w:rPr>
          <w:rFonts w:hint="eastAsia"/>
        </w:rPr>
        <w:t>、</w:t>
      </w:r>
      <w:r>
        <w:t>二级</w:t>
      </w:r>
      <w:r>
        <w:rPr>
          <w:rFonts w:hint="eastAsia"/>
        </w:rPr>
        <w:t>抗震等级设计的</w:t>
      </w:r>
      <w:r>
        <w:t>节点转动变形能力</w:t>
      </w:r>
      <w:r>
        <w:rPr>
          <w:rFonts w:hint="eastAsia"/>
        </w:rPr>
        <w:t>不应</w:t>
      </w:r>
      <w:r>
        <w:t>小于0.03 rad</w:t>
      </w:r>
      <w:r>
        <w:rPr>
          <w:rFonts w:hint="eastAsia"/>
        </w:rPr>
        <w:t>，按</w:t>
      </w:r>
      <w:r>
        <w:t>三</w:t>
      </w:r>
      <w:r>
        <w:rPr>
          <w:rFonts w:hint="eastAsia"/>
        </w:rPr>
        <w:t>、</w:t>
      </w:r>
      <w:r>
        <w:t>四级</w:t>
      </w:r>
      <w:r>
        <w:rPr>
          <w:rFonts w:hint="eastAsia"/>
        </w:rPr>
        <w:t>抗震等级设计的</w:t>
      </w:r>
      <w:r>
        <w:t>节点转动变形能力</w:t>
      </w:r>
      <w:r>
        <w:rPr>
          <w:rFonts w:hint="eastAsia"/>
        </w:rPr>
        <w:t>不应</w:t>
      </w:r>
      <w:r>
        <w:t>小于0.025 rad。</w:t>
      </w:r>
    </w:p>
    <w:p>
      <w:pPr>
        <w:pStyle w:val="70"/>
      </w:pPr>
      <w:r>
        <w:rPr>
          <w:b/>
        </w:rPr>
        <w:t>2</w:t>
      </w:r>
      <w:r>
        <w:tab/>
      </w:r>
      <w:r>
        <w:t>节点</w:t>
      </w:r>
      <w:r>
        <w:rPr>
          <w:rFonts w:hint="eastAsia"/>
        </w:rPr>
        <w:t>位移极限状态下，梁端或墙端耗能钢筋的应变应小于0.065，预应力钢绞线应力应小于0.95</w:t>
      </w:r>
      <m:oMath>
        <m:sSub>
          <m:sSubPr>
            <m:ctrlPr>
              <w:rPr>
                <w:rFonts w:hint="eastAsia" w:ascii="Cambria Math" w:hAnsi="Cambria Math"/>
              </w:rPr>
            </m:ctrlPr>
          </m:sSubPr>
          <m:e>
            <m:r>
              <m:rPr/>
              <w:rPr>
                <w:rFonts w:hint="eastAsia" w:ascii="Cambria Math" w:hAnsi="Cambria Math"/>
              </w:rPr>
              <m:t>f</m:t>
            </m:r>
            <m:ctrlPr>
              <w:rPr>
                <w:rFonts w:hint="eastAsia" w:ascii="Cambria Math" w:hAnsi="Cambria Math"/>
              </w:rPr>
            </m:ctrlPr>
          </m:e>
          <m:sub>
            <m:r>
              <m:rPr>
                <m:sty m:val="p"/>
              </m:rPr>
              <w:rPr>
                <w:rFonts w:hint="eastAsia" w:ascii="Cambria Math" w:hAnsi="Cambria Math"/>
              </w:rPr>
              <m:t>ptk</m:t>
            </m:r>
            <m:ctrlPr>
              <w:rPr>
                <w:rFonts w:hint="eastAsia" w:ascii="Cambria Math" w:hAnsi="Cambria Math"/>
              </w:rPr>
            </m:ctrlPr>
          </m:sub>
        </m:sSub>
      </m:oMath>
      <w:r>
        <w:rPr>
          <w:rFonts w:hint="eastAsia"/>
        </w:rPr>
        <w:t>。梁端或墙端耗能钢筋应变和预应力钢绞线的应力可按本规程</w:t>
      </w:r>
      <w:r>
        <w:rPr>
          <w:highlight w:val="yellow"/>
        </w:rPr>
        <w:fldChar w:fldCharType="begin"/>
      </w:r>
      <w:r>
        <w:instrText xml:space="preserve"> </w:instrText>
      </w:r>
      <w:r>
        <w:rPr>
          <w:rFonts w:hint="eastAsia"/>
        </w:rPr>
        <w:instrText xml:space="preserve">REF _Ref167199120 \r \h</w:instrText>
      </w:r>
      <w:r>
        <w:instrText xml:space="preserve"> </w:instrText>
      </w:r>
      <w:r>
        <w:rPr>
          <w:highlight w:val="yellow"/>
        </w:rPr>
        <w:fldChar w:fldCharType="separate"/>
      </w:r>
      <w:r>
        <w:rPr>
          <w:rFonts w:hint="eastAsia"/>
        </w:rPr>
        <w:t>附录A</w:t>
      </w:r>
      <w:r>
        <w:rPr>
          <w:highlight w:val="yellow"/>
        </w:rPr>
        <w:fldChar w:fldCharType="end"/>
      </w:r>
      <w:r>
        <w:rPr>
          <w:rFonts w:hint="eastAsia"/>
        </w:rPr>
        <w:t>的简化方法计算，也可按本规程</w:t>
      </w:r>
      <w:r>
        <w:rPr>
          <w:highlight w:val="yellow"/>
        </w:rPr>
        <w:fldChar w:fldCharType="begin"/>
      </w:r>
      <w:r>
        <w:instrText xml:space="preserve"> </w:instrText>
      </w:r>
      <w:r>
        <w:rPr>
          <w:rFonts w:hint="eastAsia"/>
        </w:rPr>
        <w:instrText xml:space="preserve">REF _Ref172098151 \r \h</w:instrText>
      </w:r>
      <w:r>
        <w:instrText xml:space="preserve"> </w:instrText>
      </w:r>
      <w:r>
        <w:rPr>
          <w:highlight w:val="yellow"/>
        </w:rPr>
        <w:fldChar w:fldCharType="separate"/>
      </w:r>
      <w:r>
        <w:rPr>
          <w:rFonts w:hint="eastAsia"/>
        </w:rPr>
        <w:t>附录B</w:t>
      </w:r>
      <w:r>
        <w:rPr>
          <w:highlight w:val="yellow"/>
        </w:rPr>
        <w:fldChar w:fldCharType="end"/>
      </w:r>
      <w:r>
        <w:rPr>
          <w:rFonts w:hint="eastAsia"/>
        </w:rPr>
        <w:t>的弹塑性分析方法计算。</w:t>
      </w:r>
    </w:p>
    <w:p>
      <w:pPr>
        <w:pStyle w:val="4"/>
      </w:pPr>
      <w:bookmarkStart w:id="109" w:name="_Ref177567405"/>
      <w:r>
        <w:rPr>
          <w:rFonts w:hint="eastAsia"/>
        </w:rPr>
        <w:t>设防地震作用组合下，压接装配框架的梁柱结合面处的受弯承载力可按</w:t>
      </w:r>
      <w:r>
        <w:t>下</w:t>
      </w:r>
      <w:r>
        <w:rPr>
          <w:rFonts w:hint="eastAsia"/>
        </w:rPr>
        <w:t>列公</w:t>
      </w:r>
      <w:r>
        <w:t>式验算</w:t>
      </w:r>
      <w:r>
        <w:rPr>
          <w:rFonts w:hint="eastAsia"/>
        </w:rPr>
        <w:t>：</w:t>
      </w:r>
      <w:bookmarkEnd w:id="109"/>
    </w:p>
    <w:p>
      <w:pPr>
        <w:pStyle w:val="85"/>
        <w:rPr>
          <w:rFonts w:ascii="XITS" w:hAnsi="XITS"/>
        </w:rPr>
      </w:pPr>
      <w:r>
        <w:rPr>
          <w:rFonts w:cs="Times New Roman"/>
          <w:iCs/>
        </w:rP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GEk</m:t>
            </m:r>
            <m:ctrlPr>
              <w:rPr>
                <w:rFonts w:ascii="Cambria Math" w:hAnsi="Cambria Math"/>
                <w:i/>
              </w:rPr>
            </m:ctrlPr>
          </m:sub>
        </m:sSub>
        <m:r>
          <m:rPr/>
          <w:rPr>
            <w:rFonts w:ascii="Cambria Math" w:hAnsi="Cambria Math"/>
          </w:rPr>
          <m:t>+</m:t>
        </m:r>
        <m:r>
          <m:rPr/>
          <w:rPr>
            <w:rFonts w:ascii="Cambria Math" w:hAnsi="Cambria Math" w:cs="Sitka Subheading Semibold"/>
          </w:rPr>
          <m:t>η</m:t>
        </m:r>
        <m:r>
          <m:rPr/>
          <w:rPr>
            <w:rFonts w:ascii="Cambria Math" w:hAnsi="Cambria Math"/>
          </w:rPr>
          <m:t>cφ</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Ek</m:t>
            </m:r>
            <m:ctrlPr>
              <w:rPr>
                <w:rFonts w:ascii="Cambria Math" w:hAnsi="Cambria Math"/>
                <w:i/>
              </w:rPr>
            </m:ctrlPr>
          </m:sub>
        </m:sSub>
        <m:r>
          <m:rPr>
            <m:sty m:val="p"/>
          </m:rPr>
          <w:rPr>
            <w:rFonts w:ascii="Cambria Math" w:hAnsi="Cambria Math"/>
          </w:rPr>
          <m:t>≤</m:t>
        </m:r>
        <m:r>
          <m:rPr/>
          <w:rPr>
            <w:rFonts w:ascii="Cambria Math" w:hAnsi="Cambria Math" w:cs="Cambria Math"/>
          </w:rPr>
          <m:t>ξ</m:t>
        </m:r>
        <m:sSub>
          <m:sSubPr>
            <m:ctrlPr>
              <w:rPr>
                <w:rFonts w:ascii="Cambria Math" w:hAnsi="Cambria Math"/>
              </w:rPr>
            </m:ctrlPr>
          </m:sSubPr>
          <m:e>
            <m:r>
              <m:rPr>
                <m:sty m:val="p"/>
              </m:rPr>
              <w:rPr>
                <w:rFonts w:ascii="Cambria Math" w:hAnsi="Cambria Math"/>
              </w:rPr>
              <m:t>M</m:t>
            </m:r>
            <m:ctrlPr>
              <w:rPr>
                <w:rFonts w:ascii="Cambria Math" w:hAnsi="Cambria Math"/>
              </w:rPr>
            </m:ctrlPr>
          </m:e>
          <m:sub>
            <m:r>
              <m:rPr>
                <m:sty m:val="p"/>
              </m:rPr>
              <w:rPr>
                <w:rFonts w:ascii="Cambria Math" w:hAnsi="Cambria Math"/>
              </w:rPr>
              <m:t>R</m:t>
            </m:r>
            <m:r>
              <m:rPr>
                <m:sty m:val="p"/>
              </m:rPr>
              <w:rPr>
                <w:rFonts w:hint="eastAsia" w:ascii="Cambria Math" w:hAnsi="Cambria Math"/>
              </w:rPr>
              <m:t>k</m:t>
            </m:r>
            <m:ctrlPr>
              <w:rPr>
                <w:rFonts w:ascii="Cambria Math" w:hAnsi="Cambria Math"/>
              </w:rPr>
            </m:ctrlPr>
          </m:sub>
        </m:sSub>
      </m:oMath>
      <w:r>
        <w:rPr>
          <w:rFonts w:hint="eastAsia"/>
        </w:rPr>
        <w:t xml:space="preserve">   </w:t>
      </w:r>
      <w:r>
        <w:tab/>
      </w:r>
      <w:r>
        <w:rPr>
          <w:rFonts w:hint="eastAsia" w:ascii="XITS" w:hAnsi="XITS"/>
        </w:rPr>
        <w:t>（</w:t>
      </w:r>
      <w:r>
        <w:rPr>
          <w:rFonts w:cs="Times New Roman"/>
        </w:rPr>
        <w:fldChar w:fldCharType="begin"/>
      </w:r>
      <w:r>
        <w:rPr>
          <w:rFonts w:ascii="XITS" w:hAnsi="XITS"/>
        </w:rPr>
        <w:instrText xml:space="preserve"> </w:instrText>
      </w:r>
      <w:r>
        <w:rPr>
          <w:rFonts w:hint="eastAsia" w:ascii="XITS" w:hAnsi="XITS"/>
        </w:rPr>
        <w:instrText xml:space="preserve">REF _Ref177567405 \r \h</w:instrText>
      </w:r>
      <w:r>
        <w:rPr>
          <w:rFonts w:ascii="XITS" w:hAnsi="XITS"/>
        </w:rPr>
        <w:instrText xml:space="preserve"> </w:instrText>
      </w:r>
      <w:r>
        <w:rPr>
          <w:rFonts w:cs="Times New Roman"/>
        </w:rPr>
        <w:fldChar w:fldCharType="separate"/>
      </w:r>
      <w:r>
        <w:rPr>
          <w:rFonts w:ascii="XITS" w:hAnsi="XITS"/>
        </w:rPr>
        <w:t>3. 3. 4</w:t>
      </w:r>
      <w:r>
        <w:rPr>
          <w:rFonts w:cs="Times New Roman"/>
        </w:rPr>
        <w:fldChar w:fldCharType="end"/>
      </w:r>
      <w:r>
        <w:rPr>
          <w:rFonts w:hint="eastAsia" w:ascii="XITS" w:hAnsi="XITS"/>
        </w:rPr>
        <w:t>）</w:t>
      </w:r>
    </w:p>
    <w:p>
      <w:pPr>
        <w:pStyle w:val="86"/>
      </w:pPr>
      <w:r>
        <w:rPr>
          <w:rFonts w:hint="eastAsia"/>
        </w:rPr>
        <w:t>式中：</w:t>
      </w:r>
      <w:r>
        <w:tab/>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GEk</m:t>
            </m:r>
            <m:ctrlPr>
              <w:rPr>
                <w:rFonts w:ascii="Cambria Math" w:hAnsi="Cambria Math"/>
                <w:i/>
              </w:rPr>
            </m:ctrlPr>
          </m:sub>
        </m:sSub>
      </m:oMath>
      <w:r>
        <w:t>——</w:t>
      </w:r>
      <w:r>
        <w:tab/>
      </w:r>
      <w:r>
        <w:rPr>
          <w:rFonts w:hint="eastAsia"/>
        </w:rPr>
        <w:t>重力荷载代表值作用下结合面弯矩标准值（</w:t>
      </w:r>
      <w:r>
        <w:t>kN</w:t>
      </w:r>
      <w:r>
        <w:rPr>
          <w:rFonts w:hint="eastAsia"/>
        </w:rPr>
        <w:t>·m）；</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Ek</m:t>
            </m:r>
            <m:ctrlPr>
              <w:rPr>
                <w:rFonts w:ascii="Cambria Math" w:hAnsi="Cambria Math"/>
                <w:i/>
              </w:rPr>
            </m:ctrlPr>
          </m:sub>
        </m:sSub>
      </m:oMath>
      <w:r>
        <w:t>——</w:t>
      </w:r>
      <w:r>
        <w:tab/>
      </w:r>
      <w:r>
        <w:rPr>
          <w:rFonts w:hint="eastAsia"/>
        </w:rPr>
        <w:t>多遇地震作用下结合面弯矩标准值（</w:t>
      </w:r>
      <w:r>
        <w:t>kN</w:t>
      </w:r>
      <w:r>
        <w:rPr>
          <w:rFonts w:hint="eastAsia"/>
        </w:rPr>
        <w:t>·m）；</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Rk</m:t>
            </m:r>
            <m:ctrlPr>
              <w:rPr>
                <w:rFonts w:ascii="Cambria Math" w:hAnsi="Cambria Math"/>
                <w:i/>
              </w:rPr>
            </m:ctrlPr>
          </m:sub>
        </m:sSub>
      </m:oMath>
      <w:r>
        <w:t>——</w:t>
      </w:r>
      <w:r>
        <w:tab/>
      </w:r>
      <w:r>
        <w:rPr>
          <w:rFonts w:hint="eastAsia"/>
        </w:rPr>
        <w:t>结合面</w:t>
      </w:r>
      <w:r>
        <w:t>处</w:t>
      </w:r>
      <w:r>
        <w:rPr>
          <w:rFonts w:hint="eastAsia"/>
        </w:rPr>
        <w:t>的</w:t>
      </w:r>
      <w:r>
        <w:t>受弯承载力</w:t>
      </w:r>
      <w:r>
        <w:rPr>
          <w:rFonts w:hint="eastAsia"/>
        </w:rPr>
        <w:t>标准值（</w:t>
      </w:r>
      <w:r>
        <w:t>kN</w:t>
      </w:r>
      <w:r>
        <w:rPr>
          <w:rFonts w:hint="eastAsia"/>
        </w:rPr>
        <w:t>·m），按</w:t>
      </w:r>
      <w:r>
        <w:fldChar w:fldCharType="begin"/>
      </w:r>
      <w:r>
        <w:instrText xml:space="preserve"> </w:instrText>
      </w:r>
      <w:r>
        <w:rPr>
          <w:rFonts w:hint="eastAsia"/>
        </w:rPr>
        <w:instrText xml:space="preserve">REF _Ref86136417 \r \h</w:instrText>
      </w:r>
      <w:r>
        <w:instrText xml:space="preserve"> </w:instrText>
      </w:r>
      <w:r>
        <w:fldChar w:fldCharType="separate"/>
      </w:r>
      <w:r>
        <w:t>5. 5. 1</w:t>
      </w:r>
      <w:r>
        <w:fldChar w:fldCharType="end"/>
      </w:r>
      <w:r>
        <w:rPr>
          <w:rFonts w:hint="eastAsia"/>
        </w:rPr>
        <w:t>、</w:t>
      </w:r>
      <w:r>
        <w:fldChar w:fldCharType="begin"/>
      </w:r>
      <w:r>
        <w:instrText xml:space="preserve"> REF _Ref175687652 \r \h </w:instrText>
      </w:r>
      <w:r>
        <w:fldChar w:fldCharType="separate"/>
      </w:r>
      <w:r>
        <w:t>5. 5. 2</w:t>
      </w:r>
      <w:r>
        <w:fldChar w:fldCharType="end"/>
      </w:r>
      <w:r>
        <w:rPr>
          <w:rFonts w:hint="eastAsia"/>
        </w:rPr>
        <w:t>条规定计算；</w:t>
      </w:r>
    </w:p>
    <w:p>
      <w:pPr>
        <w:pStyle w:val="86"/>
      </w:pPr>
      <w:r>
        <w:tab/>
      </w:r>
      <m:oMath>
        <m:r>
          <m:rPr/>
          <w:rPr>
            <w:rFonts w:ascii="Cambria Math" w:hAnsi="Cambria Math" w:cs="Sitka Subheading Semibold"/>
          </w:rPr>
          <m:t>η</m:t>
        </m:r>
      </m:oMath>
      <w:r>
        <w:t>——</w:t>
      </w:r>
      <w:r>
        <w:tab/>
      </w:r>
      <w:r>
        <w:rPr>
          <w:rFonts w:hint="eastAsia"/>
        </w:rPr>
        <w:t>构件重要性系数，计算压接装配框架的梁柱结合面时可取</w:t>
      </w:r>
      <m:oMath>
        <m:r>
          <m:rPr/>
          <w:rPr>
            <w:rFonts w:ascii="Cambria Math" w:hAnsi="Cambria Math" w:cs="Sitka Subheading Semibold"/>
          </w:rPr>
          <m:t>η</m:t>
        </m:r>
      </m:oMath>
      <w:r>
        <w:rPr>
          <w:rFonts w:hint="eastAsia" w:hAnsi="Cambria Math" w:cs="Sitka Subheading Semibold"/>
        </w:rPr>
        <w:t>=</w:t>
      </w:r>
      <w:r>
        <w:rPr>
          <w:rFonts w:hint="eastAsia"/>
        </w:rPr>
        <w:t>0.5</w:t>
      </w:r>
      <w:r>
        <w:t>~0.7</w:t>
      </w:r>
      <w:r>
        <w:rPr>
          <w:rFonts w:hint="eastAsia"/>
        </w:rPr>
        <w:t>；</w:t>
      </w:r>
    </w:p>
    <w:p>
      <w:pPr>
        <w:pStyle w:val="86"/>
      </w:pPr>
      <w:r>
        <w:tab/>
      </w:r>
      <m:oMath>
        <m:r>
          <m:rPr/>
          <w:rPr>
            <w:rFonts w:ascii="Cambria Math" w:hAnsi="Cambria Math"/>
          </w:rPr>
          <m:t>φ</m:t>
        </m:r>
      </m:oMath>
      <w:r>
        <w:t>——</w:t>
      </w:r>
      <w:r>
        <w:tab/>
      </w:r>
      <w:r>
        <w:rPr>
          <w:rFonts w:hint="eastAsia" w:hAnsi="Cambria Math"/>
        </w:rPr>
        <w:t>设防地震加速度值与</w:t>
      </w:r>
      <w:r>
        <w:rPr>
          <w:rFonts w:hint="eastAsia"/>
        </w:rPr>
        <w:t>多遇地震加速度值之比；</w:t>
      </w:r>
    </w:p>
    <w:p>
      <w:pPr>
        <w:pStyle w:val="86"/>
      </w:pPr>
      <w:r>
        <w:tab/>
      </w:r>
      <m:oMath>
        <m:r>
          <m:rPr/>
          <w:rPr>
            <w:rFonts w:ascii="Cambria Math" w:hAnsi="Cambria Math" w:cs="Cambria Math"/>
          </w:rPr>
          <m:t>ξ</m:t>
        </m:r>
      </m:oMath>
      <w:r>
        <w:t>——</w:t>
      </w:r>
      <w:r>
        <w:tab/>
      </w:r>
      <w:r>
        <w:rPr>
          <w:rFonts w:hint="eastAsia"/>
        </w:rPr>
        <w:t>承载力利用系数，按中度损坏，设防地震可修，取</w:t>
      </w:r>
      <m:oMath>
        <m:r>
          <m:rPr/>
          <w:rPr>
            <w:rFonts w:ascii="Cambria Math" w:hAnsi="Cambria Math" w:cs="Cambria Math"/>
          </w:rPr>
          <m:t>ξ</m:t>
        </m:r>
      </m:oMath>
      <w:r>
        <w:rPr>
          <w:rFonts w:hint="eastAsia" w:hAnsi="Cambria Math" w:cs="Cambria Math"/>
        </w:rPr>
        <w:t>=1.</w:t>
      </w:r>
      <w:r>
        <w:rPr>
          <w:rFonts w:hint="eastAsia"/>
        </w:rPr>
        <w:t>0；</w:t>
      </w:r>
    </w:p>
    <w:p>
      <w:pPr>
        <w:pStyle w:val="86"/>
      </w:pPr>
      <w:r>
        <w:tab/>
      </w:r>
      <w:r>
        <w:rPr>
          <w:rFonts w:hint="eastAsia"/>
        </w:rPr>
        <w:t>c</w:t>
      </w:r>
      <w:r>
        <w:t>——</w:t>
      </w:r>
      <w:r>
        <w:tab/>
      </w:r>
      <w:r>
        <w:rPr>
          <w:rFonts w:hint="eastAsia"/>
        </w:rPr>
        <w:t>地震力折减系数，按中度损坏，设防地震可修，对于梁板柱复合节点取c=0.6</w:t>
      </w:r>
      <w:r>
        <w:rPr>
          <w:rFonts w:hint="eastAsia"/>
          <w:lang w:eastAsia="zh"/>
        </w:rPr>
        <w:t>0</w:t>
      </w:r>
      <w:r>
        <w:rPr>
          <w:rFonts w:hint="eastAsia"/>
        </w:rPr>
        <w:t>，对于自复位梁柱节点取0.</w:t>
      </w:r>
      <w:r>
        <w:rPr>
          <w:rFonts w:hint="eastAsia"/>
          <w:lang w:eastAsia="zh"/>
        </w:rPr>
        <w:t>5</w:t>
      </w:r>
      <w:r>
        <w:rPr>
          <w:rFonts w:hint="eastAsia"/>
        </w:rPr>
        <w:t>。</w:t>
      </w:r>
    </w:p>
    <w:p>
      <w:pPr>
        <w:pStyle w:val="4"/>
      </w:pPr>
      <w:bookmarkStart w:id="110" w:name="_Toc86068032"/>
      <w:r>
        <w:rPr>
          <w:rFonts w:hint="eastAsia"/>
        </w:rPr>
        <w:t>预应力压接装配式结构的</w:t>
      </w:r>
      <w:r>
        <w:t>抗震性能化设计，应</w:t>
      </w:r>
      <w:r>
        <w:rPr>
          <w:rFonts w:hint="eastAsia"/>
        </w:rPr>
        <w:t>根据</w:t>
      </w:r>
      <w:r>
        <w:t>抗震性能水准进行</w:t>
      </w:r>
      <w:r>
        <w:rPr>
          <w:rFonts w:hint="eastAsia"/>
        </w:rPr>
        <w:t>线性或</w:t>
      </w:r>
      <w:r>
        <w:t>非线性分析，</w:t>
      </w:r>
      <w:r>
        <w:rPr>
          <w:rFonts w:hint="eastAsia"/>
        </w:rPr>
        <w:t>并应</w:t>
      </w:r>
      <w:r>
        <w:t>满足承载力、变形和其他性能设计要求</w:t>
      </w:r>
      <w:r>
        <w:rPr>
          <w:rFonts w:hint="eastAsia"/>
        </w:rPr>
        <w:t>。</w:t>
      </w:r>
      <w:bookmarkStart w:id="111" w:name="_Toc86068030"/>
      <w:r>
        <w:rPr>
          <w:rFonts w:hint="eastAsia"/>
        </w:rPr>
        <w:t>当采用非线性分析时，</w:t>
      </w:r>
      <w:r>
        <w:rPr>
          <w:rFonts w:hint="eastAsia"/>
          <w:color w:val="000000"/>
          <w:szCs w:val="21"/>
        </w:rPr>
        <w:t>所采用的非线性分析模型应经试验验证或</w:t>
      </w:r>
      <w:r>
        <w:rPr>
          <w:rFonts w:hint="eastAsia"/>
        </w:rPr>
        <w:t>符合</w:t>
      </w:r>
      <w:r>
        <w:t>本规程</w:t>
      </w:r>
      <w:r>
        <w:fldChar w:fldCharType="begin"/>
      </w:r>
      <w:r>
        <w:instrText xml:space="preserve"> REF _Ref173165610 \r \h </w:instrText>
      </w:r>
      <w:r>
        <w:fldChar w:fldCharType="separate"/>
      </w:r>
      <w:r>
        <w:rPr>
          <w:rFonts w:hint="eastAsia"/>
        </w:rPr>
        <w:t>附录B</w:t>
      </w:r>
      <w:r>
        <w:fldChar w:fldCharType="end"/>
      </w:r>
      <w:r>
        <w:rPr>
          <w:rFonts w:hint="eastAsia"/>
        </w:rPr>
        <w:t>的规定。</w:t>
      </w:r>
      <w:bookmarkEnd w:id="111"/>
    </w:p>
    <w:p>
      <w:pPr>
        <w:pStyle w:val="4"/>
      </w:pPr>
      <w:r>
        <w:rPr>
          <w:rFonts w:hint="eastAsia"/>
        </w:rPr>
        <w:t>采用</w:t>
      </w:r>
      <w:r>
        <w:t>抗震性能化设计时，</w:t>
      </w:r>
      <w:r>
        <w:rPr>
          <w:rFonts w:hint="eastAsia"/>
        </w:rPr>
        <w:t>压接装配框架结构的构造措施不应低于本规程抗震等级为三级时的要求。</w:t>
      </w:r>
    </w:p>
    <w:p>
      <w:pPr>
        <w:pStyle w:val="4"/>
      </w:pPr>
      <w:bookmarkStart w:id="112" w:name="_Ref88746864"/>
      <w:bookmarkStart w:id="113" w:name="_Ref86131010"/>
      <w:bookmarkStart w:id="114" w:name="_Ref87969035"/>
      <w:r>
        <w:rPr>
          <w:rFonts w:hint="eastAsia"/>
        </w:rPr>
        <w:t>预应力压接装配式结构在风荷载或多遇地震作用下，以弹性方法计算的楼层层间最大水平位移与层高的比值，以及罕遇地震作用下结构的薄弱层层间弹塑性位移与层高的比值，应符合国家现行标准《混凝土结构设计标准》GB</w:t>
      </w:r>
      <w:r>
        <w:t>/</w:t>
      </w:r>
      <w:r>
        <w:rPr>
          <w:rFonts w:hint="eastAsia"/>
        </w:rPr>
        <w:t>T 50010、《建筑抗震设计标准》GB</w:t>
      </w:r>
      <w:r>
        <w:t>/</w:t>
      </w:r>
      <w:r>
        <w:rPr>
          <w:rFonts w:hint="eastAsia"/>
        </w:rPr>
        <w:t>T 50011、《钢管混凝土结构技术规范》GB 50936和《高层建筑混凝土结构技术规程》JGJ 3的有关规定。</w:t>
      </w:r>
      <w:bookmarkEnd w:id="112"/>
    </w:p>
    <w:bookmarkEnd w:id="113"/>
    <w:bookmarkEnd w:id="114"/>
    <w:p/>
    <w:bookmarkEnd w:id="110"/>
    <w:p>
      <w:pPr>
        <w:pStyle w:val="3"/>
      </w:pPr>
      <w:bookmarkStart w:id="115" w:name="_Toc91664399"/>
      <w:bookmarkStart w:id="116" w:name="_Toc91664509"/>
      <w:bookmarkStart w:id="117" w:name="_Toc202345810"/>
      <w:bookmarkStart w:id="118" w:name="_Toc92182245"/>
      <w:r>
        <w:rPr>
          <w:rFonts w:hint="eastAsia"/>
        </w:rPr>
        <w:t>一体化建造</w:t>
      </w:r>
      <w:bookmarkEnd w:id="115"/>
      <w:bookmarkEnd w:id="116"/>
      <w:bookmarkEnd w:id="117"/>
      <w:bookmarkEnd w:id="118"/>
      <w:bookmarkStart w:id="119" w:name="_Toc197444875"/>
      <w:bookmarkEnd w:id="119"/>
    </w:p>
    <w:p>
      <w:pPr>
        <w:pStyle w:val="4"/>
      </w:pPr>
      <w:bookmarkStart w:id="120" w:name="_Ref198028742"/>
      <w:bookmarkStart w:id="121" w:name="_Toc86067808"/>
      <w:r>
        <w:t>采用</w:t>
      </w:r>
      <w:r>
        <w:rPr>
          <w:rFonts w:hint="eastAsia"/>
        </w:rPr>
        <w:t>预应力</w:t>
      </w:r>
      <w:r>
        <w:t>压接装配</w:t>
      </w:r>
      <w:r>
        <w:rPr>
          <w:rFonts w:hint="eastAsia"/>
        </w:rPr>
        <w:t>式结构</w:t>
      </w:r>
      <w:r>
        <w:t>的</w:t>
      </w:r>
      <w:r>
        <w:rPr>
          <w:rFonts w:hint="eastAsia"/>
        </w:rPr>
        <w:t>各类</w:t>
      </w:r>
      <w:r>
        <w:t>建筑，</w:t>
      </w:r>
      <w:r>
        <w:rPr>
          <w:rFonts w:hint="eastAsia"/>
        </w:rPr>
        <w:t>其项目管理应建立健全覆盖设计、构件制作、施工安装等各阶段，并涵盖建筑、结构、机电（设备）、内装等所有相关专业的协同工作机制；宜采用基于建筑信息模型（BIM）技术的信息化平台集成管理，实现数据集成与共享，提高协同效率和决策水平。</w:t>
      </w:r>
      <w:bookmarkEnd w:id="120"/>
    </w:p>
    <w:bookmarkEnd w:id="121"/>
    <w:p>
      <w:pPr>
        <w:pStyle w:val="4"/>
      </w:pPr>
      <w:r>
        <w:t>采用</w:t>
      </w:r>
      <w:r>
        <w:rPr>
          <w:rFonts w:hint="eastAsia"/>
        </w:rPr>
        <w:t>预应力</w:t>
      </w:r>
      <w:r>
        <w:t>压接装配</w:t>
      </w:r>
      <w:r>
        <w:rPr>
          <w:rFonts w:hint="eastAsia"/>
        </w:rPr>
        <w:t>式结构</w:t>
      </w:r>
      <w:r>
        <w:t>的</w:t>
      </w:r>
      <w:r>
        <w:rPr>
          <w:rFonts w:hint="eastAsia"/>
        </w:rPr>
        <w:t>各类</w:t>
      </w:r>
      <w:r>
        <w:t>建筑，</w:t>
      </w:r>
      <w:r>
        <w:rPr>
          <w:rFonts w:hint="eastAsia"/>
        </w:rPr>
        <w:t>应在设计阶段充分考虑构件的可生产性、运输便利性和现场可安装性。</w:t>
      </w:r>
    </w:p>
    <w:p>
      <w:pPr>
        <w:pStyle w:val="4"/>
      </w:pPr>
      <w:r>
        <w:t>采用</w:t>
      </w:r>
      <w:r>
        <w:rPr>
          <w:rFonts w:hint="eastAsia"/>
        </w:rPr>
        <w:t>预应力</w:t>
      </w:r>
      <w:r>
        <w:t>压接装配</w:t>
      </w:r>
      <w:r>
        <w:rPr>
          <w:rFonts w:hint="eastAsia"/>
        </w:rPr>
        <w:t>式结构</w:t>
      </w:r>
      <w:r>
        <w:t>的</w:t>
      </w:r>
      <w:r>
        <w:rPr>
          <w:rFonts w:hint="eastAsia"/>
        </w:rPr>
        <w:t>各类</w:t>
      </w:r>
      <w:r>
        <w:t>建筑，</w:t>
      </w:r>
      <w:r>
        <w:rPr>
          <w:rFonts w:hint="eastAsia"/>
        </w:rPr>
        <w:t>应在项目建造过程中进行整体策划。该整体策划应包括预制构件制作专项方案、施工现场管理方案、构件安装专项方案、预应力施工专项方案、灌浆连接施工专项方案、接口处理与隐蔽工程验收方案、质量安全管理和进度控制计划等内容。</w:t>
      </w:r>
    </w:p>
    <w:p>
      <w:pPr>
        <w:pStyle w:val="4"/>
      </w:pPr>
      <w:bookmarkStart w:id="122" w:name="_Toc86067873"/>
      <w:r>
        <w:rPr>
          <w:rFonts w:hint="eastAsia"/>
        </w:rPr>
        <w:t>预制构件制作专项方案和安装专项方案中，应包括</w:t>
      </w:r>
      <w:r>
        <w:t>梁、柱</w:t>
      </w:r>
      <w:r>
        <w:rPr>
          <w:rFonts w:hint="eastAsia"/>
        </w:rPr>
        <w:t>、</w:t>
      </w:r>
      <w:r>
        <w:t>板等</w:t>
      </w:r>
      <w:r>
        <w:rPr>
          <w:rFonts w:hint="eastAsia"/>
        </w:rPr>
        <w:t>预制</w:t>
      </w:r>
      <w:r>
        <w:t>构件脱模、翻转、运输、吊装和施工安装阶段</w:t>
      </w:r>
      <w:r>
        <w:rPr>
          <w:rFonts w:hint="eastAsia"/>
        </w:rPr>
        <w:t>的</w:t>
      </w:r>
      <w:r>
        <w:t>验算</w:t>
      </w:r>
      <w:r>
        <w:rPr>
          <w:rFonts w:hint="eastAsia"/>
        </w:rPr>
        <w:t>内容</w:t>
      </w:r>
      <w:r>
        <w:t>。施工安装阶段验算时，应考虑构件自重、</w:t>
      </w:r>
      <w:r>
        <w:rPr>
          <w:rFonts w:hint="eastAsia"/>
        </w:rPr>
        <w:t>叠合层现浇混凝土重量、</w:t>
      </w:r>
      <w:r>
        <w:t>施工荷载和预应力</w:t>
      </w:r>
      <w:r>
        <w:rPr>
          <w:rFonts w:hint="eastAsia"/>
        </w:rPr>
        <w:t>张拉</w:t>
      </w:r>
      <w:r>
        <w:t>的影响。当不满足要求时应</w:t>
      </w:r>
      <w:r>
        <w:rPr>
          <w:rFonts w:hint="eastAsia"/>
        </w:rPr>
        <w:t>采取有效措施</w:t>
      </w:r>
      <w:r>
        <w:t>。</w:t>
      </w:r>
      <w:bookmarkEnd w:id="122"/>
    </w:p>
    <w:p>
      <w:pPr>
        <w:pStyle w:val="4"/>
      </w:pPr>
      <w:r>
        <w:rPr>
          <w:rFonts w:hint="eastAsia"/>
        </w:rPr>
        <w:t>预应力压接装配式结构的建造过程应遵循生态、环保和可持续发展的原则，宜采用绿色建材和性能可靠的部品部（构）件。</w:t>
      </w:r>
    </w:p>
    <w:p>
      <w:pPr>
        <w:pStyle w:val="5"/>
      </w:pPr>
    </w:p>
    <w:p>
      <w:r>
        <w:br w:type="page"/>
      </w:r>
    </w:p>
    <w:p>
      <w:pPr>
        <w:pStyle w:val="2"/>
      </w:pPr>
      <w:bookmarkStart w:id="123" w:name="_Toc202345811"/>
      <w:r>
        <w:rPr>
          <w:rFonts w:hint="eastAsia"/>
        </w:rPr>
        <w:t>材料</w:t>
      </w:r>
      <w:bookmarkEnd w:id="123"/>
    </w:p>
    <w:p>
      <w:pPr>
        <w:pStyle w:val="3"/>
      </w:pPr>
      <w:bookmarkStart w:id="124" w:name="_Toc197699877"/>
      <w:bookmarkEnd w:id="124"/>
      <w:bookmarkStart w:id="125" w:name="_Toc197951654"/>
      <w:bookmarkEnd w:id="125"/>
      <w:bookmarkStart w:id="126" w:name="_Toc197957426"/>
      <w:bookmarkEnd w:id="126"/>
      <w:bookmarkStart w:id="127" w:name="_Toc197956471"/>
      <w:bookmarkEnd w:id="127"/>
      <w:bookmarkStart w:id="128" w:name="_Toc197591860"/>
      <w:bookmarkEnd w:id="128"/>
      <w:bookmarkStart w:id="129" w:name="_Toc197526283"/>
      <w:bookmarkEnd w:id="129"/>
      <w:bookmarkStart w:id="130" w:name="_Toc197444877"/>
      <w:bookmarkEnd w:id="130"/>
      <w:bookmarkStart w:id="131" w:name="_Toc197445360"/>
      <w:bookmarkEnd w:id="131"/>
      <w:bookmarkStart w:id="132" w:name="_Toc197957620"/>
      <w:bookmarkEnd w:id="132"/>
      <w:bookmarkStart w:id="133" w:name="_Toc197958533"/>
      <w:bookmarkEnd w:id="133"/>
      <w:bookmarkStart w:id="134" w:name="_Toc197960653"/>
      <w:bookmarkEnd w:id="134"/>
      <w:bookmarkStart w:id="135" w:name="_Toc197954244"/>
      <w:bookmarkEnd w:id="135"/>
      <w:bookmarkStart w:id="136" w:name="_Toc197954191"/>
      <w:bookmarkEnd w:id="136"/>
      <w:bookmarkStart w:id="137" w:name="_Toc202345812"/>
      <w:r>
        <w:rPr>
          <w:rFonts w:hint="eastAsia"/>
        </w:rPr>
        <w:t>混凝土、钢筋和钢材</w:t>
      </w:r>
      <w:bookmarkEnd w:id="137"/>
    </w:p>
    <w:p>
      <w:pPr>
        <w:pStyle w:val="4"/>
      </w:pPr>
      <w:bookmarkStart w:id="138" w:name="_Ref198031584"/>
      <w:bookmarkStart w:id="139" w:name="_Ref86073866"/>
      <w:r>
        <w:rPr>
          <w:rFonts w:hint="eastAsia"/>
        </w:rPr>
        <w:t>预应力压接装配式结构中的预制梁、预制柱宜采用高强度等级混凝土和高强钢筋；竖向构件内力较大或抗震性能有较高要求时，宜采用钢管混凝土构件。</w:t>
      </w:r>
      <w:bookmarkEnd w:id="138"/>
    </w:p>
    <w:p>
      <w:pPr>
        <w:pStyle w:val="4"/>
      </w:pPr>
      <w:bookmarkStart w:id="140" w:name="_Ref198031634"/>
      <w:r>
        <w:rPr>
          <w:rFonts w:hint="eastAsia"/>
        </w:rPr>
        <w:t>预应力压接装配式结构用混凝土应符合下列规定：</w:t>
      </w:r>
      <w:bookmarkEnd w:id="140"/>
    </w:p>
    <w:p>
      <w:pPr>
        <w:pStyle w:val="70"/>
      </w:pPr>
      <w:r>
        <w:rPr>
          <w:b/>
        </w:rPr>
        <w:t>1</w:t>
      </w:r>
      <w:r>
        <w:tab/>
      </w:r>
      <w:bookmarkStart w:id="141" w:name="_Toc86067826"/>
      <w:r>
        <w:rPr>
          <w:rFonts w:hint="eastAsia"/>
        </w:rPr>
        <w:t>压接装配框架</w:t>
      </w:r>
      <w:r>
        <w:t>的预制柱</w:t>
      </w:r>
      <w:r>
        <w:rPr>
          <w:rFonts w:hint="eastAsia"/>
        </w:rPr>
        <w:t>混凝土强度等级不宜低于C</w:t>
      </w:r>
      <w:r>
        <w:t>50</w:t>
      </w:r>
      <w:r>
        <w:rPr>
          <w:rFonts w:hint="eastAsia"/>
        </w:rPr>
        <w:t>，且不应低于C</w:t>
      </w:r>
      <w:r>
        <w:t>40</w:t>
      </w:r>
      <w:r>
        <w:rPr>
          <w:rFonts w:hint="eastAsia"/>
        </w:rPr>
        <w:t>，预制梁混凝土强度等级不应低于C</w:t>
      </w:r>
      <w:r>
        <w:t>40</w:t>
      </w:r>
      <w:r>
        <w:rPr>
          <w:rFonts w:hint="eastAsia"/>
        </w:rPr>
        <w:t>；</w:t>
      </w:r>
    </w:p>
    <w:p>
      <w:pPr>
        <w:pStyle w:val="70"/>
      </w:pPr>
      <w:r>
        <w:rPr>
          <w:b/>
        </w:rPr>
        <w:t>2</w:t>
      </w:r>
      <w:r>
        <w:tab/>
      </w:r>
      <w:r>
        <w:rPr>
          <w:rFonts w:hint="eastAsia"/>
        </w:rPr>
        <w:t>压接装配框架</w:t>
      </w:r>
      <w:r>
        <w:t>的预制</w:t>
      </w:r>
      <w:r>
        <w:rPr>
          <w:rFonts w:hint="eastAsia"/>
        </w:rPr>
        <w:t>叠合</w:t>
      </w:r>
      <w:r>
        <w:t>梁</w:t>
      </w:r>
      <w:r>
        <w:rPr>
          <w:rFonts w:hint="eastAsia"/>
        </w:rPr>
        <w:t>、预制叠合</w:t>
      </w:r>
      <w:r>
        <w:t>板上</w:t>
      </w:r>
      <w:r>
        <w:rPr>
          <w:rFonts w:hint="eastAsia"/>
        </w:rPr>
        <w:t>部</w:t>
      </w:r>
      <w:r>
        <w:t>的</w:t>
      </w:r>
      <w:r>
        <w:rPr>
          <w:rFonts w:hint="eastAsia"/>
        </w:rPr>
        <w:t>后</w:t>
      </w:r>
      <w:r>
        <w:t>浇</w:t>
      </w:r>
      <w:r>
        <w:rPr>
          <w:rFonts w:hint="eastAsia"/>
        </w:rPr>
        <w:t>混凝土强度等级分别不宜低于其</w:t>
      </w:r>
      <w:r>
        <w:t>预制</w:t>
      </w:r>
      <w:r>
        <w:rPr>
          <w:rFonts w:hint="eastAsia"/>
        </w:rPr>
        <w:t>部分</w:t>
      </w:r>
      <w:r>
        <w:t>混凝土</w:t>
      </w:r>
      <w:r>
        <w:rPr>
          <w:rFonts w:hint="eastAsia"/>
        </w:rPr>
        <w:t>两个</w:t>
      </w:r>
      <w:r>
        <w:t>强度等级</w:t>
      </w:r>
      <w:bookmarkEnd w:id="139"/>
      <w:bookmarkEnd w:id="141"/>
      <w:r>
        <w:rPr>
          <w:rFonts w:hint="eastAsia"/>
        </w:rPr>
        <w:t>，且不应低于C</w:t>
      </w:r>
      <w:r>
        <w:t>30</w:t>
      </w:r>
      <w:r>
        <w:rPr>
          <w:rFonts w:hint="eastAsia"/>
        </w:rPr>
        <w:t>；</w:t>
      </w:r>
    </w:p>
    <w:p>
      <w:pPr>
        <w:pStyle w:val="70"/>
      </w:pPr>
      <w:r>
        <w:rPr>
          <w:rFonts w:hint="eastAsia"/>
          <w:b/>
        </w:rPr>
        <w:t>3</w:t>
      </w:r>
      <w:r>
        <w:tab/>
      </w:r>
      <w:r>
        <w:rPr>
          <w:rFonts w:hint="eastAsia"/>
        </w:rPr>
        <w:t>压接装配板柱的预制楼板、边梁、垫块和现浇明槽的混凝土强度等级不宜低于C</w:t>
      </w:r>
      <w:r>
        <w:t>40</w:t>
      </w:r>
      <w:r>
        <w:rPr>
          <w:rFonts w:hint="eastAsia"/>
        </w:rPr>
        <w:t>，且不应低于C</w:t>
      </w:r>
      <w:r>
        <w:t>30</w:t>
      </w:r>
      <w:r>
        <w:rPr>
          <w:rFonts w:hint="eastAsia"/>
        </w:rPr>
        <w:t>。</w:t>
      </w:r>
    </w:p>
    <w:p>
      <w:pPr>
        <w:pStyle w:val="4"/>
      </w:pPr>
      <w:bookmarkStart w:id="142" w:name="_Ref198031680"/>
      <w:bookmarkStart w:id="143" w:name="_Ref86073900"/>
      <w:bookmarkStart w:id="144" w:name="_Ref198028534"/>
      <w:bookmarkStart w:id="145" w:name="_Toc86067827"/>
      <w:r>
        <w:rPr>
          <w:rFonts w:hint="eastAsia"/>
        </w:rPr>
        <w:t>预应力压接装配式结构</w:t>
      </w:r>
      <w:r>
        <w:t>的非预应力钢筋应符合</w:t>
      </w:r>
      <w:r>
        <w:rPr>
          <w:rFonts w:hint="eastAsia"/>
        </w:rPr>
        <w:t>现行国家标准</w:t>
      </w:r>
      <w:r>
        <w:t>《混凝土结构设计</w:t>
      </w:r>
      <w:r>
        <w:rPr>
          <w:rFonts w:hint="eastAsia"/>
        </w:rPr>
        <w:t>标准</w:t>
      </w:r>
      <w:r>
        <w:t>》GB/T 50010的有关规定，并应符合下列</w:t>
      </w:r>
      <w:r>
        <w:rPr>
          <w:rFonts w:hint="eastAsia"/>
        </w:rPr>
        <w:t>规定</w:t>
      </w:r>
      <w:r>
        <w:t>：</w:t>
      </w:r>
      <w:bookmarkEnd w:id="142"/>
      <w:bookmarkEnd w:id="143"/>
      <w:bookmarkEnd w:id="144"/>
      <w:bookmarkEnd w:id="145"/>
    </w:p>
    <w:p>
      <w:pPr>
        <w:pStyle w:val="70"/>
      </w:pPr>
      <w:r>
        <w:rPr>
          <w:rFonts w:hint="eastAsia"/>
          <w:b/>
        </w:rPr>
        <w:t>1</w:t>
      </w:r>
      <w:r>
        <w:tab/>
      </w:r>
      <w:r>
        <w:rPr>
          <w:rFonts w:hint="eastAsia"/>
        </w:rPr>
        <w:t>对按</w:t>
      </w:r>
      <w:r>
        <w:t>一、二、三级</w:t>
      </w:r>
      <w:r>
        <w:rPr>
          <w:rFonts w:hint="eastAsia"/>
        </w:rPr>
        <w:t>抗震等级设计</w:t>
      </w:r>
      <w:r>
        <w:t>的压接装配框架</w:t>
      </w:r>
      <w:r>
        <w:rPr>
          <w:rFonts w:hint="eastAsia"/>
        </w:rPr>
        <w:t>耗能钢筋应采用牌号带E的抗震钢筋，</w:t>
      </w:r>
      <w:r>
        <w:t>抗拉强度实测值与屈服强度实测值的比值</w:t>
      </w:r>
      <w:r>
        <w:rPr>
          <w:rFonts w:hint="eastAsia"/>
        </w:rPr>
        <w:t>不应小于</w:t>
      </w:r>
      <w:r>
        <w:t>1.25</w:t>
      </w:r>
      <w:r>
        <w:rPr>
          <w:rFonts w:hint="eastAsia"/>
        </w:rPr>
        <w:t>，</w:t>
      </w:r>
      <w:r>
        <w:t>屈服强度实测值与屈服强度标准值的比值不</w:t>
      </w:r>
      <w:r>
        <w:rPr>
          <w:rFonts w:hint="eastAsia"/>
        </w:rPr>
        <w:t>应</w:t>
      </w:r>
      <w:r>
        <w:t>大于1.3</w:t>
      </w:r>
      <w:r>
        <w:rPr>
          <w:rFonts w:hint="eastAsia"/>
        </w:rPr>
        <w:t>，最大力总延伸率实测值不应小于</w:t>
      </w:r>
      <w:r>
        <w:t>9%</w:t>
      </w:r>
      <w:r>
        <w:rPr>
          <w:rFonts w:hint="eastAsia"/>
        </w:rPr>
        <w:t>；</w:t>
      </w:r>
    </w:p>
    <w:p>
      <w:pPr>
        <w:pStyle w:val="70"/>
      </w:pPr>
      <w:r>
        <w:rPr>
          <w:rFonts w:hint="eastAsia"/>
          <w:b/>
        </w:rPr>
        <w:t>2</w:t>
      </w:r>
      <w:r>
        <w:tab/>
      </w:r>
      <w:r>
        <w:rPr>
          <w:rFonts w:hint="eastAsia"/>
        </w:rPr>
        <w:t>梁板柱复合节点</w:t>
      </w:r>
      <w:r>
        <w:t>梁端</w:t>
      </w:r>
      <w:r>
        <w:rPr>
          <w:rFonts w:hint="eastAsia"/>
        </w:rPr>
        <w:t>的</w:t>
      </w:r>
      <w:r>
        <w:t>耗能钢筋宜采用HRB</w:t>
      </w:r>
      <w:r>
        <w:rPr>
          <w:rFonts w:hint="eastAsia"/>
        </w:rPr>
        <w:t>5</w:t>
      </w:r>
      <w:r>
        <w:t>00</w:t>
      </w:r>
      <w:r>
        <w:rPr>
          <w:rFonts w:hint="eastAsia"/>
        </w:rPr>
        <w:t>或更高强度等级的钢筋，不应采用强度等级低于</w:t>
      </w:r>
      <w:r>
        <w:t>HRB</w:t>
      </w:r>
      <w:r>
        <w:rPr>
          <w:rFonts w:hint="eastAsia"/>
        </w:rPr>
        <w:t>4</w:t>
      </w:r>
      <w:r>
        <w:t>00</w:t>
      </w:r>
      <w:r>
        <w:rPr>
          <w:rFonts w:hint="eastAsia"/>
        </w:rPr>
        <w:t>的</w:t>
      </w:r>
      <w:r>
        <w:t>钢筋</w:t>
      </w:r>
      <w:r>
        <w:rPr>
          <w:rFonts w:hint="eastAsia"/>
        </w:rPr>
        <w:t>。</w:t>
      </w:r>
    </w:p>
    <w:p>
      <w:pPr>
        <w:pStyle w:val="4"/>
      </w:pPr>
      <w:bookmarkStart w:id="146" w:name="_Toc86067829"/>
      <w:r>
        <w:rPr>
          <w:rFonts w:hint="eastAsia"/>
        </w:rPr>
        <w:t>压接装配框架采用钢管混凝土柱时，</w:t>
      </w:r>
      <w:r>
        <w:t>钢管宜采用Q355、Q390、Q420</w:t>
      </w:r>
      <w:r>
        <w:rPr>
          <w:rFonts w:hint="eastAsia"/>
        </w:rPr>
        <w:t>、</w:t>
      </w:r>
      <w:r>
        <w:t xml:space="preserve"> Q460</w:t>
      </w:r>
      <w:r>
        <w:rPr>
          <w:rFonts w:hint="eastAsia"/>
        </w:rPr>
        <w:t>和Q</w:t>
      </w:r>
      <w:r>
        <w:t>355</w:t>
      </w:r>
      <w:r>
        <w:rPr>
          <w:rFonts w:hint="eastAsia"/>
        </w:rPr>
        <w:t>GJ</w:t>
      </w:r>
      <w:r>
        <w:t>钢，质量等级不宜低于B级，且应符合现行国家标准《低合金高强度结构钢》GB/T 1591</w:t>
      </w:r>
      <w:r>
        <w:rPr>
          <w:rFonts w:hint="eastAsia"/>
        </w:rPr>
        <w:t>和</w:t>
      </w:r>
      <w:r>
        <w:t>《建筑结构用钢板》GB/T 19879</w:t>
      </w:r>
      <w:r>
        <w:rPr>
          <w:rFonts w:hint="eastAsia"/>
        </w:rPr>
        <w:t>的</w:t>
      </w:r>
      <w:r>
        <w:t>规定。当</w:t>
      </w:r>
      <w:r>
        <w:rPr>
          <w:rFonts w:hint="eastAsia"/>
        </w:rPr>
        <w:t>钢板</w:t>
      </w:r>
      <w:r>
        <w:t>厚度大于30mm时，</w:t>
      </w:r>
      <w:r>
        <w:rPr>
          <w:rFonts w:hint="eastAsia"/>
        </w:rPr>
        <w:t>尚应</w:t>
      </w:r>
      <w:r>
        <w:t>符合现行国家标准《</w:t>
      </w:r>
      <w:r>
        <w:rPr>
          <w:rFonts w:hint="eastAsia"/>
        </w:rPr>
        <w:t>厚度方向性能</w:t>
      </w:r>
      <w:r>
        <w:t>钢板》GB/T 5313</w:t>
      </w:r>
      <w:r>
        <w:rPr>
          <w:rFonts w:hint="eastAsia"/>
        </w:rPr>
        <w:t>的有关</w:t>
      </w:r>
      <w:r>
        <w:t>规定。</w:t>
      </w:r>
      <w:bookmarkEnd w:id="146"/>
    </w:p>
    <w:p/>
    <w:p>
      <w:pPr>
        <w:pStyle w:val="3"/>
      </w:pPr>
      <w:bookmarkStart w:id="147" w:name="_Toc202345813"/>
      <w:r>
        <w:rPr>
          <w:rFonts w:hint="eastAsia"/>
        </w:rPr>
        <w:t>预应力材料</w:t>
      </w:r>
      <w:bookmarkEnd w:id="147"/>
    </w:p>
    <w:p>
      <w:pPr>
        <w:pStyle w:val="4"/>
      </w:pPr>
      <w:bookmarkStart w:id="148" w:name="_Toc86067828"/>
      <w:bookmarkStart w:id="149" w:name="_Ref86073943"/>
      <w:r>
        <w:rPr>
          <w:rFonts w:hint="eastAsia"/>
        </w:rPr>
        <w:t>预应力压接装配式结构</w:t>
      </w:r>
      <w:r>
        <w:t>的预应力</w:t>
      </w:r>
      <w:r>
        <w:rPr>
          <w:rFonts w:hint="eastAsia"/>
        </w:rPr>
        <w:t>筋</w:t>
      </w:r>
      <w:r>
        <w:t>宜</w:t>
      </w:r>
      <w:r>
        <w:rPr>
          <w:rFonts w:hint="eastAsia"/>
        </w:rPr>
        <w:t>采用</w:t>
      </w:r>
      <w:r>
        <w:t>低松弛预应力钢绞线</w:t>
      </w:r>
      <w:r>
        <w:rPr>
          <w:rFonts w:hint="eastAsia"/>
        </w:rPr>
        <w:t>。</w:t>
      </w:r>
      <w:r>
        <w:t>低松弛预应力钢绞线应符合</w:t>
      </w:r>
      <w:r>
        <w:rPr>
          <w:rFonts w:hint="eastAsia"/>
        </w:rPr>
        <w:t>国家现行标准</w:t>
      </w:r>
      <w:r>
        <w:t>《预应力混凝土用钢绞线》GB/T 5224</w:t>
      </w:r>
      <w:r>
        <w:rPr>
          <w:rFonts w:hint="eastAsia"/>
        </w:rPr>
        <w:t>或</w:t>
      </w:r>
      <w:r>
        <w:t>《无粘结预应力钢绞线》JG/T 161的有关规定。</w:t>
      </w:r>
      <w:bookmarkEnd w:id="148"/>
      <w:bookmarkEnd w:id="149"/>
    </w:p>
    <w:p>
      <w:pPr>
        <w:pStyle w:val="4"/>
      </w:pPr>
      <w:bookmarkStart w:id="150" w:name="_Ref172270844"/>
      <w:bookmarkStart w:id="151" w:name="_Ref172272214"/>
      <w:bookmarkStart w:id="152" w:name="_Toc86067831"/>
      <w:r>
        <w:rPr>
          <w:rFonts w:hint="eastAsia"/>
        </w:rPr>
        <w:t>预应力压接装配式结构的</w:t>
      </w:r>
      <w:r>
        <w:t>预应力</w:t>
      </w:r>
      <w:r>
        <w:rPr>
          <w:rFonts w:hint="eastAsia"/>
        </w:rPr>
        <w:t>筋</w:t>
      </w:r>
      <w:r>
        <w:t>孔道</w:t>
      </w:r>
      <w:r>
        <w:rPr>
          <w:rFonts w:hint="eastAsia"/>
        </w:rPr>
        <w:t>灌</w:t>
      </w:r>
      <w:r>
        <w:t>浆材料应符合</w:t>
      </w:r>
      <w:r>
        <w:rPr>
          <w:rFonts w:hint="eastAsia"/>
        </w:rPr>
        <w:t>现行国家标准</w:t>
      </w:r>
      <w:r>
        <w:t>《水泥基灌浆材料应用技术规程》GB/T 50448的规定。</w:t>
      </w:r>
      <w:bookmarkEnd w:id="150"/>
      <w:bookmarkEnd w:id="151"/>
      <w:bookmarkEnd w:id="152"/>
    </w:p>
    <w:p>
      <w:pPr>
        <w:pStyle w:val="4"/>
      </w:pPr>
      <w:bookmarkStart w:id="153" w:name="_Ref198031942"/>
      <w:bookmarkStart w:id="154" w:name="_Ref88039362"/>
      <w:bookmarkStart w:id="155" w:name="_Toc86067833"/>
      <w:bookmarkStart w:id="156" w:name="_Ref197699087"/>
      <w:r>
        <w:t>预应力混凝土用金属波纹管应符合现行</w:t>
      </w:r>
      <w:r>
        <w:rPr>
          <w:rFonts w:hint="eastAsia"/>
        </w:rPr>
        <w:t>行业</w:t>
      </w:r>
      <w:r>
        <w:t>标准《预应力混凝土用金属波纹管》JG/T 225的</w:t>
      </w:r>
      <w:r>
        <w:rPr>
          <w:rFonts w:hint="eastAsia"/>
        </w:rPr>
        <w:t>有关</w:t>
      </w:r>
      <w:r>
        <w:t>规定。同一工程</w:t>
      </w:r>
      <w:r>
        <w:rPr>
          <w:rFonts w:hint="eastAsia"/>
        </w:rPr>
        <w:t>中的</w:t>
      </w:r>
      <w:r>
        <w:t>金属波纹管规格不宜多于4种，且各规格最小内径差应大于10mm。金属波纹管</w:t>
      </w:r>
      <w:r>
        <w:rPr>
          <w:rFonts w:hint="eastAsia"/>
        </w:rPr>
        <w:t>内径最小值应符合</w:t>
      </w:r>
      <w:r>
        <w:t>表</w:t>
      </w:r>
      <w:r>
        <w:fldChar w:fldCharType="begin"/>
      </w:r>
      <w:r>
        <w:instrText xml:space="preserve"> STYLEREF 3 \s </w:instrText>
      </w:r>
      <w:r>
        <w:fldChar w:fldCharType="separate"/>
      </w:r>
      <w:r>
        <w:t>4. 2. 3</w:t>
      </w:r>
      <w:r>
        <w:fldChar w:fldCharType="end"/>
      </w:r>
      <w:r>
        <w:rPr>
          <w:rFonts w:hint="eastAsia"/>
        </w:rPr>
        <w:t>的规定</w:t>
      </w:r>
      <w:r>
        <w:t>。</w:t>
      </w:r>
      <w:bookmarkEnd w:id="153"/>
      <w:bookmarkEnd w:id="154"/>
      <w:bookmarkEnd w:id="155"/>
      <w:bookmarkEnd w:id="156"/>
    </w:p>
    <w:p>
      <w:pPr>
        <w:pStyle w:val="68"/>
      </w:pPr>
      <w:r>
        <w:t>表</w:t>
      </w:r>
      <w:r>
        <w:fldChar w:fldCharType="begin"/>
      </w:r>
      <w:r>
        <w:instrText xml:space="preserve"> STYLEREF 3 \s </w:instrText>
      </w:r>
      <w:r>
        <w:fldChar w:fldCharType="separate"/>
      </w:r>
      <w:r>
        <w:t>4. 2. 3</w:t>
      </w:r>
      <w:r>
        <w:fldChar w:fldCharType="end"/>
      </w:r>
      <w:r>
        <w:t xml:space="preserve"> 金属波纹管内径最小值（mm）</w:t>
      </w:r>
    </w:p>
    <w:tbl>
      <w:tblPr>
        <w:tblStyle w:val="84"/>
        <w:tblW w:w="50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506"/>
        <w:gridCol w:w="507"/>
        <w:gridCol w:w="506"/>
        <w:gridCol w:w="507"/>
        <w:gridCol w:w="507"/>
        <w:gridCol w:w="506"/>
        <w:gridCol w:w="507"/>
        <w:gridCol w:w="507"/>
        <w:gridCol w:w="506"/>
        <w:gridCol w:w="507"/>
        <w:gridCol w:w="507"/>
        <w:gridCol w:w="576"/>
        <w:gridCol w:w="576"/>
        <w:gridCol w:w="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19" w:type="dxa"/>
            <w:vMerge w:val="restart"/>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tcMar>
              <w:top w:w="0" w:type="dxa"/>
              <w:left w:w="0" w:type="dxa"/>
              <w:bottom w:w="0" w:type="dxa"/>
              <w:right w:w="0" w:type="dxa"/>
            </w:tcMar>
            <w:vAlign w:val="center"/>
          </w:tcPr>
          <w:p>
            <w:pPr>
              <w:pStyle w:val="65"/>
              <w:rPr>
                <w:rFonts w:hint="eastAsia" w:ascii="MS Sans Serif" w:hAnsi="MS Sans Serif" w:eastAsia="宋体"/>
                <w:b/>
              </w:rPr>
            </w:pPr>
            <w:r>
              <w:rPr>
                <w:rFonts w:hint="eastAsia" w:ascii="MS Sans Serif" w:hAnsi="MS Sans Serif" w:eastAsia="宋体"/>
                <w:b/>
              </w:rPr>
              <w:t>预应力钢绞线规格</w:t>
            </w:r>
          </w:p>
        </w:tc>
        <w:tc>
          <w:tcPr>
            <w:tcW w:w="7246" w:type="dxa"/>
            <w:gridSpan w:val="14"/>
            <w:tcBorders>
              <w:top w:val="single" w:color="auto" w:sz="12" w:space="0"/>
              <w:bottom w:val="nil"/>
              <w:right w:val="single" w:color="auto" w:sz="12" w:space="0"/>
              <w:insideH w:val="nil"/>
              <w:insideV w:val="single" w:sz="4" w:space="0"/>
              <w:tl2br w:val="nil"/>
              <w:tr2bl w:val="nil"/>
            </w:tcBorders>
            <w:shd w:val="clear" w:color="auto" w:fill="FFFFFF" w:themeFill="background1"/>
            <w:tcMar>
              <w:top w:w="0" w:type="dxa"/>
              <w:left w:w="0" w:type="dxa"/>
              <w:bottom w:w="0" w:type="dxa"/>
              <w:right w:w="0" w:type="dxa"/>
            </w:tcMar>
            <w:vAlign w:val="center"/>
          </w:tcPr>
          <w:p>
            <w:pPr>
              <w:pStyle w:val="65"/>
              <w:rPr>
                <w:rFonts w:hint="eastAsia" w:ascii="MS Sans Serif" w:hAnsi="MS Sans Serif" w:eastAsia="宋体"/>
                <w:b/>
              </w:rPr>
            </w:pPr>
            <w:r>
              <w:rPr>
                <w:rFonts w:hint="eastAsia" w:ascii="MS Sans Serif" w:hAnsi="MS Sans Serif" w:eastAsia="宋体"/>
                <w:b/>
              </w:rPr>
              <w:t>预应力钢绞线根数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9" w:type="dxa"/>
            <w:vMerge w:val="continue"/>
            <w:tcMar>
              <w:top w:w="0" w:type="dxa"/>
              <w:left w:w="0" w:type="dxa"/>
              <w:bottom w:w="0" w:type="dxa"/>
              <w:right w:w="0" w:type="dxa"/>
            </w:tcMar>
            <w:vAlign w:val="center"/>
          </w:tcPr>
          <w:p>
            <w:pPr>
              <w:pStyle w:val="65"/>
              <w:rPr>
                <w:rFonts w:hint="eastAsia" w:ascii="MS Sans Serif" w:hAnsi="MS Sans Serif"/>
              </w:rPr>
            </w:pP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3</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4</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6</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7</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11</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13</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14~16</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17~18</w:t>
            </w:r>
          </w:p>
        </w:tc>
        <w:tc>
          <w:tcPr>
            <w:tcW w:w="57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19" w:type="dxa"/>
            <w:tcMar>
              <w:top w:w="0" w:type="dxa"/>
              <w:left w:w="0" w:type="dxa"/>
              <w:bottom w:w="0" w:type="dxa"/>
              <w:right w:w="0" w:type="dxa"/>
            </w:tcMar>
            <w:vAlign w:val="center"/>
          </w:tcPr>
          <w:p>
            <w:pPr>
              <w:pStyle w:val="65"/>
              <w:rPr>
                <w:rFonts w:hint="eastAsia" w:ascii="MS Sans Serif" w:hAnsi="MS Sans Serif"/>
              </w:rPr>
            </w:pPr>
            <m:oMath>
              <m:sSup>
                <m:sSupPr>
                  <m:ctrlPr>
                    <w:rPr>
                      <w:rFonts w:ascii="Cambria Math" w:hAnsi="Cambria Math"/>
                    </w:rPr>
                  </m:ctrlPr>
                </m:sSupPr>
                <m:e>
                  <m:r>
                    <m:rPr>
                      <m:sty m:val="b"/>
                    </m:rPr>
                    <w:rPr>
                      <w:rFonts w:ascii="Cambria Math" w:hAnsi="Cambria Math"/>
                    </w:rPr>
                    <m:t>Φ</m:t>
                  </m:r>
                  <m:ctrlPr>
                    <w:rPr>
                      <w:rFonts w:ascii="Cambria Math" w:hAnsi="Cambria Math"/>
                    </w:rPr>
                  </m:ctrlPr>
                </m:e>
                <m:sup>
                  <m:r>
                    <m:rPr>
                      <m:sty m:val="b"/>
                    </m:rPr>
                    <w:rPr>
                      <w:rFonts w:ascii="Cambria Math" w:hAnsi="Cambria Math"/>
                    </w:rPr>
                    <m:t>s</m:t>
                  </m:r>
                  <m:ctrlPr>
                    <w:rPr>
                      <w:rFonts w:ascii="Cambria Math" w:hAnsi="Cambria Math"/>
                    </w:rPr>
                  </m:ctrlPr>
                </m:sup>
              </m:sSup>
            </m:oMath>
            <w:r>
              <w:rPr>
                <w:rFonts w:ascii="MS Sans Serif" w:hAnsi="MS Sans Serif"/>
              </w:rPr>
              <w:t>12.7</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50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55</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60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65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70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90</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96</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102</w:t>
            </w:r>
          </w:p>
        </w:tc>
        <w:tc>
          <w:tcPr>
            <w:tcW w:w="57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tcMar>
              <w:top w:w="0" w:type="dxa"/>
              <w:left w:w="0" w:type="dxa"/>
              <w:bottom w:w="0" w:type="dxa"/>
              <w:right w:w="0" w:type="dxa"/>
            </w:tcMar>
            <w:vAlign w:val="center"/>
          </w:tcPr>
          <w:p>
            <w:pPr>
              <w:pStyle w:val="65"/>
              <w:rPr>
                <w:rFonts w:hint="eastAsia" w:ascii="MS Sans Serif" w:hAnsi="MS Sans Serif"/>
              </w:rPr>
            </w:pPr>
            <m:oMath>
              <m:sSup>
                <m:sSupPr>
                  <m:ctrlPr>
                    <w:rPr>
                      <w:rFonts w:ascii="Cambria Math" w:hAnsi="Cambria Math"/>
                    </w:rPr>
                  </m:ctrlPr>
                </m:sSupPr>
                <m:e>
                  <m:r>
                    <m:rPr>
                      <m:sty m:val="b"/>
                    </m:rPr>
                    <w:rPr>
                      <w:rFonts w:ascii="Cambria Math" w:hAnsi="Cambria Math"/>
                    </w:rPr>
                    <m:t>Φ</m:t>
                  </m:r>
                  <m:ctrlPr>
                    <w:rPr>
                      <w:rFonts w:ascii="Cambria Math" w:hAnsi="Cambria Math"/>
                    </w:rPr>
                  </m:ctrlPr>
                </m:e>
                <m:sup>
                  <m:r>
                    <m:rPr>
                      <m:sty m:val="b"/>
                    </m:rPr>
                    <w:rPr>
                      <w:rFonts w:ascii="Cambria Math" w:hAnsi="Cambria Math"/>
                    </w:rPr>
                    <m:t>s</m:t>
                  </m:r>
                  <m:ctrlPr>
                    <w:rPr>
                      <w:rFonts w:ascii="Cambria Math" w:hAnsi="Cambria Math"/>
                    </w:rPr>
                  </m:ctrlPr>
                </m:sup>
              </m:sSup>
            </m:oMath>
            <w:r>
              <w:rPr>
                <w:rFonts w:ascii="MS Sans Serif" w:hAnsi="MS Sans Serif"/>
              </w:rPr>
              <w:t>15.2</w:t>
            </w:r>
          </w:p>
          <w:p>
            <w:pPr>
              <w:pStyle w:val="65"/>
              <w:rPr>
                <w:rFonts w:hint="eastAsia" w:ascii="MS Sans Serif" w:hAnsi="MS Sans Serif"/>
              </w:rPr>
            </w:pPr>
            <m:oMath>
              <m:sSup>
                <m:sSupPr>
                  <m:ctrlPr>
                    <w:rPr>
                      <w:rFonts w:ascii="Cambria Math" w:hAnsi="Cambria Math"/>
                    </w:rPr>
                  </m:ctrlPr>
                </m:sSupPr>
                <m:e>
                  <m:r>
                    <m:rPr>
                      <m:sty m:val="b"/>
                    </m:rPr>
                    <w:rPr>
                      <w:rFonts w:ascii="Cambria Math" w:hAnsi="Cambria Math"/>
                    </w:rPr>
                    <m:t>Φ</m:t>
                  </m:r>
                  <m:ctrlPr>
                    <w:rPr>
                      <w:rFonts w:ascii="Cambria Math" w:hAnsi="Cambria Math"/>
                    </w:rPr>
                  </m:ctrlPr>
                </m:e>
                <m:sup>
                  <m:r>
                    <m:rPr>
                      <m:sty m:val="b"/>
                    </m:rPr>
                    <w:rPr>
                      <w:rFonts w:ascii="Cambria Math" w:hAnsi="Cambria Math"/>
                    </w:rPr>
                    <m:t>s</m:t>
                  </m:r>
                  <m:ctrlPr>
                    <w:rPr>
                      <w:rFonts w:ascii="Cambria Math" w:hAnsi="Cambria Math"/>
                    </w:rPr>
                  </m:ctrlPr>
                </m:sup>
              </m:sSup>
            </m:oMath>
            <w:r>
              <w:rPr>
                <w:rFonts w:ascii="MS Sans Serif" w:hAnsi="MS Sans Serif"/>
              </w:rPr>
              <w:t>15.7</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55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65</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70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70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96</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108</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108</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108</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114</w:t>
            </w:r>
          </w:p>
        </w:tc>
        <w:tc>
          <w:tcPr>
            <w:tcW w:w="57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19" w:type="dxa"/>
            <w:tcMar>
              <w:top w:w="0" w:type="dxa"/>
              <w:left w:w="0" w:type="dxa"/>
              <w:bottom w:w="0" w:type="dxa"/>
              <w:right w:w="0" w:type="dxa"/>
            </w:tcMar>
            <w:vAlign w:val="center"/>
          </w:tcPr>
          <w:p>
            <w:pPr>
              <w:pStyle w:val="65"/>
              <w:rPr>
                <w:rFonts w:hint="eastAsia" w:ascii="MS Sans Serif" w:hAnsi="MS Sans Serif"/>
              </w:rPr>
            </w:pPr>
            <m:oMath>
              <m:sSup>
                <m:sSupPr>
                  <m:ctrlPr>
                    <w:rPr>
                      <w:rFonts w:ascii="Cambria Math" w:hAnsi="Cambria Math"/>
                    </w:rPr>
                  </m:ctrlPr>
                </m:sSupPr>
                <m:e>
                  <m:r>
                    <m:rPr>
                      <m:sty m:val="b"/>
                    </m:rPr>
                    <w:rPr>
                      <w:rFonts w:ascii="Cambria Math" w:hAnsi="Cambria Math"/>
                    </w:rPr>
                    <m:t>Φ</m:t>
                  </m:r>
                  <m:ctrlPr>
                    <w:rPr>
                      <w:rFonts w:ascii="Cambria Math" w:hAnsi="Cambria Math"/>
                    </w:rPr>
                  </m:ctrlPr>
                </m:e>
                <m:sup>
                  <m:r>
                    <m:rPr>
                      <m:sty m:val="b"/>
                    </m:rPr>
                    <w:rPr>
                      <w:rFonts w:ascii="Cambria Math" w:hAnsi="Cambria Math"/>
                    </w:rPr>
                    <m:t>s</m:t>
                  </m:r>
                  <m:ctrlPr>
                    <w:rPr>
                      <w:rFonts w:ascii="Cambria Math" w:hAnsi="Cambria Math"/>
                    </w:rPr>
                  </m:ctrlPr>
                </m:sup>
              </m:sSup>
            </m:oMath>
            <w:r>
              <w:rPr>
                <w:rFonts w:ascii="MS Sans Serif" w:hAnsi="MS Sans Serif"/>
              </w:rPr>
              <w:t>17.8</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65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70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85</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90</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102</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108</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108</w:t>
            </w:r>
          </w:p>
        </w:tc>
        <w:tc>
          <w:tcPr>
            <w:tcW w:w="50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114</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120</w:t>
            </w:r>
          </w:p>
        </w:tc>
        <w:tc>
          <w:tcPr>
            <w:tcW w:w="50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120</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126</w:t>
            </w:r>
          </w:p>
        </w:tc>
        <w:tc>
          <w:tcPr>
            <w:tcW w:w="572"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126</w:t>
            </w:r>
          </w:p>
        </w:tc>
        <w:tc>
          <w:tcPr>
            <w:tcW w:w="573" w:type="dxa"/>
            <w:tcMar>
              <w:top w:w="0" w:type="dxa"/>
              <w:left w:w="0" w:type="dxa"/>
              <w:bottom w:w="0" w:type="dxa"/>
              <w:right w:w="0" w:type="dxa"/>
            </w:tcMar>
            <w:vAlign w:val="center"/>
          </w:tcPr>
          <w:p>
            <w:pPr>
              <w:pStyle w:val="65"/>
              <w:rPr>
                <w:rFonts w:hint="eastAsia" w:ascii="MS Sans Serif" w:hAnsi="MS Sans Serif"/>
              </w:rPr>
            </w:pPr>
            <w:r>
              <w:rPr>
                <w:rFonts w:ascii="MS Sans Serif" w:hAnsi="MS Sans Serif"/>
              </w:rPr>
              <w:t>132</w:t>
            </w:r>
          </w:p>
        </w:tc>
      </w:tr>
    </w:tbl>
    <w:p>
      <w:pPr>
        <w:pStyle w:val="67"/>
      </w:pPr>
      <w:r>
        <w:tab/>
      </w:r>
      <w:r>
        <w:t>注</w:t>
      </w:r>
      <w:r>
        <w:rPr>
          <w:rFonts w:hint="eastAsia"/>
        </w:rPr>
        <w:t>：</w:t>
      </w:r>
      <w:r>
        <w:tab/>
      </w:r>
      <w:r>
        <w:t>1</w:t>
      </w:r>
      <w:r>
        <w:tab/>
      </w:r>
      <w:r>
        <w:t>表中金属波纹管最小内径按带护套的无粘结钢绞线规格计算得出，能够保证顺利穿筋</w:t>
      </w:r>
      <w:r>
        <w:rPr>
          <w:rFonts w:hint="eastAsia"/>
        </w:rPr>
        <w:t>；</w:t>
      </w:r>
    </w:p>
    <w:p>
      <w:pPr>
        <w:pStyle w:val="67"/>
      </w:pPr>
      <w:r>
        <w:tab/>
      </w:r>
      <w:r>
        <w:tab/>
      </w:r>
      <w:r>
        <w:t>2</w:t>
      </w:r>
      <w:r>
        <w:tab/>
      </w:r>
      <w:r>
        <w:t>上述管内径与预应力束规格的对应关系可根据工程实际情况进行必要调整</w:t>
      </w:r>
      <w:r>
        <w:rPr>
          <w:rFonts w:hint="eastAsia"/>
        </w:rPr>
        <w:t>；</w:t>
      </w:r>
    </w:p>
    <w:p>
      <w:pPr>
        <w:pStyle w:val="67"/>
      </w:pPr>
      <w:r>
        <w:tab/>
      </w:r>
      <w:r>
        <w:tab/>
      </w:r>
      <w:r>
        <w:t>3</w:t>
      </w:r>
      <w:r>
        <w:tab/>
      </w:r>
      <w:r>
        <w:t>表中未列出的预应力束规格与管内径对应关系可根据工程经验和市场供应条件确定。</w:t>
      </w:r>
    </w:p>
    <w:p/>
    <w:p>
      <w:pPr>
        <w:pStyle w:val="4"/>
      </w:pPr>
      <w:bookmarkStart w:id="157" w:name="_Toc86067835"/>
      <w:bookmarkStart w:id="158" w:name="_Ref86074155"/>
      <w:r>
        <w:t>预应力</w:t>
      </w:r>
      <w:r>
        <w:rPr>
          <w:rFonts w:hint="eastAsia"/>
        </w:rPr>
        <w:t>钢绞线</w:t>
      </w:r>
      <w:r>
        <w:t>用锚具、夹具和连接器应符合国家现行标准《预应力筋用锚具、夹具和连接器》GB/T 14370和《预应力筋用锚具、夹具和连接器应用技术规程》JGJ 85的规定。当钢绞线长度小于1</w:t>
      </w:r>
      <w:r>
        <w:rPr>
          <w:rFonts w:hint="eastAsia"/>
        </w:rPr>
        <w:t>0ｍ</w:t>
      </w:r>
      <w:r>
        <w:t>，应使用低回缩锚具</w:t>
      </w:r>
      <w:r>
        <w:rPr>
          <w:rFonts w:hint="eastAsia"/>
        </w:rPr>
        <w:t>或采取施工措施降低预应力损失</w:t>
      </w:r>
      <w:r>
        <w:t>。</w:t>
      </w:r>
      <w:bookmarkEnd w:id="157"/>
      <w:bookmarkEnd w:id="158"/>
    </w:p>
    <w:p/>
    <w:p>
      <w:pPr>
        <w:pStyle w:val="3"/>
      </w:pPr>
      <w:bookmarkStart w:id="159" w:name="_Toc202345814"/>
      <w:r>
        <w:rPr>
          <w:rFonts w:hint="eastAsia"/>
        </w:rPr>
        <w:t>连接材料</w:t>
      </w:r>
      <w:bookmarkEnd w:id="159"/>
    </w:p>
    <w:p>
      <w:pPr>
        <w:pStyle w:val="4"/>
      </w:pPr>
      <w:bookmarkStart w:id="160" w:name="_Toc86067830"/>
      <w:bookmarkStart w:id="161" w:name="_Ref86074041"/>
      <w:r>
        <w:rPr>
          <w:rFonts w:hint="eastAsia"/>
        </w:rPr>
        <w:t>压接装配框架</w:t>
      </w:r>
      <w:r>
        <w:t>梁柱接缝</w:t>
      </w:r>
      <w:bookmarkStart w:id="162" w:name="_Hlk175143019"/>
      <w:r>
        <w:rPr>
          <w:rFonts w:hint="eastAsia"/>
        </w:rPr>
        <w:t>和压接装配板柱接缝</w:t>
      </w:r>
      <w:bookmarkEnd w:id="162"/>
      <w:r>
        <w:rPr>
          <w:rFonts w:hint="eastAsia"/>
        </w:rPr>
        <w:t>（板与柱、边梁与柱、板与垫块、边梁与垫块之间）宜采用添加钢纤维的无收缩水泥基灌浆料拌合物进行灌封，且</w:t>
      </w:r>
      <w:r>
        <w:t>应符合下列</w:t>
      </w:r>
      <w:r>
        <w:rPr>
          <w:rFonts w:hint="eastAsia"/>
        </w:rPr>
        <w:t>规定</w:t>
      </w:r>
      <w:r>
        <w:t>：</w:t>
      </w:r>
      <w:bookmarkEnd w:id="160"/>
      <w:bookmarkEnd w:id="161"/>
    </w:p>
    <w:p>
      <w:pPr>
        <w:pStyle w:val="70"/>
      </w:pPr>
      <w:r>
        <w:rPr>
          <w:rFonts w:hint="eastAsia"/>
          <w:b/>
        </w:rPr>
        <w:t>1</w:t>
      </w:r>
      <w:r>
        <w:tab/>
      </w:r>
      <w:r>
        <w:rPr>
          <w:rFonts w:hint="eastAsia"/>
        </w:rPr>
        <w:t>钢纤维应符合</w:t>
      </w:r>
      <w:r>
        <w:t>现行国家标准</w:t>
      </w:r>
      <w:r>
        <w:rPr>
          <w:rFonts w:hint="eastAsia"/>
        </w:rPr>
        <w:t>《混凝土用钢纤维》GB</w:t>
      </w:r>
      <w:r>
        <w:t>/T 39147</w:t>
      </w:r>
      <w:r>
        <w:rPr>
          <w:rFonts w:hint="eastAsia"/>
        </w:rPr>
        <w:t>的规定，纤维直径宜为</w:t>
      </w:r>
      <w:r>
        <w:t>0.2mm，长度宜</w:t>
      </w:r>
      <w:r>
        <w:rPr>
          <w:rFonts w:hint="eastAsia"/>
        </w:rPr>
        <w:t>为</w:t>
      </w:r>
      <w:r>
        <w:t>6mm~14mm</w:t>
      </w:r>
      <w:r>
        <w:rPr>
          <w:rFonts w:hint="eastAsia"/>
        </w:rPr>
        <w:t>，</w:t>
      </w:r>
      <w:r>
        <w:t>钢纤维在拌合物中的体积掺量不宜小于0.5%，</w:t>
      </w:r>
      <w:r>
        <w:rPr>
          <w:rFonts w:hint="eastAsia"/>
        </w:rPr>
        <w:t>且</w:t>
      </w:r>
      <w:r>
        <w:t>不应大于1.</w:t>
      </w:r>
      <w:r>
        <w:rPr>
          <w:rFonts w:hint="eastAsia"/>
        </w:rPr>
        <w:t>0</w:t>
      </w:r>
      <w:r>
        <w:t>%</w:t>
      </w:r>
      <w:r>
        <w:rPr>
          <w:rFonts w:hint="eastAsia"/>
        </w:rPr>
        <w:t>；</w:t>
      </w:r>
    </w:p>
    <w:p>
      <w:pPr>
        <w:pStyle w:val="70"/>
      </w:pPr>
      <w:r>
        <w:rPr>
          <w:rFonts w:hint="eastAsia"/>
          <w:b/>
        </w:rPr>
        <w:t>2</w:t>
      </w:r>
      <w:r>
        <w:tab/>
      </w:r>
      <w:r>
        <w:rPr>
          <w:rFonts w:hint="eastAsia"/>
        </w:rPr>
        <w:t>添加钢纤维的</w:t>
      </w:r>
      <w:r>
        <w:t xml:space="preserve">灌浆料拌合物浆体截锥流动度初始值不宜小于280 mm，30 </w:t>
      </w:r>
      <w:r>
        <w:rPr>
          <w:rFonts w:hint="eastAsia"/>
        </w:rPr>
        <w:t>min</w:t>
      </w:r>
      <w:r>
        <w:t>后</w:t>
      </w:r>
      <w:r>
        <w:rPr>
          <w:rFonts w:hint="eastAsia"/>
        </w:rPr>
        <w:t>流动度</w:t>
      </w:r>
      <w:r>
        <w:t>不宜小于260 mm</w:t>
      </w:r>
      <w:r>
        <w:rPr>
          <w:rFonts w:hint="eastAsia"/>
        </w:rPr>
        <w:t>；</w:t>
      </w:r>
    </w:p>
    <w:p>
      <w:pPr>
        <w:pStyle w:val="70"/>
      </w:pPr>
      <w:r>
        <w:rPr>
          <w:rFonts w:hint="eastAsia"/>
          <w:b/>
        </w:rPr>
        <w:t>3</w:t>
      </w:r>
      <w:r>
        <w:tab/>
      </w:r>
      <w:r>
        <w:rPr>
          <w:rFonts w:hint="eastAsia"/>
        </w:rPr>
        <w:t>添加钢纤维的无收缩水泥基灌浆料的强度</w:t>
      </w:r>
      <w:r>
        <w:t>应符合现行国家标准《水泥基灌浆材料应用技术规程》GB/T 50448</w:t>
      </w:r>
      <w:r>
        <w:rPr>
          <w:rFonts w:hint="eastAsia"/>
        </w:rPr>
        <w:t>的</w:t>
      </w:r>
      <w:r>
        <w:t>规定，1d抗压强度</w:t>
      </w:r>
      <w:r>
        <w:rPr>
          <w:rFonts w:hint="eastAsia"/>
        </w:rPr>
        <w:t>不应小于</w:t>
      </w:r>
      <w:r>
        <w:t>20MPa，</w:t>
      </w:r>
      <w:r>
        <w:rPr>
          <w:rFonts w:hint="eastAsia"/>
        </w:rPr>
        <w:t>3d抗压强度不应小于4</w:t>
      </w:r>
      <w:r>
        <w:t>0</w:t>
      </w:r>
      <w:r>
        <w:rPr>
          <w:rFonts w:hint="eastAsia"/>
        </w:rPr>
        <w:t>MPa，</w:t>
      </w:r>
      <w:r>
        <w:t>28d抗压强度</w:t>
      </w:r>
      <w:r>
        <w:rPr>
          <w:rFonts w:hint="eastAsia"/>
        </w:rPr>
        <w:t>不应小于</w:t>
      </w:r>
      <w:r>
        <w:t>60MPa，且</w:t>
      </w:r>
      <w:r>
        <w:rPr>
          <w:rFonts w:hint="eastAsia"/>
        </w:rPr>
        <w:t>应高于</w:t>
      </w:r>
      <w:r>
        <w:t>所连接</w:t>
      </w:r>
      <w:r>
        <w:rPr>
          <w:rFonts w:hint="eastAsia"/>
        </w:rPr>
        <w:t>构件</w:t>
      </w:r>
      <w:r>
        <w:t>的混凝土强度。</w:t>
      </w:r>
    </w:p>
    <w:p>
      <w:pPr>
        <w:pStyle w:val="4"/>
      </w:pPr>
      <w:bookmarkStart w:id="163" w:name="_Toc86067832"/>
      <w:r>
        <w:t>钢筋套筒灌浆连接用灌浆料应符合现行行业标准《钢筋套筒灌浆连接应用技术规程》JGJ 355和《钢筋连接用套筒灌浆料》JG/T 408</w:t>
      </w:r>
      <w:r>
        <w:rPr>
          <w:rFonts w:hint="eastAsia"/>
        </w:rPr>
        <w:t>的有关</w:t>
      </w:r>
      <w:r>
        <w:t>规定。</w:t>
      </w:r>
      <w:bookmarkEnd w:id="163"/>
    </w:p>
    <w:p>
      <w:pPr>
        <w:pStyle w:val="4"/>
      </w:pPr>
      <w:r>
        <w:rPr>
          <w:rFonts w:hint="eastAsia"/>
        </w:rPr>
        <w:t>钢筋连接用的灌浆套筒宜选用优质碳素结构钢、低合金高强度结构钢、合金结构钢或球墨铸铁制造的套筒，且应符合现行行业标准《钢筋连接用灌浆套筒》JG/T 398的规定。直螺纹钢筋接头应符合现行行业标准《钢筋机械连接技术规程》JGJ 107的规定。</w:t>
      </w:r>
    </w:p>
    <w:p>
      <w:pPr>
        <w:pStyle w:val="4"/>
      </w:pPr>
      <w:r>
        <w:rPr>
          <w:rFonts w:hint="eastAsia"/>
        </w:rPr>
        <w:t>钢筋锚固板材料应符合现行行业标准《钢筋锚固板应用技术规程》JGJ 256的有关规定。</w:t>
      </w:r>
    </w:p>
    <w:p/>
    <w:p/>
    <w:p>
      <w:r>
        <w:br w:type="page"/>
      </w:r>
    </w:p>
    <w:p>
      <w:pPr>
        <w:pStyle w:val="2"/>
      </w:pPr>
      <w:r>
        <w:t>　</w:t>
      </w:r>
      <w:bookmarkStart w:id="164" w:name="_Toc202345815"/>
      <w:r>
        <w:rPr>
          <w:rFonts w:hint="eastAsia"/>
        </w:rPr>
        <w:t>结构分析与设计</w:t>
      </w:r>
      <w:bookmarkEnd w:id="164"/>
    </w:p>
    <w:p>
      <w:pPr>
        <w:pStyle w:val="3"/>
      </w:pPr>
      <w:bookmarkStart w:id="165" w:name="_Toc91664515"/>
      <w:bookmarkStart w:id="166" w:name="_Toc86067870"/>
      <w:bookmarkStart w:id="167" w:name="_Toc202345816"/>
      <w:bookmarkStart w:id="168" w:name="_Toc92182251"/>
      <w:bookmarkStart w:id="169" w:name="_Toc91664405"/>
      <w:r>
        <w:t>一般规定</w:t>
      </w:r>
      <w:bookmarkEnd w:id="165"/>
      <w:bookmarkEnd w:id="166"/>
      <w:bookmarkEnd w:id="167"/>
      <w:bookmarkEnd w:id="168"/>
      <w:bookmarkEnd w:id="169"/>
      <w:bookmarkStart w:id="170" w:name="_Toc197444879"/>
      <w:bookmarkEnd w:id="170"/>
    </w:p>
    <w:p>
      <w:pPr>
        <w:pStyle w:val="4"/>
      </w:pPr>
      <w:bookmarkStart w:id="171" w:name="_Ref198036615"/>
      <w:r>
        <w:rPr>
          <w:rFonts w:hint="eastAsia"/>
        </w:rPr>
        <w:t>预应力压接装配框架结构、压接装配框架-抗震墙结构、压接装配框架-核心筒结构和压接装配板柱-抗震墙结构除符合本节规定外，尚应</w:t>
      </w:r>
      <w:r>
        <w:t>符合国家</w:t>
      </w:r>
      <w:r>
        <w:rPr>
          <w:rFonts w:hint="eastAsia"/>
        </w:rPr>
        <w:t>和地方</w:t>
      </w:r>
      <w:r>
        <w:t>现行有关标准的规定。</w:t>
      </w:r>
      <w:bookmarkEnd w:id="171"/>
    </w:p>
    <w:p>
      <w:pPr>
        <w:pStyle w:val="4"/>
      </w:pPr>
      <w:bookmarkStart w:id="172" w:name="_Toc86067872"/>
      <w:r>
        <w:t>地震作用效应和其他荷载效应的基本组合下，</w:t>
      </w:r>
      <w:r>
        <w:rPr>
          <w:rFonts w:hint="eastAsia"/>
        </w:rPr>
        <w:t>在对预应力压接装配式结构</w:t>
      </w:r>
      <w:r>
        <w:t>构件</w:t>
      </w:r>
      <w:r>
        <w:rPr>
          <w:rFonts w:hint="eastAsia"/>
        </w:rPr>
        <w:t>进行</w:t>
      </w:r>
      <w:r>
        <w:t>截面抗震验算时，应加入预应力作用效应项。当预应力作用效应对结构不利时，预应力分项系数应取1.3；有利时应取1.0。</w:t>
      </w:r>
      <w:bookmarkEnd w:id="172"/>
    </w:p>
    <w:p>
      <w:pPr>
        <w:pStyle w:val="4"/>
      </w:pPr>
      <w:bookmarkStart w:id="173" w:name="_Ref198036656"/>
      <w:r>
        <w:rPr>
          <w:rFonts w:hint="eastAsia"/>
        </w:rPr>
        <w:t>对按一、二、三级抗震等级设计的压接装配框架，应按现行国家标准《建筑抗震设计标准》GB</w:t>
      </w:r>
      <w:r>
        <w:t>/T</w:t>
      </w:r>
      <w:r>
        <w:rPr>
          <w:rFonts w:hint="eastAsia"/>
        </w:rPr>
        <w:t xml:space="preserve"> 50011的有关规定进行梁柱节点核心区截面抗震验算。梁柱节点核心区截面抗震验算时，可不计入正交梁的约束影响系数和预应力钢绞线总有效预压力的影响。</w:t>
      </w:r>
      <w:bookmarkEnd w:id="173"/>
    </w:p>
    <w:p>
      <w:pPr>
        <w:pStyle w:val="4"/>
      </w:pPr>
      <w:bookmarkStart w:id="174" w:name="_Ref198036717"/>
      <w:r>
        <w:rPr>
          <w:rFonts w:hint="eastAsia"/>
        </w:rPr>
        <w:t>压接装配框架的框架梁、柱中心线宜重合。当不能重合时，在计算中应考虑偏心对梁柱节点核心区受力的不利影响。梁柱中心线间的偏心距不应大于柱截面在该方向宽度的1</w:t>
      </w:r>
      <w:r>
        <w:t>/4</w:t>
      </w:r>
      <w:r>
        <w:rPr>
          <w:rFonts w:hint="eastAsia"/>
        </w:rPr>
        <w:t>。</w:t>
      </w:r>
      <w:bookmarkEnd w:id="174"/>
    </w:p>
    <w:p>
      <w:pPr>
        <w:pStyle w:val="4"/>
      </w:pPr>
      <w:bookmarkStart w:id="175" w:name="_Ref198036757"/>
      <w:r>
        <w:rPr>
          <w:rFonts w:hint="eastAsia"/>
        </w:rPr>
        <w:t>压接装配框架的后张预应力筋宜采用直线形布置，位置宜位于梁预制部分的截面的质心处。</w:t>
      </w:r>
      <w:bookmarkEnd w:id="175"/>
    </w:p>
    <w:p>
      <w:pPr>
        <w:pStyle w:val="4"/>
      </w:pPr>
      <w:bookmarkStart w:id="176" w:name="_Ref198036806"/>
      <w:r>
        <w:rPr>
          <w:rFonts w:hint="eastAsia"/>
        </w:rPr>
        <w:t>压接装配框架的后张预应力筋设计有效预应力不应大于极限强度标准值的6</w:t>
      </w:r>
      <w:r>
        <w:t>5%</w:t>
      </w:r>
      <w:r>
        <w:rPr>
          <w:rFonts w:hint="eastAsia" w:hAnsi="Cambria Math"/>
        </w:rPr>
        <w:t>，也不应小于极限强度标准值的5</w:t>
      </w:r>
      <w:r>
        <w:rPr>
          <w:rFonts w:hAnsi="Cambria Math"/>
        </w:rPr>
        <w:t>0%</w:t>
      </w:r>
      <w:r>
        <w:t>。</w:t>
      </w:r>
      <w:bookmarkEnd w:id="176"/>
    </w:p>
    <w:p>
      <w:pPr>
        <w:pStyle w:val="4"/>
      </w:pPr>
      <w:bookmarkStart w:id="177" w:name="_Ref86137257"/>
      <w:bookmarkStart w:id="178" w:name="_Toc86067900"/>
      <w:bookmarkStart w:id="179" w:name="_Ref198036845"/>
      <w:r>
        <w:rPr>
          <w:rFonts w:hint="eastAsia"/>
        </w:rPr>
        <w:t>压接装配框架</w:t>
      </w:r>
      <w:r>
        <w:t>的框架柱</w:t>
      </w:r>
      <w:r>
        <w:rPr>
          <w:rFonts w:hint="eastAsia"/>
        </w:rPr>
        <w:t>宜为一次成型多层柱，单节柱长度不宜超过1</w:t>
      </w:r>
      <w:r>
        <w:t>8</w:t>
      </w:r>
      <w:r>
        <w:rPr>
          <w:rFonts w:hint="eastAsia"/>
        </w:rPr>
        <w:t>m，重量不宜超过2</w:t>
      </w:r>
      <w:r>
        <w:t>0</w:t>
      </w:r>
      <w:r>
        <w:rPr>
          <w:rFonts w:hint="eastAsia"/>
        </w:rPr>
        <w:t>吨。当</w:t>
      </w:r>
      <w:r>
        <w:t>采用预制混凝土柱</w:t>
      </w:r>
      <w:r>
        <w:rPr>
          <w:rFonts w:hint="eastAsia"/>
        </w:rPr>
        <w:t>重量过大时，可采用叠合混凝土柱或</w:t>
      </w:r>
      <w:r>
        <w:t>钢管混凝土柱</w:t>
      </w:r>
      <w:bookmarkEnd w:id="177"/>
      <w:bookmarkEnd w:id="178"/>
      <w:bookmarkStart w:id="180" w:name="_Toc86067904"/>
      <w:bookmarkStart w:id="181" w:name="_Ref86137543"/>
      <w:r>
        <w:rPr>
          <w:rFonts w:hint="eastAsia"/>
        </w:rPr>
        <w:t>。</w:t>
      </w:r>
      <w:bookmarkEnd w:id="179"/>
      <w:bookmarkEnd w:id="180"/>
      <w:bookmarkEnd w:id="181"/>
    </w:p>
    <w:p>
      <w:pPr>
        <w:pStyle w:val="4"/>
      </w:pPr>
      <w:bookmarkStart w:id="182" w:name="_Ref198036887"/>
      <w:r>
        <w:rPr>
          <w:rFonts w:hint="eastAsia"/>
        </w:rPr>
        <w:t>压接装配框架的楼板采用带后浇叠合层的预应力混凝土空心板时，与预应力空心板跨度方向垂直的支承梁应按单向板进行竖向导荷设计；与预应力空心板跨度方向平行的毗邻梁宜按双向板进行竖向导荷设计。</w:t>
      </w:r>
      <w:bookmarkEnd w:id="182"/>
    </w:p>
    <w:p>
      <w:pPr>
        <w:pStyle w:val="4"/>
      </w:pPr>
      <w:r>
        <w:rPr>
          <w:rFonts w:hint="eastAsia"/>
        </w:rPr>
        <w:t>预应力压接板柱中的预应力筋宜直线布置，预应力筋的张拉控制应力可取极限强度标准值的7</w:t>
      </w:r>
      <w:r>
        <w:t>5%</w:t>
      </w:r>
      <w:r>
        <w:rPr>
          <w:rFonts w:hint="eastAsia"/>
        </w:rPr>
        <w:t>。</w:t>
      </w:r>
    </w:p>
    <w:p>
      <w:pPr>
        <w:pStyle w:val="4"/>
      </w:pPr>
      <w:r>
        <w:rPr>
          <w:rFonts w:hint="eastAsia"/>
        </w:rPr>
        <w:t>预应力压接板柱中的每根预应力的张拉长度不宜超过6</w:t>
      </w:r>
      <w:r>
        <w:t>0</w:t>
      </w:r>
      <w:r>
        <w:rPr>
          <w:rFonts w:hint="eastAsia"/>
        </w:rPr>
        <w:t>m。当张拉单元长度较长时，可在接缝浇筑前将柱子预先外推，外推位移量根据预应力作用下的压缩变形及柱子抗裂度综合考虑。</w:t>
      </w:r>
    </w:p>
    <w:p>
      <w:pPr>
        <w:pStyle w:val="5"/>
      </w:pPr>
    </w:p>
    <w:p>
      <w:pPr>
        <w:pStyle w:val="3"/>
      </w:pPr>
      <w:bookmarkStart w:id="183" w:name="_Toc86067861"/>
      <w:bookmarkStart w:id="184" w:name="_Toc91664402"/>
      <w:bookmarkStart w:id="185" w:name="_Toc91664512"/>
      <w:bookmarkStart w:id="186" w:name="_Toc92182248"/>
      <w:bookmarkStart w:id="187" w:name="_Toc202345817"/>
      <w:r>
        <w:rPr>
          <w:rFonts w:hint="eastAsia"/>
        </w:rPr>
        <w:t>结构</w:t>
      </w:r>
      <w:r>
        <w:t>分析</w:t>
      </w:r>
      <w:bookmarkEnd w:id="183"/>
      <w:bookmarkEnd w:id="184"/>
      <w:bookmarkEnd w:id="185"/>
      <w:bookmarkEnd w:id="186"/>
      <w:bookmarkEnd w:id="187"/>
      <w:bookmarkStart w:id="188" w:name="_Toc197444880"/>
      <w:bookmarkEnd w:id="188"/>
    </w:p>
    <w:p>
      <w:pPr>
        <w:pStyle w:val="4"/>
      </w:pPr>
      <w:bookmarkStart w:id="189" w:name="_Ref86134983"/>
      <w:bookmarkStart w:id="190" w:name="_Toc86067859"/>
      <w:bookmarkStart w:id="191" w:name="_Ref86135078"/>
      <w:r>
        <w:rPr>
          <w:rFonts w:hint="eastAsia"/>
        </w:rPr>
        <w:t>预应力压接装配式结构</w:t>
      </w:r>
      <w:r>
        <w:t>应按最不利作用的组合进行内力分析</w:t>
      </w:r>
      <w:r>
        <w:rPr>
          <w:rFonts w:hint="eastAsia"/>
        </w:rPr>
        <w:t>，</w:t>
      </w:r>
      <w:r>
        <w:t>应考虑各种不利荷载作用工况。除本节另有规定外，</w:t>
      </w:r>
      <w:r>
        <w:rPr>
          <w:rFonts w:hint="eastAsia"/>
        </w:rPr>
        <w:t>预应力压接装配式结构</w:t>
      </w:r>
      <w:r>
        <w:t>的荷载与作用应符合现行国家标准</w:t>
      </w:r>
      <w:r>
        <w:rPr>
          <w:rFonts w:hint="eastAsia"/>
        </w:rPr>
        <w:t>《工程结构通用规范》G</w:t>
      </w:r>
      <w:r>
        <w:t>B 55001</w:t>
      </w:r>
      <w:r>
        <w:rPr>
          <w:rFonts w:hint="eastAsia"/>
        </w:rPr>
        <w:t>和</w:t>
      </w:r>
      <w:r>
        <w:t>《建筑结构荷载规范》GB 50009</w:t>
      </w:r>
      <w:r>
        <w:rPr>
          <w:rFonts w:hint="eastAsia"/>
        </w:rPr>
        <w:t>的有关</w:t>
      </w:r>
      <w:r>
        <w:t>规定。</w:t>
      </w:r>
      <w:bookmarkEnd w:id="189"/>
      <w:bookmarkEnd w:id="190"/>
    </w:p>
    <w:p>
      <w:pPr>
        <w:pStyle w:val="4"/>
      </w:pPr>
      <w:bookmarkStart w:id="192" w:name="_Ref198036997"/>
      <w:bookmarkStart w:id="193" w:name="_Toc86067862"/>
      <w:bookmarkStart w:id="194" w:name="_Ref91606615"/>
      <w:r>
        <w:rPr>
          <w:rFonts w:hint="eastAsia"/>
        </w:rPr>
        <w:t>预应力压接装配式结构的结构分析应符合下列规定：</w:t>
      </w:r>
      <w:bookmarkEnd w:id="192"/>
    </w:p>
    <w:p>
      <w:pPr>
        <w:pStyle w:val="70"/>
      </w:pPr>
      <w:r>
        <w:rPr>
          <w:rFonts w:hint="eastAsia"/>
          <w:b/>
          <w:bCs/>
        </w:rPr>
        <w:t>1</w:t>
      </w:r>
      <w:r>
        <w:tab/>
      </w:r>
      <w:r>
        <w:t>结构承载能力极限状态和正常使用极限状态的作用效应分析宜采用弹性分析方法，并应考虑次内力的影响</w:t>
      </w:r>
      <w:bookmarkEnd w:id="191"/>
      <w:bookmarkEnd w:id="193"/>
      <w:bookmarkEnd w:id="194"/>
      <w:r>
        <w:rPr>
          <w:rFonts w:hint="eastAsia"/>
        </w:rPr>
        <w:t>；</w:t>
      </w:r>
    </w:p>
    <w:p>
      <w:pPr>
        <w:pStyle w:val="70"/>
      </w:pPr>
      <w:r>
        <w:rPr>
          <w:rFonts w:hint="eastAsia"/>
          <w:b/>
          <w:bCs/>
        </w:rPr>
        <w:t>2</w:t>
      </w:r>
      <w:r>
        <w:tab/>
      </w:r>
      <w:r>
        <w:rPr>
          <w:rFonts w:hint="eastAsia"/>
        </w:rPr>
        <w:t>结构在预应力、竖向荷载、风荷载及多遇地震作用下，可采用与现浇预应力混凝土结构相同的方法进行结构整体内力分析与位移计算；计算模型中压接装配框架梁柱节点、压接装配板柱节点和板垫块节点可假定为刚接节点；</w:t>
      </w:r>
    </w:p>
    <w:p>
      <w:pPr>
        <w:pStyle w:val="70"/>
      </w:pPr>
      <w:r>
        <w:rPr>
          <w:rFonts w:hint="eastAsia"/>
          <w:b/>
          <w:bCs/>
        </w:rPr>
        <w:t>3</w:t>
      </w:r>
      <w:r>
        <w:tab/>
      </w:r>
      <w:r>
        <w:rPr>
          <w:rFonts w:hint="eastAsia"/>
        </w:rPr>
        <w:t>当抗震设计需要时，设防地震或罕遇地震作用下的结构变形计算，应采用符合工程实际的整体弹塑性分析模型；</w:t>
      </w:r>
    </w:p>
    <w:p>
      <w:pPr>
        <w:pStyle w:val="70"/>
      </w:pPr>
      <w:r>
        <w:rPr>
          <w:rFonts w:hint="eastAsia"/>
          <w:b/>
          <w:bCs/>
        </w:rPr>
        <w:t>4</w:t>
      </w:r>
      <w:r>
        <w:tab/>
      </w:r>
      <w:r>
        <w:rPr>
          <w:rFonts w:hint="eastAsia"/>
        </w:rPr>
        <w:t>进行施工过程预应力变化分析时，应采用和预应力张拉过程相符的弹塑性时变分析模型；</w:t>
      </w:r>
    </w:p>
    <w:p>
      <w:pPr>
        <w:pStyle w:val="70"/>
      </w:pPr>
      <w:r>
        <w:rPr>
          <w:rFonts w:hint="eastAsia"/>
          <w:b/>
          <w:bCs/>
        </w:rPr>
        <w:t>5</w:t>
      </w:r>
      <w:r>
        <w:tab/>
      </w:r>
      <w:r>
        <w:rPr>
          <w:rFonts w:hint="eastAsia"/>
        </w:rPr>
        <w:t>当需要进行抗连续倒塌性能分析时，应采用符合结构实际受力状态的整体弹塑性分析模型，倒塌直接影响区的预制构件的材料、尺寸和配筋应与结构实际情况一致。</w:t>
      </w:r>
    </w:p>
    <w:p>
      <w:pPr>
        <w:pStyle w:val="4"/>
      </w:pPr>
      <w:bookmarkStart w:id="195" w:name="_Ref198037031"/>
      <w:bookmarkStart w:id="196" w:name="_Ref86135146"/>
      <w:bookmarkStart w:id="197" w:name="_Toc86067864"/>
      <w:r>
        <w:rPr>
          <w:rFonts w:hint="eastAsia"/>
        </w:rPr>
        <w:t>采用</w:t>
      </w:r>
      <w:bookmarkStart w:id="198" w:name="_Hlk202345558"/>
      <w:r>
        <w:rPr>
          <w:rFonts w:hint="eastAsia"/>
        </w:rPr>
        <w:t>压接装配框架</w:t>
      </w:r>
      <w:bookmarkEnd w:id="198"/>
      <w:r>
        <w:rPr>
          <w:rFonts w:hint="eastAsia"/>
        </w:rPr>
        <w:t>的各类结构</w:t>
      </w:r>
      <w:r>
        <w:t>整体弹性分析时，楼板</w:t>
      </w:r>
      <w:r>
        <w:rPr>
          <w:rFonts w:hint="eastAsia"/>
        </w:rPr>
        <w:t>可</w:t>
      </w:r>
      <w:r>
        <w:t>根据实际情况采用刚性楼板、</w:t>
      </w:r>
      <w:r>
        <w:rPr>
          <w:rFonts w:hint="eastAsia"/>
        </w:rPr>
        <w:t>分块刚性或</w:t>
      </w:r>
      <w:r>
        <w:t>弹性楼板假定</w:t>
      </w:r>
      <w:r>
        <w:rPr>
          <w:rFonts w:hint="eastAsia"/>
        </w:rPr>
        <w:t>，并应符合下列规定：</w:t>
      </w:r>
      <w:bookmarkEnd w:id="195"/>
    </w:p>
    <w:p>
      <w:pPr>
        <w:pStyle w:val="70"/>
      </w:pPr>
      <w:r>
        <w:rPr>
          <w:rFonts w:hint="eastAsia"/>
          <w:b/>
          <w:bCs/>
        </w:rPr>
        <w:t>1</w:t>
      </w:r>
      <w:r>
        <w:tab/>
      </w:r>
      <w:r>
        <w:t>当采用刚性楼板假定时，</w:t>
      </w:r>
      <w:r>
        <w:rPr>
          <w:rFonts w:hint="eastAsia"/>
        </w:rPr>
        <w:t>采用梁板柱复合节点的</w:t>
      </w:r>
      <w:r>
        <w:t>梁刚度增大系数可根据翼缘情况近似取1.3 ~ 2.0</w:t>
      </w:r>
      <w:r>
        <w:rPr>
          <w:rFonts w:hint="eastAsia"/>
        </w:rPr>
        <w:t>，采用自复位梁柱节点的梁刚度增大系数宜取1</w:t>
      </w:r>
      <w:r>
        <w:t>.0；</w:t>
      </w:r>
    </w:p>
    <w:p>
      <w:pPr>
        <w:pStyle w:val="70"/>
      </w:pPr>
      <w:r>
        <w:rPr>
          <w:rFonts w:hint="eastAsia"/>
          <w:b/>
          <w:bCs/>
        </w:rPr>
        <w:t>2</w:t>
      </w:r>
      <w:r>
        <w:tab/>
      </w:r>
      <w:r>
        <w:t>当采用弹性楼板假定时，</w:t>
      </w:r>
      <w:r>
        <w:rPr>
          <w:rFonts w:hint="eastAsia"/>
        </w:rPr>
        <w:t>宜</w:t>
      </w:r>
      <w:r>
        <w:t>考虑梁与弹性</w:t>
      </w:r>
      <w:r>
        <w:rPr>
          <w:rFonts w:hint="eastAsia"/>
        </w:rPr>
        <w:t>楼</w:t>
      </w:r>
      <w:r>
        <w:t>板</w:t>
      </w:r>
      <w:r>
        <w:rPr>
          <w:rFonts w:hint="eastAsia"/>
        </w:rPr>
        <w:t>间的</w:t>
      </w:r>
      <w:r>
        <w:t>变形协调</w:t>
      </w:r>
      <w:bookmarkEnd w:id="196"/>
      <w:bookmarkEnd w:id="197"/>
      <w:r>
        <w:rPr>
          <w:rFonts w:hint="eastAsia"/>
        </w:rPr>
        <w:t>；</w:t>
      </w:r>
    </w:p>
    <w:p>
      <w:pPr>
        <w:pStyle w:val="70"/>
      </w:pPr>
      <w:r>
        <w:rPr>
          <w:b/>
          <w:bCs/>
        </w:rPr>
        <w:t>3</w:t>
      </w:r>
      <w:r>
        <w:tab/>
      </w:r>
      <w:r>
        <w:rPr>
          <w:rFonts w:hint="eastAsia"/>
        </w:rPr>
        <w:t>按弹性楼板计算带叠合层的预应力空心板楼盖平面内刚度时应忽略预应力空心板平面内刚度，仅考虑后浇叠合层的平面内刚度。</w:t>
      </w:r>
    </w:p>
    <w:p>
      <w:pPr>
        <w:pStyle w:val="4"/>
      </w:pPr>
      <w:bookmarkStart w:id="199" w:name="_Toc86067865"/>
      <w:bookmarkStart w:id="200" w:name="_Ref86135196"/>
      <w:r>
        <w:t>竖向荷载作用下，可对</w:t>
      </w:r>
      <w:r>
        <w:rPr>
          <w:rFonts w:hint="eastAsia"/>
        </w:rPr>
        <w:t>压接装配框架</w:t>
      </w:r>
      <w:r>
        <w:t>梁端负弯矩进行调幅，</w:t>
      </w:r>
      <w:r>
        <w:rPr>
          <w:rFonts w:hint="eastAsia"/>
        </w:rPr>
        <w:t>弯矩</w:t>
      </w:r>
      <w:r>
        <w:t>调幅系数</w:t>
      </w:r>
      <w:r>
        <w:rPr>
          <w:rFonts w:hint="eastAsia"/>
        </w:rPr>
        <w:t>不宜小于</w:t>
      </w:r>
      <w:r>
        <w:t>0.75</w:t>
      </w:r>
      <w:r>
        <w:rPr>
          <w:rFonts w:hint="eastAsia"/>
        </w:rPr>
        <w:t>；调幅后，</w:t>
      </w:r>
      <w:r>
        <w:t>压接装配框架梁跨中截面正弯矩设计值</w:t>
      </w:r>
      <w:r>
        <w:rPr>
          <w:rFonts w:hint="eastAsia"/>
        </w:rPr>
        <w:t>不应小于</w:t>
      </w:r>
      <w:r>
        <w:t>竖向荷载作用下按简支梁计算的跨中弯矩设计值的</w:t>
      </w:r>
      <w:r>
        <w:rPr>
          <w:rFonts w:hint="eastAsia"/>
        </w:rPr>
        <w:t>65</w:t>
      </w:r>
      <w:r>
        <w:t>%。</w:t>
      </w:r>
      <w:bookmarkEnd w:id="199"/>
      <w:bookmarkEnd w:id="200"/>
    </w:p>
    <w:p>
      <w:pPr>
        <w:pStyle w:val="4"/>
      </w:pPr>
      <w:bookmarkStart w:id="201" w:name="_Ref86135246"/>
      <w:bookmarkStart w:id="202" w:name="_Toc86067867"/>
      <w:bookmarkStart w:id="203" w:name="_Ref88746607"/>
      <w:r>
        <w:rPr>
          <w:rFonts w:hint="eastAsia"/>
        </w:rPr>
        <w:t>预应力压接装配板柱可按等代平面交叉梁系进行结构分析。在构件承载力计算和裂缝控制验算时，应考虑预应力的综合作用。</w:t>
      </w:r>
    </w:p>
    <w:p>
      <w:pPr>
        <w:pStyle w:val="4"/>
      </w:pPr>
      <w:bookmarkStart w:id="204" w:name="_Ref197681595"/>
      <w:r>
        <w:rPr>
          <w:rFonts w:hint="eastAsia"/>
        </w:rPr>
        <w:t>压接装配板柱的楼板采用等代平面交叉梁系方法计算时，等代梁截面可采用图</w:t>
      </w:r>
      <w:r>
        <w:fldChar w:fldCharType="begin"/>
      </w:r>
      <w:r>
        <w:instrText xml:space="preserve"> </w:instrText>
      </w:r>
      <w:r>
        <w:rPr>
          <w:rFonts w:hint="eastAsia"/>
        </w:rPr>
        <w:instrText xml:space="preserve">REF _Ref197681595 \r \h</w:instrText>
      </w:r>
      <w:r>
        <w:instrText xml:space="preserve"> </w:instrText>
      </w:r>
      <w:r>
        <w:fldChar w:fldCharType="separate"/>
      </w:r>
      <w:r>
        <w:t>5. 2. 6</w:t>
      </w:r>
      <w:r>
        <w:fldChar w:fldCharType="end"/>
      </w:r>
      <w:r>
        <w:rPr>
          <w:rFonts w:hint="eastAsia"/>
        </w:rPr>
        <w:t>的取法，I型预应力梁不含明槽和叠合层，II型预应力梁含明槽不含叠合层，III型预应力梁含明槽和叠合层。</w:t>
      </w:r>
      <w:bookmarkEnd w:id="204"/>
    </w:p>
    <w:p>
      <w:pPr>
        <w:pStyle w:val="69"/>
      </w:pPr>
      <w:r>
        <w:drawing>
          <wp:inline distT="0" distB="0" distL="0" distR="0">
            <wp:extent cx="4107180" cy="3599815"/>
            <wp:effectExtent l="0" t="0" r="7620" b="635"/>
            <wp:docPr id="2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4120358" cy="3611886"/>
                    </a:xfrm>
                    <a:prstGeom prst="rect">
                      <a:avLst/>
                    </a:prstGeom>
                    <a:noFill/>
                    <a:ln>
                      <a:noFill/>
                    </a:ln>
                  </pic:spPr>
                </pic:pic>
              </a:graphicData>
            </a:graphic>
          </wp:inline>
        </w:drawing>
      </w:r>
    </w:p>
    <w:p>
      <w:pPr>
        <w:pStyle w:val="69"/>
      </w:pPr>
      <w:r>
        <w:rPr>
          <w:rFonts w:hint="eastAsia"/>
        </w:rPr>
        <w:t>图</w:t>
      </w:r>
      <w:r>
        <w:fldChar w:fldCharType="begin"/>
      </w:r>
      <w:r>
        <w:instrText xml:space="preserve"> </w:instrText>
      </w:r>
      <w:r>
        <w:rPr>
          <w:rFonts w:hint="eastAsia"/>
        </w:rPr>
        <w:instrText xml:space="preserve">REF _Ref197681595 \r \h</w:instrText>
      </w:r>
      <w:r>
        <w:instrText xml:space="preserve"> </w:instrText>
      </w:r>
      <w:r>
        <w:fldChar w:fldCharType="separate"/>
      </w:r>
      <w:r>
        <w:t>5. 2. 6</w:t>
      </w:r>
      <w:r>
        <w:fldChar w:fldCharType="end"/>
      </w:r>
      <w:r>
        <w:t xml:space="preserve">  </w:t>
      </w:r>
      <w:r>
        <w:rPr>
          <w:rFonts w:hint="eastAsia"/>
        </w:rPr>
        <w:t>压接装配板柱等代平面交叉梁系中等代梁截面</w:t>
      </w:r>
    </w:p>
    <w:p>
      <w:pPr>
        <w:pStyle w:val="69"/>
      </w:pPr>
      <w:r>
        <w:t>1—</w:t>
      </w:r>
      <w:r>
        <w:rPr>
          <w:rFonts w:hint="eastAsia"/>
        </w:rPr>
        <w:t>柱</w:t>
      </w:r>
      <w:r>
        <w:t>；2—</w:t>
      </w:r>
      <w:r>
        <w:rPr>
          <w:rFonts w:hint="eastAsia"/>
        </w:rPr>
        <w:t>框架梁（图中最左面部面斜线部分）；</w:t>
      </w:r>
      <w:r>
        <w:t>3—</w:t>
      </w:r>
      <w:r>
        <w:rPr>
          <w:rFonts w:hint="eastAsia"/>
        </w:rPr>
        <w:t>内肋（图中剖面中间两种斜线部分）；</w:t>
      </w:r>
    </w:p>
    <w:p>
      <w:pPr>
        <w:pStyle w:val="69"/>
      </w:pPr>
      <w:r>
        <w:t>4—</w:t>
      </w:r>
      <w:r>
        <w:rPr>
          <w:rFonts w:hint="eastAsia"/>
        </w:rPr>
        <w:t>拼缝梁（整接中无）（图中最右面剖面斜线部分）；</w:t>
      </w:r>
      <w:r>
        <w:t>h—</w:t>
      </w:r>
      <w:r>
        <w:rPr>
          <w:rFonts w:hint="eastAsia"/>
        </w:rPr>
        <w:t>预制楼板高度；</w:t>
      </w:r>
    </w:p>
    <w:p>
      <w:pPr>
        <w:pStyle w:val="69"/>
      </w:pPr>
      <m:oMath>
        <m:r>
          <m:rPr/>
          <w:rPr>
            <w:rFonts w:ascii="Cambria Math" w:hAnsi="Cambria Math"/>
          </w:rPr>
          <m:t>δ</m:t>
        </m:r>
      </m:oMath>
      <w:r>
        <w:t>—</w:t>
      </w:r>
      <w:r>
        <w:rPr>
          <w:rFonts w:hint="eastAsia"/>
        </w:rPr>
        <w:t>叠合层厚度；</w:t>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2</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3</m:t>
            </m:r>
            <m:ctrlPr>
              <w:rPr>
                <w:rFonts w:ascii="Cambria Math" w:hAnsi="Cambria Math"/>
              </w:rPr>
            </m:ctrlPr>
          </m:sub>
        </m:sSub>
      </m:oMath>
      <w:r>
        <w:t>—</w:t>
      </w:r>
      <w:r>
        <w:rPr>
          <w:rFonts w:hint="eastAsia"/>
        </w:rPr>
        <w:t>肋净距</w:t>
      </w:r>
    </w:p>
    <w:bookmarkEnd w:id="201"/>
    <w:bookmarkEnd w:id="202"/>
    <w:bookmarkEnd w:id="203"/>
    <w:p>
      <w:pPr>
        <w:pStyle w:val="4"/>
      </w:pPr>
      <w:bookmarkStart w:id="205" w:name="_Ref198037172"/>
      <w:bookmarkStart w:id="206" w:name="_Ref89252986"/>
      <w:r>
        <w:rPr>
          <w:rFonts w:hint="eastAsia"/>
        </w:rPr>
        <w:t>压接装配板柱的内力计算结果可按下述规定进行调整、调幅和折减：</w:t>
      </w:r>
      <w:bookmarkEnd w:id="205"/>
    </w:p>
    <w:p>
      <w:pPr>
        <w:pStyle w:val="70"/>
      </w:pPr>
      <w:r>
        <w:rPr>
          <w:rFonts w:hint="eastAsia"/>
          <w:b/>
        </w:rPr>
        <w:t>1</w:t>
      </w:r>
      <w:r>
        <w:rPr>
          <w:b/>
        </w:rPr>
        <w:tab/>
      </w:r>
      <w:r>
        <w:rPr>
          <w:rFonts w:hint="eastAsia"/>
        </w:rPr>
        <w:t>竖向荷载及上抬力作用下预应力梁支座超静定的荷载弯矩及预应力综合弯矩两者可采用0</w:t>
      </w:r>
      <w:r>
        <w:t>.8</w:t>
      </w:r>
      <w:r>
        <w:rPr>
          <w:rFonts w:hint="eastAsia"/>
        </w:rPr>
        <w:t>调幅系数，跨中弯矩应相应增大；</w:t>
      </w:r>
    </w:p>
    <w:p>
      <w:pPr>
        <w:pStyle w:val="70"/>
      </w:pPr>
      <w:r>
        <w:rPr>
          <w:rFonts w:hint="eastAsia"/>
          <w:b/>
        </w:rPr>
        <w:t>2</w:t>
      </w:r>
      <w:r>
        <w:tab/>
      </w:r>
      <w:r>
        <w:rPr>
          <w:rFonts w:hint="eastAsia"/>
        </w:rPr>
        <w:t>柱内倾作用下框架的预应力综合弯矩可乘以0</w:t>
      </w:r>
      <w:r>
        <w:t>.6</w:t>
      </w:r>
      <w:r>
        <w:rPr>
          <w:rFonts w:hint="eastAsia"/>
        </w:rPr>
        <w:t>的折减系数，但端偏心弯矩及外推柱作用下的框架预应力综合弯矩不得进行调幅或折减；</w:t>
      </w:r>
    </w:p>
    <w:p>
      <w:pPr>
        <w:pStyle w:val="70"/>
      </w:pPr>
      <w:r>
        <w:rPr>
          <w:rFonts w:hint="eastAsia"/>
          <w:b/>
        </w:rPr>
        <w:t>3</w:t>
      </w:r>
      <w:r>
        <w:tab/>
      </w:r>
      <w:r>
        <w:rPr>
          <w:rFonts w:hint="eastAsia"/>
        </w:rPr>
        <w:t>在地震作用下，等代框架-剪力墙等的内力应按现行国家标准《建筑抗震设计标准》</w:t>
      </w:r>
      <w:r>
        <w:t>GB/T</w:t>
      </w:r>
      <w:r>
        <w:rPr>
          <w:rFonts w:hint="eastAsia"/>
        </w:rPr>
        <w:t xml:space="preserve"> </w:t>
      </w:r>
      <w:r>
        <w:t>50011</w:t>
      </w:r>
      <w:r>
        <w:rPr>
          <w:rFonts w:hint="eastAsia"/>
        </w:rPr>
        <w:t>的规定进行调整。</w:t>
      </w:r>
    </w:p>
    <w:p>
      <w:pPr>
        <w:pStyle w:val="4"/>
      </w:pPr>
      <w:bookmarkStart w:id="207" w:name="_Ref198037214"/>
      <w:r>
        <w:rPr>
          <w:rFonts w:hint="eastAsia"/>
        </w:rPr>
        <w:t>预应力压接装配式结构，当符合下列情况之一时应进行罕遇地震作用下薄弱层的弹塑性变形验算：</w:t>
      </w:r>
      <w:bookmarkEnd w:id="206"/>
      <w:bookmarkEnd w:id="207"/>
    </w:p>
    <w:p>
      <w:pPr>
        <w:pStyle w:val="5"/>
        <w:ind w:firstLine="482"/>
      </w:pPr>
      <w:r>
        <w:rPr>
          <w:rFonts w:hint="eastAsia"/>
          <w:b/>
        </w:rPr>
        <w:t>1</w:t>
      </w:r>
      <w:r>
        <w:tab/>
      </w:r>
      <w:r>
        <w:rPr>
          <w:rFonts w:hint="eastAsia"/>
        </w:rPr>
        <w:t>采用抗震等级为一级、特一级的压接装配框架组成的各类结构；</w:t>
      </w:r>
    </w:p>
    <w:p>
      <w:pPr>
        <w:pStyle w:val="5"/>
        <w:ind w:firstLine="482"/>
      </w:pPr>
      <w:r>
        <w:rPr>
          <w:rFonts w:hint="eastAsia"/>
          <w:b/>
        </w:rPr>
        <w:t>2</w:t>
      </w:r>
      <w:r>
        <w:tab/>
      </w:r>
      <w:r>
        <w:rPr>
          <w:rFonts w:hint="eastAsia"/>
        </w:rPr>
        <w:t>楼层屈服强度系数小于0.5的框架结构和排架结构；</w:t>
      </w:r>
    </w:p>
    <w:p>
      <w:pPr>
        <w:pStyle w:val="5"/>
        <w:ind w:firstLine="482"/>
      </w:pPr>
      <w:r>
        <w:rPr>
          <w:b/>
        </w:rPr>
        <w:t>3</w:t>
      </w:r>
      <w:r>
        <w:tab/>
      </w:r>
      <w:r>
        <w:rPr>
          <w:rFonts w:hint="eastAsia"/>
        </w:rPr>
        <w:t>特殊设防类和重点设防类的建筑；</w:t>
      </w:r>
    </w:p>
    <w:p>
      <w:pPr>
        <w:pStyle w:val="5"/>
        <w:ind w:firstLine="482"/>
      </w:pPr>
      <w:r>
        <w:rPr>
          <w:b/>
        </w:rPr>
        <w:t>4</w:t>
      </w:r>
      <w:r>
        <w:tab/>
      </w:r>
      <w:r>
        <w:rPr>
          <w:rFonts w:hint="eastAsia"/>
        </w:rPr>
        <w:t>III、IV类场地中，层高大于6米的单层或多层厂房；</w:t>
      </w:r>
    </w:p>
    <w:p>
      <w:pPr>
        <w:pStyle w:val="5"/>
        <w:ind w:firstLine="482"/>
      </w:pPr>
      <w:r>
        <w:rPr>
          <w:b/>
        </w:rPr>
        <w:t>5</w:t>
      </w:r>
      <w:r>
        <w:tab/>
      </w:r>
      <w:r>
        <w:rPr>
          <w:rFonts w:hint="eastAsia"/>
        </w:rPr>
        <w:t>高度大于100米的结构；</w:t>
      </w:r>
    </w:p>
    <w:p>
      <w:pPr>
        <w:pStyle w:val="5"/>
        <w:ind w:firstLine="482"/>
      </w:pPr>
      <w:r>
        <w:rPr>
          <w:b/>
        </w:rPr>
        <w:t>6</w:t>
      </w:r>
      <w:r>
        <w:tab/>
      </w:r>
      <w:r>
        <w:rPr>
          <w:rFonts w:hint="eastAsia"/>
        </w:rPr>
        <w:t>具有明显薄弱部位的结构；</w:t>
      </w:r>
    </w:p>
    <w:p>
      <w:pPr>
        <w:pStyle w:val="5"/>
        <w:ind w:firstLine="482"/>
      </w:pPr>
      <w:r>
        <w:rPr>
          <w:b/>
        </w:rPr>
        <w:t>7</w:t>
      </w:r>
      <w:r>
        <w:tab/>
      </w:r>
      <w:r>
        <w:rPr>
          <w:rFonts w:hint="eastAsia"/>
        </w:rPr>
        <w:t>采用隔震和消能减震设计的结构。</w:t>
      </w:r>
    </w:p>
    <w:p>
      <w:pPr>
        <w:pStyle w:val="4"/>
      </w:pPr>
      <w:bookmarkStart w:id="208" w:name="_Ref89252999"/>
      <w:r>
        <w:rPr>
          <w:rFonts w:hint="eastAsia"/>
        </w:rPr>
        <w:t>预应力压接装配式结构的弹塑性静力或动力分析</w:t>
      </w:r>
      <w:r>
        <w:t>应符合下列规定：</w:t>
      </w:r>
      <w:bookmarkEnd w:id="208"/>
    </w:p>
    <w:p>
      <w:pPr>
        <w:pStyle w:val="70"/>
      </w:pPr>
      <w:r>
        <w:rPr>
          <w:rFonts w:hint="eastAsia"/>
          <w:b/>
        </w:rPr>
        <w:t>1</w:t>
      </w:r>
      <w:r>
        <w:rPr>
          <w:b/>
        </w:rPr>
        <w:tab/>
      </w:r>
      <w:r>
        <w:rPr>
          <w:rFonts w:hint="eastAsia"/>
        </w:rPr>
        <w:t>地震作用应符合</w:t>
      </w:r>
      <w:r>
        <w:t>现行国家标准《建筑抗震设计</w:t>
      </w:r>
      <w:r>
        <w:rPr>
          <w:rFonts w:hint="eastAsia"/>
        </w:rPr>
        <w:t>标准</w:t>
      </w:r>
      <w:r>
        <w:t>》GB/T 50011</w:t>
      </w:r>
      <w:r>
        <w:rPr>
          <w:rFonts w:hint="eastAsia"/>
        </w:rPr>
        <w:t>和</w:t>
      </w:r>
      <w:r>
        <w:t>《建筑与市政工程抗震通用规范》GB 55002</w:t>
      </w:r>
      <w:r>
        <w:rPr>
          <w:rFonts w:hint="eastAsia"/>
        </w:rPr>
        <w:t>的有关规定，其他</w:t>
      </w:r>
      <w:r>
        <w:t>荷载与作用应符合现行国家标准《建筑结构荷载规范》GB 50009</w:t>
      </w:r>
      <w:r>
        <w:rPr>
          <w:rFonts w:hint="eastAsia"/>
        </w:rPr>
        <w:t>和《工程结构通用规范》G</w:t>
      </w:r>
      <w:r>
        <w:t>B 55001</w:t>
      </w:r>
      <w:r>
        <w:rPr>
          <w:rFonts w:hint="eastAsia"/>
        </w:rPr>
        <w:t>的有关</w:t>
      </w:r>
      <w:r>
        <w:t>规定</w:t>
      </w:r>
      <w:r>
        <w:rPr>
          <w:rFonts w:hint="eastAsia"/>
        </w:rPr>
        <w:t>；</w:t>
      </w:r>
    </w:p>
    <w:p>
      <w:pPr>
        <w:pStyle w:val="70"/>
        <w:rPr>
          <w:strike/>
          <w:color w:val="ED7D31" w:themeColor="accent2"/>
          <w14:textFill>
            <w14:solidFill>
              <w14:schemeClr w14:val="accent2"/>
            </w14:solidFill>
          </w14:textFill>
        </w:rPr>
      </w:pPr>
      <w:r>
        <w:rPr>
          <w:rFonts w:hint="eastAsia"/>
          <w:b/>
        </w:rPr>
        <w:t>2</w:t>
      </w:r>
      <w:r>
        <w:rPr>
          <w:b/>
        </w:rPr>
        <w:tab/>
      </w:r>
      <w:r>
        <w:t>压接装配梁柱节点弹塑性计算模型应能够模拟梁在较大变形下的接触开合行为，可按</w:t>
      </w:r>
      <w:r>
        <w:rPr>
          <w:rFonts w:hint="eastAsia"/>
        </w:rPr>
        <w:t>本规程</w:t>
      </w:r>
      <w:r>
        <w:fldChar w:fldCharType="begin"/>
      </w:r>
      <w:r>
        <w:instrText xml:space="preserve"> </w:instrText>
      </w:r>
      <w:r>
        <w:rPr>
          <w:rFonts w:hint="eastAsia"/>
        </w:rPr>
        <w:instrText xml:space="preserve">REF _Ref172100135 \r \h</w:instrText>
      </w:r>
      <w:r>
        <w:instrText xml:space="preserve"> </w:instrText>
      </w:r>
      <w:r>
        <w:fldChar w:fldCharType="separate"/>
      </w:r>
      <w:r>
        <w:rPr>
          <w:rFonts w:hint="eastAsia"/>
        </w:rPr>
        <w:t>附录B</w:t>
      </w:r>
      <w:r>
        <w:fldChar w:fldCharType="end"/>
      </w:r>
      <w:r>
        <w:t>进行弹塑性建模</w:t>
      </w:r>
      <w:r>
        <w:rPr>
          <w:rFonts w:hint="eastAsia"/>
        </w:rPr>
        <w:t>计算；</w:t>
      </w:r>
    </w:p>
    <w:p>
      <w:pPr>
        <w:pStyle w:val="70"/>
      </w:pPr>
      <w:r>
        <w:rPr>
          <w:rFonts w:hint="eastAsia"/>
          <w:b/>
        </w:rPr>
        <w:t>3</w:t>
      </w:r>
      <w:r>
        <w:rPr>
          <w:b/>
        </w:rPr>
        <w:tab/>
      </w:r>
      <w:r>
        <w:t>构件</w:t>
      </w:r>
      <w:r>
        <w:rPr>
          <w:rFonts w:hint="eastAsia"/>
        </w:rPr>
        <w:t>的几何尺寸和配筋、材料等应按设计实际结果取用</w:t>
      </w:r>
      <w:r>
        <w:t>；</w:t>
      </w:r>
    </w:p>
    <w:p>
      <w:pPr>
        <w:pStyle w:val="70"/>
      </w:pPr>
      <w:r>
        <w:rPr>
          <w:rFonts w:hint="eastAsia"/>
          <w:b/>
        </w:rPr>
        <w:t>4</w:t>
      </w:r>
      <w:r>
        <w:rPr>
          <w:b/>
        </w:rPr>
        <w:tab/>
      </w:r>
      <w:r>
        <w:t>应根据</w:t>
      </w:r>
      <w:r>
        <w:rPr>
          <w:rFonts w:hint="eastAsia"/>
        </w:rPr>
        <w:t>实际</w:t>
      </w:r>
      <w:r>
        <w:t>情况考虑P-</w:t>
      </w:r>
      <w:r>
        <w:rPr>
          <w:rFonts w:ascii="Cambria Math" w:hAnsi="Cambria Math" w:cs="Cambria Math"/>
        </w:rPr>
        <w:t>△</w:t>
      </w:r>
      <w:r>
        <w:t>效应或几何非线性影响</w:t>
      </w:r>
      <w:r>
        <w:rPr>
          <w:rFonts w:hint="eastAsia"/>
        </w:rPr>
        <w:t>；</w:t>
      </w:r>
    </w:p>
    <w:p>
      <w:pPr>
        <w:pStyle w:val="70"/>
      </w:pPr>
      <w:r>
        <w:rPr>
          <w:rFonts w:hint="eastAsia"/>
          <w:b/>
        </w:rPr>
        <w:t>5</w:t>
      </w:r>
      <w:r>
        <w:rPr>
          <w:b/>
        </w:rPr>
        <w:tab/>
      </w:r>
      <w:r>
        <w:t>结构阻尼比</w:t>
      </w:r>
      <w:r>
        <w:rPr>
          <w:rFonts w:hint="eastAsia"/>
        </w:rPr>
        <w:t>设防地震作用下</w:t>
      </w:r>
      <w:r>
        <w:t>可取0.05</w:t>
      </w:r>
      <w:r>
        <w:rPr>
          <w:rFonts w:hint="eastAsia"/>
        </w:rPr>
        <w:t>，罕遇地震作用下可取0</w:t>
      </w:r>
      <w:r>
        <w:t>.07</w:t>
      </w:r>
      <w:r>
        <w:rPr>
          <w:rFonts w:hint="eastAsia"/>
        </w:rPr>
        <w:t>；</w:t>
      </w:r>
    </w:p>
    <w:p>
      <w:pPr>
        <w:pStyle w:val="70"/>
      </w:pPr>
      <w:r>
        <w:rPr>
          <w:rFonts w:hint="eastAsia"/>
          <w:b/>
        </w:rPr>
        <w:t>6</w:t>
      </w:r>
      <w:r>
        <w:rPr>
          <w:b/>
        </w:rPr>
        <w:tab/>
      </w:r>
      <w:r>
        <w:rPr>
          <w:rFonts w:hint="eastAsia"/>
        </w:rPr>
        <w:t>宜按</w:t>
      </w:r>
      <w:r>
        <w:t>国家</w:t>
      </w:r>
      <w:r>
        <w:rPr>
          <w:rFonts w:hint="eastAsia"/>
        </w:rPr>
        <w:t>现行</w:t>
      </w:r>
      <w:r>
        <w:t>标准《建筑抗震设计</w:t>
      </w:r>
      <w:r>
        <w:rPr>
          <w:rFonts w:hint="eastAsia"/>
        </w:rPr>
        <w:t>标准</w:t>
      </w:r>
      <w:r>
        <w:t>》GB/T 50011</w:t>
      </w:r>
      <w:r>
        <w:rPr>
          <w:rFonts w:hint="eastAsia"/>
        </w:rPr>
        <w:t>、</w:t>
      </w:r>
      <w:r>
        <w:t>《高层建筑混凝土结构技术规程》JGJ 3</w:t>
      </w:r>
      <w:r>
        <w:rPr>
          <w:rFonts w:hint="eastAsia"/>
        </w:rPr>
        <w:t>有关规定对</w:t>
      </w:r>
      <w:r>
        <w:t>结构抗震性能</w:t>
      </w:r>
      <w:r>
        <w:rPr>
          <w:rFonts w:hint="eastAsia"/>
        </w:rPr>
        <w:t>进行评估。</w:t>
      </w:r>
    </w:p>
    <w:p/>
    <w:p>
      <w:pPr>
        <w:pStyle w:val="3"/>
      </w:pPr>
      <w:bookmarkStart w:id="209" w:name="_Toc86067874"/>
      <w:bookmarkStart w:id="210" w:name="_Toc91664406"/>
      <w:bookmarkStart w:id="211" w:name="_Toc91664516"/>
      <w:bookmarkStart w:id="212" w:name="_Toc202345818"/>
      <w:bookmarkStart w:id="213" w:name="_Toc92182252"/>
      <w:r>
        <w:t>梁</w:t>
      </w:r>
      <w:r>
        <w:rPr>
          <w:rFonts w:hint="eastAsia"/>
        </w:rPr>
        <w:t>柱构件</w:t>
      </w:r>
      <w:r>
        <w:t>设计</w:t>
      </w:r>
      <w:bookmarkEnd w:id="209"/>
      <w:bookmarkEnd w:id="210"/>
      <w:bookmarkEnd w:id="211"/>
      <w:bookmarkEnd w:id="212"/>
      <w:bookmarkEnd w:id="213"/>
      <w:bookmarkStart w:id="214" w:name="_Toc197444881"/>
      <w:bookmarkEnd w:id="214"/>
    </w:p>
    <w:p>
      <w:pPr>
        <w:pStyle w:val="4"/>
      </w:pPr>
      <w:bookmarkStart w:id="215" w:name="_Ref167092387"/>
      <w:bookmarkStart w:id="216" w:name="_Toc86067875"/>
      <w:bookmarkStart w:id="217" w:name="_Ref86135455"/>
      <w:r>
        <w:rPr>
          <w:rFonts w:hint="eastAsia"/>
        </w:rPr>
        <w:t>压接装配框架的框架</w:t>
      </w:r>
      <w:r>
        <w:t>梁</w:t>
      </w:r>
      <w:r>
        <w:rPr>
          <w:rFonts w:hint="eastAsia"/>
        </w:rPr>
        <w:t>应符合下列规定：</w:t>
      </w:r>
      <w:bookmarkEnd w:id="215"/>
    </w:p>
    <w:p>
      <w:pPr>
        <w:pStyle w:val="70"/>
      </w:pPr>
      <w:r>
        <w:rPr>
          <w:rFonts w:hint="eastAsia"/>
          <w:b/>
        </w:rPr>
        <w:t>1</w:t>
      </w:r>
      <w:r>
        <w:tab/>
      </w:r>
      <w:r>
        <w:rPr>
          <w:rFonts w:hint="eastAsia"/>
        </w:rPr>
        <w:t>框架梁的跨高比</w:t>
      </w:r>
      <w:r>
        <w:t>宜</w:t>
      </w:r>
      <w:r>
        <w:rPr>
          <w:rFonts w:hint="eastAsia"/>
        </w:rPr>
        <w:t>为</w:t>
      </w:r>
      <w:r>
        <w:t>12~20</w:t>
      </w:r>
      <w:r>
        <w:rPr>
          <w:rFonts w:hint="eastAsia"/>
        </w:rPr>
        <w:t>；截面</w:t>
      </w:r>
      <w:r>
        <w:t>高宽比不宜大于4</w:t>
      </w:r>
      <w:r>
        <w:rPr>
          <w:rFonts w:hint="eastAsia"/>
        </w:rPr>
        <w:t>，截面</w:t>
      </w:r>
      <w:r>
        <w:t>宽度不宜小于300mm</w:t>
      </w:r>
      <w:r>
        <w:rPr>
          <w:rFonts w:hint="eastAsia"/>
        </w:rPr>
        <w:t>；一级框架梁宽度尚不应小于柱宽的一半</w:t>
      </w:r>
      <w:bookmarkEnd w:id="216"/>
      <w:bookmarkEnd w:id="217"/>
      <w:r>
        <w:rPr>
          <w:rFonts w:hint="eastAsia"/>
        </w:rPr>
        <w:t>；</w:t>
      </w:r>
    </w:p>
    <w:p>
      <w:pPr>
        <w:pStyle w:val="70"/>
      </w:pPr>
      <w:r>
        <w:rPr>
          <w:rFonts w:hint="eastAsia"/>
          <w:b/>
        </w:rPr>
        <w:t>2</w:t>
      </w:r>
      <w:r>
        <w:tab/>
      </w:r>
      <w:r>
        <w:rPr>
          <w:rFonts w:hint="eastAsia"/>
        </w:rPr>
        <w:t>框架梁预制部分端面应设置键槽，键槽表面宜采用粗糙面。梁端键槽深度不宜小于40mm, 键槽端部斜面倾角不宜大于30°，预制梁内预埋的金属波纹管宜伸出梁端面5mm；</w:t>
      </w:r>
    </w:p>
    <w:p>
      <w:pPr>
        <w:pStyle w:val="70"/>
      </w:pPr>
      <w:r>
        <w:rPr>
          <w:rFonts w:hint="eastAsia"/>
          <w:b/>
        </w:rPr>
        <w:t>3</w:t>
      </w:r>
      <w:r>
        <w:rPr>
          <w:rFonts w:hint="eastAsia"/>
          <w:b/>
        </w:rPr>
        <w:tab/>
      </w:r>
      <w:r>
        <w:rPr>
          <w:rFonts w:hint="eastAsia"/>
        </w:rPr>
        <w:t>梁端耗能钢筋宜单排布置，直径不应小于16mm，数量不应少于２根；当梁宽较小时，梁端耗能钢筋可采用单排并筋的形式布置；</w:t>
      </w:r>
    </w:p>
    <w:p>
      <w:pPr>
        <w:pStyle w:val="70"/>
      </w:pPr>
      <w:r>
        <w:rPr>
          <w:rFonts w:hint="eastAsia"/>
          <w:b/>
        </w:rPr>
        <w:t>4</w:t>
      </w:r>
      <w:r>
        <w:tab/>
      </w:r>
      <w:r>
        <w:t>当</w:t>
      </w:r>
      <w:r>
        <w:rPr>
          <w:rFonts w:hint="eastAsia"/>
        </w:rPr>
        <w:t>压接装配框架</w:t>
      </w:r>
      <w:r>
        <w:t>梁的净跨度大于4m时，</w:t>
      </w:r>
      <w:r>
        <w:rPr>
          <w:rFonts w:hint="eastAsia"/>
        </w:rPr>
        <w:t>梁</w:t>
      </w:r>
      <w:r>
        <w:t>跨中预应力</w:t>
      </w:r>
      <w:r>
        <w:rPr>
          <w:rFonts w:hint="eastAsia"/>
        </w:rPr>
        <w:t>筋</w:t>
      </w:r>
      <w:r>
        <w:t>宜设有粘结段</w:t>
      </w:r>
      <w:r>
        <w:rPr>
          <w:rFonts w:hint="eastAsia"/>
        </w:rPr>
        <w:t>；</w:t>
      </w:r>
    </w:p>
    <w:p>
      <w:pPr>
        <w:pStyle w:val="70"/>
      </w:pPr>
      <w:r>
        <w:rPr>
          <w:rFonts w:hint="eastAsia"/>
          <w:b/>
        </w:rPr>
        <w:t>5</w:t>
      </w:r>
      <w:r>
        <w:tab/>
      </w:r>
      <w:r>
        <w:rPr>
          <w:rFonts w:hint="eastAsia"/>
        </w:rPr>
        <w:t>当梁跨中预应力筋设置粘接段后，在边柱锚固端区间预应力筋无粘结段的长度不宜小于2m，在中柱两侧区间预应力钢绞线无粘结段的总长度不应小于3m；</w:t>
      </w:r>
    </w:p>
    <w:p>
      <w:pPr>
        <w:pStyle w:val="70"/>
      </w:pPr>
      <w:r>
        <w:rPr>
          <w:rFonts w:hint="eastAsia"/>
          <w:b/>
        </w:rPr>
        <w:t>6</w:t>
      </w:r>
      <w:r>
        <w:rPr>
          <w:rFonts w:hint="eastAsia"/>
        </w:rPr>
        <w:tab/>
      </w:r>
      <w:r>
        <w:rPr>
          <w:rFonts w:hint="eastAsia"/>
        </w:rPr>
        <w:t>当采用梁板柱复合节点时，框架梁</w:t>
      </w:r>
      <w:r>
        <w:t>应</w:t>
      </w:r>
      <w:r>
        <w:rPr>
          <w:rFonts w:hint="eastAsia"/>
        </w:rPr>
        <w:t>为叠合</w:t>
      </w:r>
      <w:r>
        <w:t>梁</w:t>
      </w:r>
      <w:r>
        <w:rPr>
          <w:rFonts w:hint="eastAsia"/>
        </w:rPr>
        <w:t>，后浇叠合层厚度不宜小于1</w:t>
      </w:r>
      <w:r>
        <w:t>50</w:t>
      </w:r>
      <w:r>
        <w:rPr>
          <w:rFonts w:hint="eastAsia"/>
        </w:rPr>
        <w:t>mm；预应力筋宜设置在框架梁预制部分截面的中心或偏下位置，但梁端部结合面处</w:t>
      </w:r>
      <w:r>
        <w:t>预应力</w:t>
      </w:r>
      <w:r>
        <w:rPr>
          <w:rFonts w:hint="eastAsia"/>
        </w:rPr>
        <w:t>筋</w:t>
      </w:r>
      <w:r>
        <w:t>孔道下缘距离梁</w:t>
      </w:r>
      <w:r>
        <w:rPr>
          <w:rFonts w:hint="eastAsia"/>
        </w:rPr>
        <w:t>端</w:t>
      </w:r>
      <w:r>
        <w:t>底部的距离不宜小于100mm</w:t>
      </w:r>
      <w:r>
        <w:rPr>
          <w:rFonts w:hint="eastAsia"/>
        </w:rPr>
        <w:t>；</w:t>
      </w:r>
    </w:p>
    <w:p>
      <w:pPr>
        <w:pStyle w:val="70"/>
      </w:pPr>
      <w:r>
        <w:rPr>
          <w:rFonts w:hint="eastAsia"/>
          <w:b/>
        </w:rPr>
        <w:t>7</w:t>
      </w:r>
      <w:r>
        <w:tab/>
      </w:r>
      <w:r>
        <w:rPr>
          <w:rFonts w:hint="eastAsia"/>
        </w:rPr>
        <w:t>采用自复位梁柱节点的压接装配框架梁两端上下部应设置梁端耗能钢筋，且梁端顶部和底部耗能钢筋的截面面积应相等。</w:t>
      </w:r>
    </w:p>
    <w:p>
      <w:pPr>
        <w:pStyle w:val="4"/>
      </w:pPr>
      <w:bookmarkStart w:id="218" w:name="_Ref88643492"/>
      <w:bookmarkStart w:id="219" w:name="_Toc86067877"/>
      <w:r>
        <w:rPr>
          <w:rFonts w:hint="eastAsia"/>
        </w:rPr>
        <w:t>采用梁板柱复合节点的压接装配框架梁两端上部应设置梁端耗能钢筋，</w:t>
      </w:r>
      <w:bookmarkEnd w:id="218"/>
      <w:r>
        <w:rPr>
          <w:rFonts w:hint="eastAsia"/>
        </w:rPr>
        <w:t>梁端耗能钢筋的长度不应小于梁净跨长度的1</w:t>
      </w:r>
      <w:r>
        <w:t>/3</w:t>
      </w:r>
      <w:r>
        <w:rPr>
          <w:rFonts w:hint="eastAsia"/>
        </w:rPr>
        <w:t>，且不应小于40d，d为梁端耗能钢筋的直径（图</w:t>
      </w:r>
      <w:r>
        <w:fldChar w:fldCharType="begin"/>
      </w:r>
      <w:r>
        <w:instrText xml:space="preserve"> </w:instrText>
      </w:r>
      <w:r>
        <w:rPr>
          <w:rFonts w:hint="eastAsia"/>
        </w:rPr>
        <w:instrText xml:space="preserve">REF _Ref88643492 \r \h</w:instrText>
      </w:r>
      <w:r>
        <w:instrText xml:space="preserve"> </w:instrText>
      </w:r>
      <w:r>
        <w:fldChar w:fldCharType="separate"/>
      </w:r>
      <w:r>
        <w:t>5. 3. 2</w:t>
      </w:r>
      <w:r>
        <w:fldChar w:fldCharType="end"/>
      </w:r>
      <w:r>
        <w:rPr>
          <w:rFonts w:hint="eastAsia"/>
        </w:rPr>
        <w:t>）。</w:t>
      </w:r>
    </w:p>
    <w:bookmarkEnd w:id="219"/>
    <w:p>
      <w:pPr>
        <w:pStyle w:val="69"/>
      </w:pPr>
      <w:r>
        <w:drawing>
          <wp:inline distT="0" distB="0" distL="0" distR="0">
            <wp:extent cx="4965700" cy="3028950"/>
            <wp:effectExtent l="0" t="0" r="635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4965700" cy="3028950"/>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5. 3. 2</w:t>
      </w:r>
      <w:r>
        <w:fldChar w:fldCharType="end"/>
      </w:r>
      <w:r>
        <w:t xml:space="preserve"> 压接装配框架预制梁配筋</w:t>
      </w:r>
    </w:p>
    <w:p>
      <w:pPr>
        <w:pStyle w:val="69"/>
      </w:pPr>
      <w:r>
        <w:t>1—梁端耗能钢筋；2—跨中架立筋；3—</w:t>
      </w:r>
      <w:r>
        <w:rPr>
          <w:rFonts w:hint="eastAsia"/>
        </w:rPr>
        <w:t>封闭箍筋</w:t>
      </w:r>
    </w:p>
    <w:p>
      <w:pPr>
        <w:pStyle w:val="4"/>
      </w:pPr>
      <w:bookmarkStart w:id="220" w:name="_Ref198037604"/>
      <w:bookmarkStart w:id="221" w:name="_Toc86067876"/>
      <w:bookmarkStart w:id="222" w:name="_Ref81317457"/>
      <w:r>
        <w:rPr>
          <w:rFonts w:hint="eastAsia"/>
        </w:rPr>
        <w:t>采用梁板柱复合节点的压接装配框架梁跨中截面上部纵向钢筋应按设计要求配置，并应符合下列规定：</w:t>
      </w:r>
      <w:bookmarkEnd w:id="220"/>
    </w:p>
    <w:p>
      <w:pPr>
        <w:pStyle w:val="70"/>
      </w:pPr>
      <w:r>
        <w:rPr>
          <w:rFonts w:hint="eastAsia"/>
          <w:b/>
        </w:rPr>
        <w:t>1</w:t>
      </w:r>
      <w:r>
        <w:rPr>
          <w:b/>
        </w:rPr>
        <w:tab/>
      </w:r>
      <w:r>
        <w:rPr>
          <w:rFonts w:hint="eastAsia"/>
        </w:rPr>
        <w:t>钢筋的直径不应小于12mm，也不宜大于25mm，数量不应少于２根；</w:t>
      </w:r>
    </w:p>
    <w:p>
      <w:pPr>
        <w:pStyle w:val="70"/>
      </w:pPr>
      <w:r>
        <w:rPr>
          <w:rFonts w:hint="eastAsia"/>
          <w:b/>
        </w:rPr>
        <w:t>2</w:t>
      </w:r>
      <w:r>
        <w:rPr>
          <w:rFonts w:hint="eastAsia"/>
        </w:rPr>
        <w:tab/>
      </w:r>
      <w:r>
        <w:rPr>
          <w:rFonts w:hint="eastAsia"/>
        </w:rPr>
        <w:t>按一级和二级抗震等级设计的框架梁跨中截面上部纵向钢筋面积不应小于梁端上部耗能钢筋面积的20%；</w:t>
      </w:r>
    </w:p>
    <w:p>
      <w:pPr>
        <w:pStyle w:val="70"/>
      </w:pPr>
      <w:r>
        <w:rPr>
          <w:rFonts w:hint="eastAsia"/>
          <w:b/>
        </w:rPr>
        <w:t>3</w:t>
      </w:r>
      <w:r>
        <w:rPr>
          <w:rFonts w:hint="eastAsia"/>
        </w:rPr>
        <w:tab/>
      </w:r>
      <w:r>
        <w:rPr>
          <w:rFonts w:hint="eastAsia"/>
        </w:rPr>
        <w:t>梁跨中截面上部纵向钢筋与对应的梁端耗能钢筋应采用搭接连接，搭接部位宜位于梁跨1</w:t>
      </w:r>
      <w:r>
        <w:t>/3</w:t>
      </w:r>
      <w:r>
        <w:rPr>
          <w:rFonts w:hint="eastAsia"/>
        </w:rPr>
        <w:t>长度范围内，搭接长度不应小于较小直径钢筋搭接长度</w:t>
      </w:r>
      <m:oMath>
        <m:sSub>
          <m:sSubPr>
            <m:ctrlPr>
              <w:rPr>
                <w:rFonts w:hint="eastAsia" w:ascii="Cambria Math" w:hAnsi="Cambria Math"/>
              </w:rPr>
            </m:ctrlPr>
          </m:sSubPr>
          <m:e>
            <m:r>
              <m:rPr/>
              <w:rPr>
                <w:rFonts w:hint="eastAsia" w:ascii="Cambria Math" w:hAnsi="Cambria Math"/>
              </w:rPr>
              <m:t>l</m:t>
            </m:r>
            <m:ctrlPr>
              <w:rPr>
                <w:rFonts w:hint="eastAsia" w:ascii="Cambria Math" w:hAnsi="Cambria Math"/>
              </w:rPr>
            </m:ctrlPr>
          </m:e>
          <m:sub>
            <m:r>
              <m:rPr/>
              <w:rPr>
                <w:rFonts w:hint="eastAsia" w:ascii="Cambria Math" w:hAnsi="Cambria Math"/>
              </w:rPr>
              <m:t>l</m:t>
            </m:r>
            <m:ctrlPr>
              <w:rPr>
                <w:rFonts w:hint="eastAsia" w:ascii="Cambria Math" w:hAnsi="Cambria Math"/>
              </w:rPr>
            </m:ctrlPr>
          </m:sub>
        </m:sSub>
      </m:oMath>
      <w:r>
        <w:rPr>
          <w:rFonts w:hint="eastAsia"/>
        </w:rPr>
        <w:t>。</w:t>
      </w:r>
      <w:bookmarkEnd w:id="221"/>
      <w:bookmarkEnd w:id="222"/>
    </w:p>
    <w:p>
      <w:pPr>
        <w:pStyle w:val="4"/>
      </w:pPr>
      <w:bookmarkStart w:id="223" w:name="_Ref198037718"/>
      <w:bookmarkStart w:id="224" w:name="_Ref86135560"/>
      <w:r>
        <w:rPr>
          <w:rFonts w:hint="eastAsia"/>
        </w:rPr>
        <w:t>采用梁板柱复合节点的压接装配框架梁下部纵向普通钢筋可采用通长钢筋与跨中附加钢筋相结合的布置形式，并应符合下列规定：</w:t>
      </w:r>
      <w:bookmarkEnd w:id="223"/>
    </w:p>
    <w:p>
      <w:pPr>
        <w:pStyle w:val="70"/>
      </w:pPr>
      <w:r>
        <w:rPr>
          <w:rFonts w:hint="eastAsia"/>
          <w:b/>
        </w:rPr>
        <w:t>1</w:t>
      </w:r>
      <w:r>
        <w:tab/>
      </w:r>
      <w:r>
        <w:rPr>
          <w:rFonts w:hint="eastAsia"/>
        </w:rPr>
        <w:t>通长钢筋的直径不应小于12mm，数量不应少于2根，且应满足箍筋设置要求；</w:t>
      </w:r>
      <w:r>
        <w:t>通</w:t>
      </w:r>
      <w:r>
        <w:rPr>
          <w:rFonts w:hint="eastAsia"/>
        </w:rPr>
        <w:t>长钢</w:t>
      </w:r>
      <w:r>
        <w:t>筋应伸至梁端部，并向上弯</w:t>
      </w:r>
      <w:r>
        <w:rPr>
          <w:rFonts w:hint="eastAsia"/>
        </w:rPr>
        <w:t>钩</w:t>
      </w:r>
      <w:r>
        <w:t>锚</w:t>
      </w:r>
      <w:r>
        <w:rPr>
          <w:rFonts w:hint="eastAsia"/>
        </w:rPr>
        <w:t>固</w:t>
      </w:r>
      <w:r>
        <w:t>或</w:t>
      </w:r>
      <w:r>
        <w:rPr>
          <w:rFonts w:hint="eastAsia"/>
        </w:rPr>
        <w:t>钢筋机械</w:t>
      </w:r>
      <w:r>
        <w:t>锚固，向上弯锚长度</w:t>
      </w:r>
      <w:r>
        <w:rPr>
          <w:rFonts w:hint="eastAsia"/>
        </w:rPr>
        <w:t>不应小于</w:t>
      </w:r>
      <w:r>
        <w:t>12</w:t>
      </w:r>
      <w:r>
        <w:rPr>
          <w:i/>
        </w:rPr>
        <w:t>d</w:t>
      </w:r>
      <w:r>
        <w:rPr>
          <w:rFonts w:hint="eastAsia"/>
          <w:i/>
        </w:rPr>
        <w:t>，d</w:t>
      </w:r>
      <w:r>
        <w:rPr>
          <w:rFonts w:hint="eastAsia"/>
        </w:rPr>
        <w:t>为通长钢筋直径；</w:t>
      </w:r>
    </w:p>
    <w:p>
      <w:pPr>
        <w:pStyle w:val="70"/>
      </w:pPr>
      <w:r>
        <w:rPr>
          <w:b/>
        </w:rPr>
        <w:t>2</w:t>
      </w:r>
      <w:r>
        <w:tab/>
      </w:r>
      <w:bookmarkStart w:id="225" w:name="_Hlk88818205"/>
      <w:r>
        <w:rPr>
          <w:rFonts w:hint="eastAsia"/>
        </w:rPr>
        <w:t>跨中附加钢筋可在距梁端净跨长度1/5处截断或弯起</w:t>
      </w:r>
      <w:bookmarkEnd w:id="225"/>
      <w:r>
        <w:rPr>
          <w:rFonts w:hint="eastAsia"/>
        </w:rPr>
        <w:t>，且应满足钢筋的锚固要求；</w:t>
      </w:r>
    </w:p>
    <w:p>
      <w:pPr>
        <w:pStyle w:val="70"/>
      </w:pPr>
      <w:r>
        <w:rPr>
          <w:b/>
        </w:rPr>
        <w:t>3</w:t>
      </w:r>
      <w:r>
        <w:tab/>
      </w:r>
      <w:r>
        <w:rPr>
          <w:rFonts w:hint="eastAsia"/>
        </w:rPr>
        <w:t>跨中附加钢筋面积不宜超过跨中截面纵向受拉钢筋总面积的30%。</w:t>
      </w:r>
      <w:bookmarkEnd w:id="224"/>
    </w:p>
    <w:p>
      <w:pPr>
        <w:pStyle w:val="4"/>
      </w:pPr>
      <w:bookmarkStart w:id="226" w:name="_Ref88644254"/>
      <w:bookmarkStart w:id="227" w:name="_Toc86067880"/>
      <w:bookmarkStart w:id="228" w:name="_Ref86135863"/>
      <w:r>
        <w:rPr>
          <w:rFonts w:hint="eastAsia"/>
        </w:rPr>
        <w:t>压接装配框架梁的箍筋应符合下列规定：</w:t>
      </w:r>
      <w:bookmarkEnd w:id="226"/>
    </w:p>
    <w:p>
      <w:pPr>
        <w:pStyle w:val="70"/>
      </w:pPr>
      <w:r>
        <w:rPr>
          <w:rFonts w:hint="eastAsia"/>
          <w:b/>
        </w:rPr>
        <w:t>1</w:t>
      </w:r>
      <w:r>
        <w:rPr>
          <w:rFonts w:hint="eastAsia"/>
        </w:rPr>
        <w:tab/>
      </w:r>
      <w:r>
        <w:rPr>
          <w:rFonts w:hint="eastAsia"/>
        </w:rPr>
        <w:t>压接装配框架梁端部应设置箍筋加密区，</w:t>
      </w:r>
      <w:r>
        <w:t>加密区的长度、箍筋最大间距和最小直径应按表</w:t>
      </w:r>
      <w:r>
        <w:fldChar w:fldCharType="begin"/>
      </w:r>
      <w:r>
        <w:instrText xml:space="preserve"> REF _Ref88644254 \r \h </w:instrText>
      </w:r>
      <w:r>
        <w:fldChar w:fldCharType="separate"/>
      </w:r>
      <w:r>
        <w:t>5. 3. 5</w:t>
      </w:r>
      <w:r>
        <w:fldChar w:fldCharType="end"/>
      </w:r>
      <w:r>
        <w:t>采用</w:t>
      </w:r>
      <w:bookmarkEnd w:id="227"/>
      <w:bookmarkEnd w:id="228"/>
      <w:r>
        <w:rPr>
          <w:rFonts w:hint="eastAsia"/>
        </w:rPr>
        <w:t>；</w:t>
      </w:r>
    </w:p>
    <w:p>
      <w:pPr>
        <w:pStyle w:val="13"/>
        <w:ind w:firstLine="496"/>
        <w:rPr>
          <w:rFonts w:cs="Times New Roman"/>
          <w:sz w:val="21"/>
          <w:szCs w:val="21"/>
        </w:rPr>
      </w:pPr>
      <w:r>
        <w:rPr>
          <w:rFonts w:cs="Times New Roman"/>
          <w:sz w:val="21"/>
          <w:szCs w:val="21"/>
        </w:rPr>
        <w:t>表</w:t>
      </w:r>
      <w:r>
        <w:rPr>
          <w:rFonts w:cs="Times New Roman"/>
          <w:sz w:val="21"/>
          <w:szCs w:val="21"/>
        </w:rPr>
        <w:fldChar w:fldCharType="begin"/>
      </w:r>
      <w:r>
        <w:rPr>
          <w:rFonts w:cs="Times New Roman"/>
          <w:sz w:val="21"/>
          <w:szCs w:val="21"/>
        </w:rPr>
        <w:instrText xml:space="preserve"> STYLEREF 3 \s </w:instrText>
      </w:r>
      <w:r>
        <w:rPr>
          <w:rFonts w:cs="Times New Roman"/>
          <w:sz w:val="21"/>
          <w:szCs w:val="21"/>
        </w:rPr>
        <w:fldChar w:fldCharType="separate"/>
      </w:r>
      <w:r>
        <w:rPr>
          <w:rFonts w:cs="Times New Roman"/>
          <w:sz w:val="21"/>
          <w:szCs w:val="21"/>
        </w:rPr>
        <w:t>5. 3. 5</w:t>
      </w:r>
      <w:r>
        <w:rPr>
          <w:rFonts w:cs="Times New Roman"/>
          <w:sz w:val="21"/>
          <w:szCs w:val="21"/>
        </w:rPr>
        <w:fldChar w:fldCharType="end"/>
      </w:r>
      <w:r>
        <w:rPr>
          <w:rFonts w:cs="Times New Roman"/>
          <w:sz w:val="21"/>
          <w:szCs w:val="21"/>
        </w:rPr>
        <w:t>梁端箍筋加密区的长度、箍筋最大间距和最小直径（mm）</w:t>
      </w:r>
    </w:p>
    <w:tbl>
      <w:tblPr>
        <w:tblStyle w:val="8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990"/>
        <w:gridCol w:w="3093"/>
        <w:gridCol w:w="1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抗震等级</w:t>
            </w:r>
          </w:p>
        </w:tc>
        <w:tc>
          <w:tcPr>
            <w:tcW w:w="1933"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val="0"/>
              </w:rPr>
            </w:pPr>
            <w:r>
              <w:rPr>
                <w:rFonts w:ascii="MS Sans Serif" w:hAnsi="MS Sans Serif" w:eastAsia="宋体"/>
                <w:b/>
              </w:rPr>
              <w:t>加密区长度</w:t>
            </w:r>
          </w:p>
        </w:tc>
        <w:tc>
          <w:tcPr>
            <w:tcW w:w="3004"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val="0"/>
              </w:rPr>
            </w:pPr>
            <w:r>
              <w:rPr>
                <w:rFonts w:ascii="MS Sans Serif" w:hAnsi="MS Sans Serif" w:eastAsia="宋体"/>
                <w:b/>
              </w:rPr>
              <w:t>箍筋最大间距</w:t>
            </w:r>
            <w:r>
              <w:rPr>
                <w:rFonts w:hint="eastAsia" w:ascii="MS Sans Serif" w:hAnsi="MS Sans Serif" w:eastAsia="宋体"/>
                <w:b/>
                <w:sz w:val="20"/>
                <w:szCs w:val="22"/>
              </w:rPr>
              <w:t>（取三者中</w:t>
            </w:r>
            <w:r>
              <w:rPr>
                <w:rFonts w:ascii="MS Sans Serif" w:hAnsi="MS Sans Serif" w:eastAsia="宋体"/>
                <w:b/>
                <w:sz w:val="20"/>
                <w:szCs w:val="22"/>
              </w:rPr>
              <w:t>最小值</w:t>
            </w:r>
            <w:r>
              <w:rPr>
                <w:rFonts w:hint="eastAsia" w:ascii="MS Sans Serif" w:hAnsi="MS Sans Serif" w:eastAsia="宋体"/>
                <w:b/>
                <w:sz w:val="20"/>
                <w:szCs w:val="22"/>
              </w:rPr>
              <w:t>）</w:t>
            </w:r>
          </w:p>
        </w:tc>
        <w:tc>
          <w:tcPr>
            <w:tcW w:w="1601"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ascii="Cambria Math" w:hAnsi="Cambria Math" w:eastAsia="宋体"/>
                <w:b/>
                <w:oMath/>
              </w:rPr>
            </w:pPr>
            <w:r>
              <w:rPr>
                <w:rFonts w:ascii="MS Sans Serif" w:hAnsi="MS Sans Serif" w:eastAsia="宋体"/>
                <w:b/>
              </w:rPr>
              <w:t>箍筋最小直径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Align w:val="center"/>
          </w:tcPr>
          <w:p>
            <w:pPr>
              <w:pStyle w:val="65"/>
              <w:rPr>
                <w:rFonts w:hint="eastAsia" w:ascii="MS Sans Serif" w:hAnsi="MS Sans Serif"/>
              </w:rPr>
            </w:pPr>
            <w:r>
              <w:rPr>
                <w:rFonts w:ascii="MS Sans Serif" w:hAnsi="MS Sans Serif"/>
              </w:rPr>
              <w:t>一</w:t>
            </w:r>
          </w:p>
        </w:tc>
        <w:tc>
          <w:tcPr>
            <w:tcW w:w="1933" w:type="dxa"/>
            <w:vAlign w:val="center"/>
          </w:tcPr>
          <w:p>
            <w:pPr>
              <w:pStyle w:val="65"/>
              <w:rPr>
                <w:rFonts w:hint="eastAsia" w:ascii="MS Sans Serif" w:hAnsi="MS Sans Serif"/>
              </w:rPr>
            </w:pPr>
            <w:r>
              <w:rPr>
                <w:rFonts w:ascii="MS Sans Serif" w:hAnsi="MS Sans Serif"/>
              </w:rPr>
              <w:t>1.5</w:t>
            </w:r>
            <m:oMath>
              <m:sSub>
                <m:sSubPr>
                  <m:ctrlPr>
                    <w:rPr>
                      <w:rFonts w:ascii="XITS Math" w:hAnsi="XITS Math" w:cs="XITS Math"/>
                      <w:i/>
                    </w:rPr>
                  </m:ctrlPr>
                </m:sSubPr>
                <m:e>
                  <m:r>
                    <m:rPr/>
                    <w:rPr>
                      <w:rFonts w:ascii="XITS Math" w:hAnsi="XITS Math" w:cs="XITS Math"/>
                    </w:rPr>
                    <m:t>ℎ</m:t>
                  </m:r>
                  <m:ctrlPr>
                    <w:rPr>
                      <w:rFonts w:ascii="XITS Math" w:hAnsi="XITS Math" w:cs="XITS Math"/>
                      <w:i/>
                    </w:rPr>
                  </m:ctrlPr>
                </m:e>
                <m:sub>
                  <m:r>
                    <m:rPr/>
                    <w:rPr>
                      <w:rFonts w:ascii="XITS Math" w:hAnsi="XITS Math" w:cs="XITS Math"/>
                    </w:rPr>
                    <m:t>b</m:t>
                  </m:r>
                  <m:ctrlPr>
                    <w:rPr>
                      <w:rFonts w:ascii="XITS Math" w:hAnsi="XITS Math" w:cs="XITS Math"/>
                      <w:i/>
                    </w:rPr>
                  </m:ctrlPr>
                </m:sub>
              </m:sSub>
            </m:oMath>
          </w:p>
        </w:tc>
        <w:tc>
          <w:tcPr>
            <w:tcW w:w="3004" w:type="dxa"/>
            <w:vAlign w:val="center"/>
          </w:tcPr>
          <w:p>
            <w:pPr>
              <w:pStyle w:val="65"/>
              <w:rPr>
                <w:rFonts w:hint="eastAsia" w:ascii="MS Sans Serif" w:hAnsi="MS Sans Serif"/>
              </w:rPr>
            </w:pP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r>
              <w:rPr>
                <w:rFonts w:ascii="MS Sans Serif" w:hAnsi="MS Sans Serif"/>
              </w:rPr>
              <w:t>/4</w:t>
            </w:r>
            <w:r>
              <w:rPr>
                <w:rFonts w:hint="eastAsia" w:ascii="MS Sans Serif" w:hAnsi="MS Sans Serif"/>
              </w:rPr>
              <w:t>，</w:t>
            </w:r>
            <w:r>
              <w:rPr>
                <w:rFonts w:ascii="MS Sans Serif" w:hAnsi="MS Sans Serif"/>
              </w:rPr>
              <w:t>6</w:t>
            </w:r>
            <m:oMath>
              <m:r>
                <m:rPr/>
                <w:rPr>
                  <w:rFonts w:ascii="XITS Math" w:hAnsi="XITS Math" w:cs="XITS Math"/>
                </w:rPr>
                <m:t>d</m:t>
              </m:r>
            </m:oMath>
            <w:r>
              <w:rPr>
                <w:rFonts w:hint="eastAsia" w:ascii="MS Sans Serif" w:hAnsi="MS Sans Serif"/>
              </w:rPr>
              <w:t>，</w:t>
            </w:r>
            <w:r>
              <w:rPr>
                <w:rFonts w:ascii="MS Sans Serif" w:hAnsi="MS Sans Serif"/>
              </w:rPr>
              <w:t>100</w:t>
            </w:r>
          </w:p>
        </w:tc>
        <w:tc>
          <w:tcPr>
            <w:tcW w:w="1601" w:type="dxa"/>
            <w:vAlign w:val="center"/>
          </w:tcPr>
          <w:p>
            <w:pPr>
              <w:pStyle w:val="65"/>
              <w:rPr>
                <w:rFonts w:hint="eastAsia" w:ascii="MS Sans Serif" w:hAnsi="MS Sans Serif"/>
              </w:rPr>
            </w:pPr>
            <w:r>
              <w:rPr>
                <w:rFonts w:ascii="MS Sans Serif" w:hAnsi="MS Sans Serif"/>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Align w:val="center"/>
          </w:tcPr>
          <w:p>
            <w:pPr>
              <w:pStyle w:val="65"/>
              <w:rPr>
                <w:rFonts w:hint="eastAsia" w:ascii="MS Sans Serif" w:hAnsi="MS Sans Serif"/>
              </w:rPr>
            </w:pPr>
            <w:r>
              <w:rPr>
                <w:rFonts w:ascii="MS Sans Serif" w:hAnsi="MS Sans Serif"/>
              </w:rPr>
              <w:t>二</w:t>
            </w:r>
          </w:p>
        </w:tc>
        <w:tc>
          <w:tcPr>
            <w:tcW w:w="1933" w:type="dxa"/>
            <w:vAlign w:val="center"/>
          </w:tcPr>
          <w:p>
            <w:pPr>
              <w:pStyle w:val="65"/>
              <w:rPr>
                <w:rFonts w:hint="eastAsia" w:ascii="MS Sans Serif" w:hAnsi="MS Sans Serif"/>
              </w:rPr>
            </w:pPr>
            <w:r>
              <w:rPr>
                <w:rFonts w:ascii="MS Sans Serif" w:hAnsi="MS Sans Serif"/>
              </w:rPr>
              <w:t>1.0</w:t>
            </w: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p>
        </w:tc>
        <w:tc>
          <w:tcPr>
            <w:tcW w:w="3004" w:type="dxa"/>
            <w:vAlign w:val="center"/>
          </w:tcPr>
          <w:p>
            <w:pPr>
              <w:pStyle w:val="65"/>
              <w:rPr>
                <w:rFonts w:hint="eastAsia" w:ascii="MS Sans Serif" w:hAnsi="MS Sans Serif"/>
              </w:rPr>
            </w:pP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r>
              <w:rPr>
                <w:rFonts w:ascii="MS Sans Serif" w:hAnsi="MS Sans Serif"/>
              </w:rPr>
              <w:t>/4</w:t>
            </w:r>
            <w:r>
              <w:rPr>
                <w:rFonts w:hint="eastAsia" w:ascii="MS Sans Serif" w:hAnsi="MS Sans Serif"/>
              </w:rPr>
              <w:t>，</w:t>
            </w:r>
            <w:r>
              <w:rPr>
                <w:rFonts w:ascii="MS Sans Serif" w:hAnsi="MS Sans Serif"/>
              </w:rPr>
              <w:t>8</w:t>
            </w:r>
            <m:oMath>
              <m:r>
                <m:rPr/>
                <w:rPr>
                  <w:rFonts w:ascii="XITS Math" w:hAnsi="XITS Math" w:cs="XITS Math"/>
                </w:rPr>
                <m:t>d</m:t>
              </m:r>
            </m:oMath>
            <w:r>
              <w:rPr>
                <w:rFonts w:hint="eastAsia" w:ascii="MS Sans Serif" w:hAnsi="MS Sans Serif"/>
              </w:rPr>
              <w:t>，</w:t>
            </w:r>
            <w:r>
              <w:rPr>
                <w:rFonts w:ascii="MS Sans Serif" w:hAnsi="MS Sans Serif"/>
              </w:rPr>
              <w:t>100</w:t>
            </w:r>
          </w:p>
        </w:tc>
        <w:tc>
          <w:tcPr>
            <w:tcW w:w="1601" w:type="dxa"/>
            <w:vAlign w:val="center"/>
          </w:tcPr>
          <w:p>
            <w:pPr>
              <w:pStyle w:val="65"/>
              <w:rPr>
                <w:rFonts w:hint="eastAsia" w:ascii="MS Sans Serif" w:hAnsi="MS Sans Serif"/>
              </w:rPr>
            </w:pPr>
            <w:r>
              <w:rPr>
                <w:rFonts w:ascii="MS Sans Serif" w:hAnsi="MS Sans Serif"/>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8" w:type="dxa"/>
            <w:vAlign w:val="center"/>
          </w:tcPr>
          <w:p>
            <w:pPr>
              <w:pStyle w:val="65"/>
              <w:rPr>
                <w:rFonts w:hint="eastAsia" w:ascii="MS Sans Serif" w:hAnsi="MS Sans Serif"/>
              </w:rPr>
            </w:pPr>
            <w:r>
              <w:rPr>
                <w:rFonts w:ascii="MS Sans Serif" w:hAnsi="MS Sans Serif"/>
              </w:rPr>
              <w:t>三</w:t>
            </w:r>
          </w:p>
        </w:tc>
        <w:tc>
          <w:tcPr>
            <w:tcW w:w="1933" w:type="dxa"/>
            <w:vAlign w:val="center"/>
          </w:tcPr>
          <w:p>
            <w:pPr>
              <w:pStyle w:val="65"/>
              <w:rPr>
                <w:rFonts w:hint="eastAsia" w:ascii="MS Sans Serif" w:hAnsi="MS Sans Serif"/>
              </w:rPr>
            </w:pPr>
            <w:r>
              <w:rPr>
                <w:rFonts w:ascii="MS Sans Serif" w:hAnsi="MS Sans Serif"/>
              </w:rPr>
              <w:t>1.0</w:t>
            </w: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p>
        </w:tc>
        <w:tc>
          <w:tcPr>
            <w:tcW w:w="3004" w:type="dxa"/>
            <w:vAlign w:val="center"/>
          </w:tcPr>
          <w:p>
            <w:pPr>
              <w:pStyle w:val="65"/>
              <w:rPr>
                <w:rFonts w:hint="eastAsia" w:ascii="MS Sans Serif" w:hAnsi="MS Sans Serif"/>
              </w:rPr>
            </w:pP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r>
              <w:rPr>
                <w:rFonts w:ascii="MS Sans Serif" w:hAnsi="MS Sans Serif"/>
              </w:rPr>
              <w:t>/4</w:t>
            </w:r>
            <w:r>
              <w:rPr>
                <w:rFonts w:hint="eastAsia" w:ascii="MS Sans Serif" w:hAnsi="MS Sans Serif"/>
              </w:rPr>
              <w:t>，</w:t>
            </w:r>
            <w:r>
              <w:rPr>
                <w:rFonts w:ascii="MS Sans Serif" w:hAnsi="MS Sans Serif"/>
              </w:rPr>
              <w:t>8</w:t>
            </w:r>
            <m:oMath>
              <m:r>
                <m:rPr/>
                <w:rPr>
                  <w:rFonts w:ascii="XITS Math" w:hAnsi="XITS Math" w:cs="XITS Math"/>
                </w:rPr>
                <m:t>d</m:t>
              </m:r>
            </m:oMath>
            <w:r>
              <w:rPr>
                <w:rFonts w:hint="eastAsia" w:ascii="MS Sans Serif" w:hAnsi="MS Sans Serif"/>
              </w:rPr>
              <w:t>，</w:t>
            </w:r>
            <w:r>
              <w:rPr>
                <w:rFonts w:ascii="MS Sans Serif" w:hAnsi="MS Sans Serif"/>
              </w:rPr>
              <w:t>150</w:t>
            </w:r>
          </w:p>
        </w:tc>
        <w:tc>
          <w:tcPr>
            <w:tcW w:w="1601" w:type="dxa"/>
            <w:vAlign w:val="center"/>
          </w:tcPr>
          <w:p>
            <w:pPr>
              <w:pStyle w:val="65"/>
              <w:rPr>
                <w:rFonts w:hint="eastAsia" w:ascii="MS Sans Serif" w:hAnsi="MS Sans Serif"/>
              </w:rPr>
            </w:pPr>
            <w:r>
              <w:rPr>
                <w:rFonts w:ascii="MS Sans Serif" w:hAnsi="MS Sans Serif"/>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Align w:val="center"/>
          </w:tcPr>
          <w:p>
            <w:pPr>
              <w:pStyle w:val="65"/>
              <w:rPr>
                <w:rFonts w:hint="eastAsia" w:ascii="MS Sans Serif" w:hAnsi="MS Sans Serif"/>
              </w:rPr>
            </w:pPr>
            <w:r>
              <w:rPr>
                <w:rFonts w:ascii="MS Sans Serif" w:hAnsi="MS Sans Serif"/>
              </w:rPr>
              <w:t>四</w:t>
            </w:r>
          </w:p>
        </w:tc>
        <w:tc>
          <w:tcPr>
            <w:tcW w:w="1933" w:type="dxa"/>
            <w:vAlign w:val="center"/>
          </w:tcPr>
          <w:p>
            <w:pPr>
              <w:pStyle w:val="65"/>
              <w:rPr>
                <w:rFonts w:hint="eastAsia" w:ascii="MS Sans Serif" w:hAnsi="MS Sans Serif"/>
              </w:rPr>
            </w:pPr>
            <w:r>
              <w:rPr>
                <w:rFonts w:ascii="MS Sans Serif" w:hAnsi="MS Sans Serif"/>
              </w:rPr>
              <w:t>1.0</w:t>
            </w: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p>
        </w:tc>
        <w:tc>
          <w:tcPr>
            <w:tcW w:w="3004" w:type="dxa"/>
            <w:vAlign w:val="center"/>
          </w:tcPr>
          <w:p>
            <w:pPr>
              <w:pStyle w:val="65"/>
              <w:rPr>
                <w:rFonts w:hint="eastAsia" w:ascii="MS Sans Serif" w:hAnsi="MS Sans Serif"/>
              </w:rPr>
            </w:pPr>
            <m:oMath>
              <m:sSub>
                <m:sSubPr>
                  <m:ctrlPr>
                    <w:rPr>
                      <w:rFonts w:ascii="XITS Math" w:hAnsi="XITS Math" w:cs="XITS Math"/>
                    </w:rPr>
                  </m:ctrlPr>
                </m:sSubPr>
                <m:e>
                  <m:r>
                    <m:rPr/>
                    <w:rPr>
                      <w:rFonts w:ascii="XITS Math" w:hAnsi="XITS Math" w:cs="XITS Math"/>
                    </w:rPr>
                    <m:t>ℎ</m:t>
                  </m:r>
                  <m:ctrlPr>
                    <w:rPr>
                      <w:rFonts w:ascii="XITS Math" w:hAnsi="XITS Math" w:cs="XITS Math"/>
                    </w:rPr>
                  </m:ctrlPr>
                </m:e>
                <m:sub>
                  <m:r>
                    <m:rPr/>
                    <w:rPr>
                      <w:rFonts w:ascii="XITS Math" w:hAnsi="XITS Math" w:cs="XITS Math"/>
                    </w:rPr>
                    <m:t>b</m:t>
                  </m:r>
                  <m:ctrlPr>
                    <w:rPr>
                      <w:rFonts w:ascii="XITS Math" w:hAnsi="XITS Math" w:cs="XITS Math"/>
                    </w:rPr>
                  </m:ctrlPr>
                </m:sub>
              </m:sSub>
            </m:oMath>
            <w:r>
              <w:rPr>
                <w:rFonts w:ascii="MS Sans Serif" w:hAnsi="MS Sans Serif"/>
              </w:rPr>
              <w:t>/4</w:t>
            </w:r>
            <w:r>
              <w:rPr>
                <w:rFonts w:hint="eastAsia" w:ascii="MS Sans Serif" w:hAnsi="MS Sans Serif"/>
              </w:rPr>
              <w:t>，</w:t>
            </w:r>
            <w:r>
              <w:rPr>
                <w:rFonts w:ascii="MS Sans Serif" w:hAnsi="MS Sans Serif"/>
              </w:rPr>
              <w:t>8</w:t>
            </w:r>
            <m:oMath>
              <m:r>
                <m:rPr/>
                <w:rPr>
                  <w:rFonts w:ascii="XITS Math" w:hAnsi="XITS Math" w:cs="XITS Math"/>
                </w:rPr>
                <m:t>d</m:t>
              </m:r>
            </m:oMath>
            <w:r>
              <w:rPr>
                <w:rFonts w:hint="eastAsia" w:ascii="MS Sans Serif" w:hAnsi="MS Sans Serif"/>
              </w:rPr>
              <w:t>，</w:t>
            </w:r>
            <w:r>
              <w:rPr>
                <w:rFonts w:ascii="MS Sans Serif" w:hAnsi="MS Sans Serif"/>
              </w:rPr>
              <w:t>150</w:t>
            </w:r>
          </w:p>
        </w:tc>
        <w:tc>
          <w:tcPr>
            <w:tcW w:w="1601" w:type="dxa"/>
            <w:vAlign w:val="center"/>
          </w:tcPr>
          <w:p>
            <w:pPr>
              <w:pStyle w:val="65"/>
              <w:rPr>
                <w:rFonts w:hint="eastAsia" w:ascii="MS Sans Serif" w:hAnsi="MS Sans Serif"/>
              </w:rPr>
            </w:pPr>
            <w:r>
              <w:rPr>
                <w:rFonts w:ascii="MS Sans Serif" w:hAnsi="MS Sans Serif"/>
              </w:rPr>
              <w:t>6</w:t>
            </w:r>
          </w:p>
        </w:tc>
      </w:tr>
    </w:tbl>
    <w:p>
      <w:pPr>
        <w:pStyle w:val="67"/>
        <w:rPr>
          <w:sz w:val="21"/>
        </w:rPr>
      </w:pPr>
      <w:r>
        <w:tab/>
      </w:r>
      <w:r>
        <w:t>注：</w:t>
      </w:r>
      <w:r>
        <w:tab/>
      </w:r>
      <w:r>
        <w:t>1</w:t>
      </w:r>
      <w:r>
        <w:tab/>
      </w:r>
      <m:oMath>
        <m:sSub>
          <m:sSubPr>
            <m:ctrlPr>
              <w:rPr>
                <w:rFonts w:ascii="XITS Math" w:hAnsi="XITS Math" w:cs="XITS Math"/>
                <w:sz w:val="21"/>
              </w:rPr>
            </m:ctrlPr>
          </m:sSubPr>
          <m:e>
            <m:r>
              <m:rPr/>
              <w:rPr>
                <w:rFonts w:ascii="XITS Math" w:hAnsi="XITS Math" w:cs="XITS Math"/>
                <w:sz w:val="21"/>
              </w:rPr>
              <m:t>ℎ</m:t>
            </m:r>
            <m:ctrlPr>
              <w:rPr>
                <w:rFonts w:ascii="XITS Math" w:hAnsi="XITS Math" w:cs="XITS Math"/>
                <w:sz w:val="21"/>
              </w:rPr>
            </m:ctrlPr>
          </m:e>
          <m:sub>
            <m:r>
              <m:rPr/>
              <w:rPr>
                <w:rFonts w:ascii="XITS Math" w:hAnsi="XITS Math" w:cs="XITS Math"/>
                <w:sz w:val="21"/>
              </w:rPr>
              <m:t>b</m:t>
            </m:r>
            <m:ctrlPr>
              <w:rPr>
                <w:rFonts w:ascii="XITS Math" w:hAnsi="XITS Math" w:cs="XITS Math"/>
                <w:sz w:val="21"/>
              </w:rPr>
            </m:ctrlPr>
          </m:sub>
        </m:sSub>
      </m:oMath>
      <w:r>
        <w:t>为梁截面高度</w:t>
      </w:r>
      <w:r>
        <w:rPr>
          <w:rFonts w:hint="eastAsia"/>
        </w:rPr>
        <w:t>，</w:t>
      </w:r>
      <m:oMath>
        <m:r>
          <m:rPr/>
          <w:rPr>
            <w:rFonts w:ascii="XITS Math" w:hAnsi="XITS Math" w:cs="XITS Math"/>
            <w:sz w:val="21"/>
          </w:rPr>
          <m:t>d</m:t>
        </m:r>
      </m:oMath>
      <w:r>
        <w:t>为纵向钢筋直径；</w:t>
      </w:r>
    </w:p>
    <w:p>
      <w:pPr>
        <w:pStyle w:val="67"/>
        <w:ind w:left="840" w:hanging="840"/>
      </w:pPr>
      <w:r>
        <w:rPr>
          <w:sz w:val="21"/>
        </w:rPr>
        <w:tab/>
      </w:r>
      <w:r>
        <w:rPr>
          <w:sz w:val="21"/>
        </w:rPr>
        <w:tab/>
      </w:r>
      <w:r>
        <w:t>2</w:t>
      </w:r>
      <w:r>
        <w:tab/>
      </w:r>
      <w:r>
        <w:t>箍筋直径大于12mm、数量不少于4肢</w:t>
      </w:r>
      <w:r>
        <w:rPr>
          <w:rFonts w:hint="eastAsia"/>
        </w:rPr>
        <w:t>且</w:t>
      </w:r>
      <w:r>
        <w:t>肢距不大于150mm时，一、二级</w:t>
      </w:r>
      <w:r>
        <w:rPr>
          <w:rFonts w:hint="eastAsia"/>
        </w:rPr>
        <w:t>的</w:t>
      </w:r>
      <w:r>
        <w:t>最大间距允许适当放宽，但</w:t>
      </w:r>
      <w:r>
        <w:rPr>
          <w:rFonts w:hint="eastAsia"/>
        </w:rPr>
        <w:t>不得大</w:t>
      </w:r>
      <w:r>
        <w:t>于150mm。</w:t>
      </w:r>
    </w:p>
    <w:p>
      <w:pPr>
        <w:pStyle w:val="67"/>
      </w:pPr>
    </w:p>
    <w:p>
      <w:pPr>
        <w:pStyle w:val="70"/>
      </w:pPr>
      <w:r>
        <w:rPr>
          <w:rFonts w:hint="eastAsia"/>
          <w:b/>
        </w:rPr>
        <w:t>2</w:t>
      </w:r>
      <w:r>
        <w:rPr>
          <w:rFonts w:hint="eastAsia"/>
        </w:rPr>
        <w:tab/>
      </w:r>
      <w:r>
        <w:rPr>
          <w:rFonts w:hint="eastAsia"/>
        </w:rPr>
        <w:t>压接装配框架梁端箍筋加密区的箍筋肢距，一级时不宜大于200mm和20倍箍筋直径的较大值，二级、三级时不宜大于250mm和20倍箍筋直径的较大值，四级时不宜大于300mm；</w:t>
      </w:r>
    </w:p>
    <w:p>
      <w:pPr>
        <w:pStyle w:val="70"/>
      </w:pPr>
      <w:r>
        <w:rPr>
          <w:rFonts w:hint="eastAsia"/>
          <w:b/>
        </w:rPr>
        <w:t>3</w:t>
      </w:r>
      <w:r>
        <w:rPr>
          <w:rFonts w:hint="eastAsia"/>
        </w:rPr>
        <w:tab/>
      </w:r>
      <w:r>
        <w:rPr>
          <w:rFonts w:hint="eastAsia"/>
        </w:rPr>
        <w:t>一级和二级框架梁，在预制梁内靠近梁端应设置箍筋集中加密区，集中加密区长度应取400mm和框架梁截面高度2</w:t>
      </w:r>
      <w:r>
        <w:t>/3</w:t>
      </w:r>
      <w:r>
        <w:rPr>
          <w:rFonts w:hint="eastAsia"/>
        </w:rPr>
        <w:t>的较大值。集中加密区内，在框架相邻箍筋中间应增设一道附加箍筋，其肢数与肢距宜与框架梁加密区箍筋一致；</w:t>
      </w:r>
    </w:p>
    <w:p>
      <w:pPr>
        <w:pStyle w:val="70"/>
      </w:pPr>
      <w:r>
        <w:rPr>
          <w:b/>
        </w:rPr>
        <w:t>4</w:t>
      </w:r>
      <w:r>
        <w:tab/>
      </w:r>
      <w:r>
        <w:rPr>
          <w:rFonts w:hint="eastAsia"/>
        </w:rPr>
        <w:t>当采用梁板柱复合框架节点时，压接装配框架梁箍筋宜采用封闭箍筋，封闭箍筋的弯钩宜布置在预制梁下部。</w:t>
      </w:r>
    </w:p>
    <w:p>
      <w:pPr>
        <w:pStyle w:val="4"/>
      </w:pPr>
      <w:bookmarkStart w:id="229" w:name="_Ref81317778"/>
      <w:bookmarkStart w:id="230" w:name="_Toc86067885"/>
      <w:r>
        <w:rPr>
          <w:rFonts w:hint="eastAsia"/>
        </w:rPr>
        <w:t>采用梁板柱复合框架节点的压接装配框架，当</w:t>
      </w:r>
      <w:r>
        <w:t>梁跨度大于10m时，梁内预应力钢绞线可采用曲线布置。</w:t>
      </w:r>
      <w:bookmarkEnd w:id="229"/>
      <w:bookmarkEnd w:id="230"/>
    </w:p>
    <w:p>
      <w:pPr>
        <w:pStyle w:val="4"/>
      </w:pPr>
      <w:bookmarkStart w:id="231" w:name="_Ref86136098"/>
      <w:bookmarkStart w:id="232" w:name="_Ref86136166"/>
      <w:bookmarkStart w:id="233" w:name="_Toc86067887"/>
      <w:bookmarkStart w:id="234" w:name="_Ref198037971"/>
      <w:r>
        <w:rPr>
          <w:rFonts w:hint="eastAsia"/>
        </w:rPr>
        <w:t>当压接装配框架梁跨中预应力钢绞线设置有粘接段时，</w:t>
      </w:r>
      <w:r>
        <w:t>预应力</w:t>
      </w:r>
      <w:r>
        <w:rPr>
          <w:rFonts w:hint="eastAsia"/>
        </w:rPr>
        <w:t>钢绞线</w:t>
      </w:r>
      <w:r>
        <w:t>有粘结段的长度</w:t>
      </w:r>
      <w:r>
        <w:rPr>
          <w:rFonts w:hint="eastAsia"/>
        </w:rPr>
        <w:t>不宜小</w:t>
      </w:r>
      <w:r>
        <w:t>于</w:t>
      </w:r>
      <w:r>
        <w:rPr>
          <w:rFonts w:hint="eastAsia"/>
        </w:rPr>
        <w:t>0.</w:t>
      </w:r>
      <w:r>
        <w:t>8</w:t>
      </w:r>
      <w:r>
        <w:rPr>
          <w:rFonts w:hint="eastAsia"/>
        </w:rPr>
        <w:t>倍</w:t>
      </w:r>
      <w:r>
        <w:t>预应力钢绞线</w:t>
      </w:r>
      <w:r>
        <w:rPr>
          <w:rFonts w:hint="eastAsia"/>
        </w:rPr>
        <w:t>的基本锚固长度</w:t>
      </w:r>
      <w:r>
        <w:t>。预应力钢绞线</w:t>
      </w:r>
      <w:r>
        <w:rPr>
          <w:rFonts w:hint="eastAsia"/>
        </w:rPr>
        <w:t>基本</w:t>
      </w:r>
      <w:r>
        <w:t>锚固长度</w:t>
      </w:r>
      <w:r>
        <w:rPr>
          <w:rFonts w:hint="eastAsia"/>
        </w:rPr>
        <w:t>可</w:t>
      </w:r>
      <w:r>
        <w:t>按</w:t>
      </w:r>
      <w:r>
        <w:rPr>
          <w:rFonts w:hint="eastAsia"/>
        </w:rPr>
        <w:t>下</w:t>
      </w:r>
      <w:r>
        <w:t>式计算</w:t>
      </w:r>
      <w:bookmarkEnd w:id="231"/>
      <w:bookmarkEnd w:id="232"/>
      <w:bookmarkEnd w:id="233"/>
      <w:r>
        <w:rPr>
          <w:rFonts w:hint="eastAsia"/>
        </w:rPr>
        <w:t>：</w:t>
      </w:r>
      <w:bookmarkEnd w:id="234"/>
    </w:p>
    <w:p>
      <w:pPr>
        <w:pStyle w:val="85"/>
        <w:rPr>
          <w:rFonts w:cs="Times New Roman"/>
        </w:rPr>
      </w:pPr>
      <w:r>
        <w:rPr>
          <w:rFonts w:cs="Times New Roman"/>
          <w:i/>
          <w:iCs/>
        </w:rPr>
        <w:tab/>
      </w: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ab</m:t>
            </m:r>
            <m:ctrlPr>
              <w:rPr>
                <w:rFonts w:ascii="Cambria Math" w:hAnsi="Cambria Math"/>
              </w:rPr>
            </m:ctrlPr>
          </m:sub>
        </m:sSub>
        <m:r>
          <m:rPr>
            <m:sty m:val="p"/>
          </m:rPr>
          <w:rPr>
            <w:rFonts w:ascii="Cambria Math" w:hAnsi="Cambria Math"/>
          </w:rPr>
          <m:t>=</m:t>
        </m:r>
        <m:r>
          <m:rPr/>
          <w:rPr>
            <w:rFonts w:ascii="Cambria Math" w:hAnsi="Cambria Math"/>
          </w:rPr>
          <m:t>α</m:t>
        </m:r>
        <m:f>
          <m:fPr>
            <m:ctrlPr>
              <w:rPr>
                <w:rFonts w:ascii="Cambria Math" w:hAnsi="Cambria Math" w:cs="Cambria Math"/>
              </w:rPr>
            </m:ctrlPr>
          </m:fPr>
          <m:num>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py</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m:t>
                </m:r>
                <m:ctrlPr>
                  <w:rPr>
                    <w:rFonts w:ascii="Cambria Math" w:hAnsi="Cambria Math"/>
                  </w:rPr>
                </m:ctrlPr>
              </m:sub>
            </m:sSub>
            <m:ctrlPr>
              <w:rPr>
                <w:rFonts w:ascii="Cambria Math" w:hAnsi="Cambria Math"/>
              </w:rPr>
            </m:ctrlPr>
          </m:den>
        </m:f>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p</m:t>
            </m:r>
            <m:ctrlPr>
              <w:rPr>
                <w:rFonts w:ascii="Cambria Math" w:hAnsi="Cambria Math"/>
              </w:rPr>
            </m:ctrlPr>
          </m:sub>
        </m:sSub>
      </m:oMath>
      <w:r>
        <w:rPr>
          <w:rFonts w:cs="Times New Roman"/>
          <w:i/>
          <w:iCs/>
        </w:rPr>
        <w:tab/>
      </w:r>
      <w:r>
        <w:rPr>
          <w:rFonts w:cs="Times New Roman"/>
        </w:rPr>
        <w:t>（</w:t>
      </w:r>
      <w:r>
        <w:rPr>
          <w:rFonts w:cs="Times New Roman"/>
        </w:rPr>
        <w:fldChar w:fldCharType="begin"/>
      </w:r>
      <w:r>
        <w:rPr>
          <w:rFonts w:cs="Times New Roman"/>
        </w:rPr>
        <w:instrText xml:space="preserve"> STYLEREF 3 \s </w:instrText>
      </w:r>
      <w:r>
        <w:rPr>
          <w:rFonts w:cs="Times New Roman"/>
        </w:rPr>
        <w:fldChar w:fldCharType="separate"/>
      </w:r>
      <w:r>
        <w:rPr>
          <w:rFonts w:cs="Times New Roman"/>
        </w:rPr>
        <w:t>5. 3. 7</w:t>
      </w:r>
      <w:r>
        <w:rPr>
          <w:rFonts w:cs="Times New Roman"/>
        </w:rPr>
        <w:fldChar w:fldCharType="end"/>
      </w:r>
      <w:r>
        <w:rPr>
          <w:rFonts w:cs="Times New Roman"/>
        </w:rPr>
        <w:t>）</w:t>
      </w:r>
    </w:p>
    <w:p>
      <w:pPr>
        <w:pStyle w:val="86"/>
      </w:pPr>
      <w:r>
        <w:t>式中：</w:t>
      </w:r>
      <w:r>
        <w:tab/>
      </w:r>
      <w:r>
        <w:rPr>
          <w:i/>
          <w:iCs/>
        </w:rPr>
        <w:t>l</w:t>
      </w:r>
      <w:r>
        <w:rPr>
          <w:i/>
          <w:iCs/>
          <w:vertAlign w:val="subscript"/>
        </w:rPr>
        <w:t>ab</w:t>
      </w:r>
      <w:r>
        <w:t>——</w:t>
      </w:r>
      <w:r>
        <w:tab/>
      </w:r>
      <w:r>
        <w:t>预应力钢</w:t>
      </w:r>
      <w:r>
        <w:rPr>
          <w:bCs/>
          <w:szCs w:val="32"/>
        </w:rPr>
        <w:t>绞线</w:t>
      </w:r>
      <w:r>
        <w:rPr>
          <w:rFonts w:hint="eastAsia"/>
          <w:bCs/>
          <w:szCs w:val="32"/>
        </w:rPr>
        <w:t>基本</w:t>
      </w:r>
      <w:r>
        <w:rPr>
          <w:bCs/>
          <w:szCs w:val="32"/>
        </w:rPr>
        <w:t>锚固长度（mm</w:t>
      </w:r>
      <w:r>
        <w:t>）；</w:t>
      </w:r>
    </w:p>
    <w:p>
      <w:pPr>
        <w:pStyle w:val="86"/>
      </w:pPr>
      <w:r>
        <w:tab/>
      </w:r>
      <w:r>
        <w:rPr>
          <w:i/>
          <w:iCs/>
        </w:rPr>
        <w:t>d</w:t>
      </w:r>
      <w:r>
        <w:rPr>
          <w:iCs/>
          <w:vertAlign w:val="subscript"/>
        </w:rPr>
        <w:t>p</w:t>
      </w:r>
      <w:r>
        <w:t>——</w:t>
      </w:r>
      <w:r>
        <w:tab/>
      </w:r>
      <w:r>
        <w:t>单根预应力钢绞线直径（mm）；</w:t>
      </w:r>
    </w:p>
    <w:p>
      <w:pPr>
        <w:pStyle w:val="86"/>
      </w:pPr>
      <w:r>
        <w:tab/>
      </w:r>
      <m:oMath>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py</m:t>
            </m:r>
            <m:ctrlPr>
              <w:rPr>
                <w:rFonts w:ascii="Cambria Math" w:hAnsi="Cambria Math"/>
                <w:iCs/>
              </w:rPr>
            </m:ctrlPr>
          </m:sub>
        </m:sSub>
      </m:oMath>
      <w:r>
        <w:t>——</w:t>
      </w:r>
      <w:r>
        <w:tab/>
      </w:r>
      <w:r>
        <w:t>预应力钢绞线抗拉强度设计值（MP</w:t>
      </w:r>
      <w:r>
        <w:rPr>
          <w:vertAlign w:val="subscript"/>
        </w:rPr>
        <w:t>a</w:t>
      </w:r>
      <w:r>
        <w:t>）；</w:t>
      </w:r>
    </w:p>
    <w:p>
      <w:pPr>
        <w:pStyle w:val="86"/>
      </w:pPr>
      <w:r>
        <w:tab/>
      </w:r>
      <m:oMath>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t</m:t>
            </m:r>
            <m:ctrlPr>
              <w:rPr>
                <w:rFonts w:ascii="Cambria Math" w:hAnsi="Cambria Math"/>
                <w:iCs/>
              </w:rPr>
            </m:ctrlPr>
          </m:sub>
        </m:sSub>
      </m:oMath>
      <w:r>
        <w:t>——</w:t>
      </w:r>
      <w:r>
        <w:tab/>
      </w:r>
      <w:r>
        <w:t>预制梁混凝土轴心抗拉强度设计值（MP</w:t>
      </w:r>
      <w:r>
        <w:rPr>
          <w:vertAlign w:val="subscript"/>
        </w:rPr>
        <w:t>a</w:t>
      </w:r>
      <w:r>
        <w:t>）；</w:t>
      </w:r>
    </w:p>
    <w:p>
      <w:pPr>
        <w:pStyle w:val="86"/>
      </w:pPr>
      <w:r>
        <w:rPr>
          <w:i/>
          <w:iCs/>
        </w:rPr>
        <w:tab/>
      </w:r>
      <w:r>
        <w:rPr>
          <w:i/>
          <w:iCs/>
        </w:rPr>
        <w:t>α</w:t>
      </w:r>
      <w:r>
        <w:t>——</w:t>
      </w:r>
      <w:r>
        <w:tab/>
      </w:r>
      <w:r>
        <w:t>钢绞线外形系数，7股钢绞线为0.17。</w:t>
      </w:r>
    </w:p>
    <w:p>
      <w:pPr>
        <w:pStyle w:val="4"/>
      </w:pPr>
      <w:bookmarkStart w:id="235" w:name="_Ref86136861"/>
      <w:r>
        <w:rPr>
          <w:rFonts w:hint="eastAsia"/>
        </w:rPr>
        <w:t>采用梁板柱复合框架节点的压接装配框架，</w:t>
      </w:r>
      <w:bookmarkStart w:id="236" w:name="_Toc86067895"/>
      <w:r>
        <w:rPr>
          <w:rFonts w:hint="eastAsia"/>
        </w:rPr>
        <w:t>梁跨中预应力筋设置有粘接段时，</w:t>
      </w:r>
      <w:r>
        <w:t>跨</w:t>
      </w:r>
      <w:r>
        <w:rPr>
          <w:rFonts w:hint="eastAsia"/>
        </w:rPr>
        <w:t>中</w:t>
      </w:r>
      <w:r>
        <w:t>截面</w:t>
      </w:r>
      <w:r>
        <w:rPr>
          <w:rFonts w:hint="eastAsia"/>
        </w:rPr>
        <w:t>的</w:t>
      </w:r>
      <w:r>
        <w:t>受弯承载力设计值计算应</w:t>
      </w:r>
      <w:r>
        <w:rPr>
          <w:rFonts w:hint="eastAsia"/>
        </w:rPr>
        <w:t>根据实际情况</w:t>
      </w:r>
      <w:r>
        <w:t>考虑有粘</w:t>
      </w:r>
      <w:r>
        <w:rPr>
          <w:rFonts w:hint="eastAsia"/>
        </w:rPr>
        <w:t>结</w:t>
      </w:r>
      <w:r>
        <w:t>预应力</w:t>
      </w:r>
      <w:r>
        <w:rPr>
          <w:rFonts w:hint="eastAsia"/>
        </w:rPr>
        <w:t>筋</w:t>
      </w:r>
      <w:r>
        <w:t>和楼板有效翼缘宽度的作用</w:t>
      </w:r>
      <w:r>
        <w:rPr>
          <w:rFonts w:hint="eastAsia"/>
        </w:rPr>
        <w:t>，梁</w:t>
      </w:r>
      <w:r>
        <w:t>跨</w:t>
      </w:r>
      <w:r>
        <w:rPr>
          <w:rFonts w:hint="eastAsia"/>
        </w:rPr>
        <w:t>中</w:t>
      </w:r>
      <w:r>
        <w:t>截面</w:t>
      </w:r>
      <w:r>
        <w:rPr>
          <w:rFonts w:hint="eastAsia"/>
        </w:rPr>
        <w:t>的</w:t>
      </w:r>
      <w:r>
        <w:t>受弯承载力和受剪承载力</w:t>
      </w:r>
      <w:r>
        <w:rPr>
          <w:rFonts w:hint="eastAsia"/>
        </w:rPr>
        <w:t>可按</w:t>
      </w:r>
      <w:r>
        <w:t>现行</w:t>
      </w:r>
      <w:r>
        <w:rPr>
          <w:rFonts w:hint="eastAsia"/>
        </w:rPr>
        <w:t>行业</w:t>
      </w:r>
      <w:r>
        <w:t>标准《预应力混凝土结构设计规范》JGJ 369中预应力梁承载力的</w:t>
      </w:r>
      <w:r>
        <w:rPr>
          <w:rFonts w:hint="eastAsia"/>
        </w:rPr>
        <w:t>计算方法确定</w:t>
      </w:r>
      <w:r>
        <w:t>。</w:t>
      </w:r>
      <w:bookmarkEnd w:id="235"/>
      <w:bookmarkEnd w:id="236"/>
    </w:p>
    <w:p>
      <w:pPr>
        <w:pStyle w:val="4"/>
      </w:pPr>
      <w:bookmarkStart w:id="237" w:name="_Ref198038113"/>
      <w:bookmarkStart w:id="238" w:name="_Toc86067896"/>
      <w:bookmarkStart w:id="239" w:name="_Ref86136890"/>
      <w:r>
        <w:rPr>
          <w:rFonts w:hint="eastAsia"/>
        </w:rPr>
        <w:t>当采用梁板柱复合框架节点时，按</w:t>
      </w:r>
      <w:r>
        <w:t>一、二、三级</w:t>
      </w:r>
      <w:r>
        <w:rPr>
          <w:rFonts w:hint="eastAsia"/>
        </w:rPr>
        <w:t>抗震等级设计的压接装配框架梁的</w:t>
      </w:r>
      <w:r>
        <w:t>跨中</w:t>
      </w:r>
      <w:r>
        <w:rPr>
          <w:rFonts w:hint="eastAsia"/>
        </w:rPr>
        <w:t>截面</w:t>
      </w:r>
      <w:r>
        <w:t>下部纵向普通钢筋面积最小值应符合下式</w:t>
      </w:r>
      <w:r>
        <w:rPr>
          <w:rFonts w:hint="eastAsia"/>
        </w:rPr>
        <w:t>要求</w:t>
      </w:r>
      <w:r>
        <w:t>：</w:t>
      </w:r>
      <w:bookmarkEnd w:id="237"/>
      <w:bookmarkEnd w:id="238"/>
      <w:bookmarkEnd w:id="239"/>
    </w:p>
    <w:p>
      <w:pPr>
        <w:pStyle w:val="85"/>
      </w:pPr>
      <w:r>
        <w:rPr>
          <w:szCs w:val="24"/>
        </w:rPr>
        <w:tab/>
      </w:r>
      <m:oMath>
        <m:sSub>
          <m:sSubPr>
            <m:ctrlPr>
              <w:rPr>
                <w:rFonts w:ascii="Cambria Math" w:hAnsi="Cambria Math" w:eastAsiaTheme="minorEastAsia"/>
                <w:szCs w:val="24"/>
              </w:rPr>
            </m:ctrlPr>
          </m:sSubPr>
          <m:e>
            <m:r>
              <m:rPr/>
              <w:rPr>
                <w:rFonts w:ascii="Cambria Math" w:hAnsi="Cambria Math"/>
              </w:rPr>
              <m:t>A</m:t>
            </m:r>
            <m:ctrlPr>
              <w:rPr>
                <w:rFonts w:ascii="Cambria Math" w:hAnsi="Cambria Math" w:eastAsiaTheme="minorEastAsia"/>
                <w:szCs w:val="24"/>
              </w:rPr>
            </m:ctrlPr>
          </m:e>
          <m:sub>
            <m:r>
              <m:rPr/>
              <w:rPr>
                <w:rFonts w:ascii="Cambria Math" w:hAnsi="Cambria Math"/>
              </w:rPr>
              <m:t>s</m:t>
            </m:r>
            <m:ctrlPr>
              <w:rPr>
                <w:rFonts w:ascii="Cambria Math" w:hAnsi="Cambria Math" w:eastAsiaTheme="minorEastAsia"/>
                <w:szCs w:val="24"/>
              </w:rPr>
            </m:ctrlPr>
          </m:sub>
        </m:sSub>
        <m:r>
          <m:rPr>
            <m:sty m:val="p"/>
          </m:rPr>
          <w:rPr>
            <w:rFonts w:ascii="Cambria Math" w:hAnsi="Cambria Math"/>
          </w:rPr>
          <m:t>≥</m:t>
        </m:r>
        <m:f>
          <m:fPr>
            <m:ctrlPr>
              <w:rPr>
                <w:rFonts w:ascii="Cambria Math" w:hAnsi="Cambria Math" w:eastAsiaTheme="minorEastAsia"/>
                <w:szCs w:val="24"/>
              </w:rPr>
            </m:ctrlPr>
          </m:fPr>
          <m:num>
            <m:r>
              <m:rPr>
                <m:sty m:val="p"/>
              </m:rPr>
              <w:rPr>
                <w:rFonts w:ascii="Cambria Math" w:hAnsi="Cambria Math"/>
              </w:rPr>
              <m:t>1</m:t>
            </m:r>
            <m:ctrlPr>
              <w:rPr>
                <w:rFonts w:ascii="Cambria Math" w:hAnsi="Cambria Math" w:eastAsiaTheme="minorEastAsia"/>
                <w:szCs w:val="24"/>
              </w:rPr>
            </m:ctrlPr>
          </m:num>
          <m:den>
            <m:r>
              <m:rPr>
                <m:sty m:val="p"/>
              </m:rPr>
              <w:rPr>
                <w:rFonts w:ascii="Cambria Math" w:hAnsi="Cambria Math"/>
              </w:rPr>
              <m:t>6</m:t>
            </m:r>
            <m:ctrlPr>
              <w:rPr>
                <w:rFonts w:ascii="Cambria Math" w:hAnsi="Cambria Math" w:eastAsiaTheme="minorEastAsia"/>
                <w:szCs w:val="24"/>
              </w:rPr>
            </m:ctrlPr>
          </m:den>
        </m:f>
        <m:d>
          <m:dPr>
            <m:ctrlPr>
              <w:rPr>
                <w:rFonts w:ascii="Cambria Math" w:hAnsi="Cambria Math" w:eastAsiaTheme="minorEastAsia"/>
                <w:szCs w:val="24"/>
              </w:rPr>
            </m:ctrlPr>
          </m:dPr>
          <m:e>
            <m:f>
              <m:fPr>
                <m:ctrlPr>
                  <w:rPr>
                    <w:rFonts w:ascii="Cambria Math" w:hAnsi="Cambria Math" w:eastAsiaTheme="minorEastAsia"/>
                    <w:szCs w:val="24"/>
                  </w:rPr>
                </m:ctrlPr>
              </m:fPr>
              <m:num>
                <m:sSub>
                  <m:sSubPr>
                    <m:ctrlPr>
                      <w:rPr>
                        <w:rFonts w:ascii="XITS Math" w:hAnsi="XITS Math" w:cs="XITS Math"/>
                      </w:rPr>
                    </m:ctrlPr>
                  </m:sSubPr>
                  <m:e>
                    <m:r>
                      <m:rPr/>
                      <w:rPr>
                        <w:rFonts w:ascii="XITS Math" w:hAnsi="XITS Math" w:cs="XITS Math"/>
                      </w:rPr>
                      <m:t>σ</m:t>
                    </m:r>
                    <m:ctrlPr>
                      <w:rPr>
                        <w:rFonts w:ascii="XITS Math" w:hAnsi="XITS Math" w:cs="XITS Math"/>
                      </w:rPr>
                    </m:ctrlPr>
                  </m:e>
                  <m:sub>
                    <m:r>
                      <m:rPr/>
                      <w:rPr>
                        <w:rFonts w:ascii="XITS Math" w:hAnsi="XITS Math" w:cs="XITS Math"/>
                      </w:rPr>
                      <m:t>pe</m:t>
                    </m:r>
                    <m:ctrlPr>
                      <w:rPr>
                        <w:rFonts w:ascii="XITS Math" w:hAnsi="XITS Math" w:cs="XITS Math"/>
                      </w:rPr>
                    </m:ctrlPr>
                  </m:sub>
                </m:sSub>
                <m:sSub>
                  <m:sSubPr>
                    <m:ctrlPr>
                      <w:rPr>
                        <w:rFonts w:ascii="Cambria Math" w:hAnsi="Cambria Math" w:eastAsiaTheme="minorEastAsia"/>
                        <w:szCs w:val="24"/>
                      </w:rPr>
                    </m:ctrlPr>
                  </m:sSubPr>
                  <m:e>
                    <m:r>
                      <m:rPr/>
                      <w:rPr>
                        <w:rFonts w:ascii="Cambria Math" w:hAnsi="Cambria Math"/>
                      </w:rPr>
                      <m:t>ℎ</m:t>
                    </m:r>
                    <m:ctrlPr>
                      <w:rPr>
                        <w:rFonts w:ascii="Cambria Math" w:hAnsi="Cambria Math" w:eastAsiaTheme="minorEastAsia"/>
                        <w:szCs w:val="24"/>
                      </w:rPr>
                    </m:ctrlPr>
                  </m:e>
                  <m:sub>
                    <m:r>
                      <m:rPr/>
                      <w:rPr>
                        <w:rFonts w:ascii="Cambria Math" w:hAnsi="Cambria Math"/>
                      </w:rPr>
                      <m:t>p</m:t>
                    </m:r>
                    <m:ctrlPr>
                      <w:rPr>
                        <w:rFonts w:ascii="Cambria Math" w:hAnsi="Cambria Math" w:eastAsiaTheme="minorEastAsia"/>
                        <w:szCs w:val="24"/>
                      </w:rPr>
                    </m:ctrlPr>
                  </m:sub>
                </m:sSub>
                <m:ctrlPr>
                  <w:rPr>
                    <w:rFonts w:ascii="Cambria Math" w:hAnsi="Cambria Math" w:eastAsiaTheme="minorEastAsia"/>
                    <w:szCs w:val="24"/>
                  </w:rPr>
                </m:ctrlPr>
              </m:num>
              <m:den>
                <m:sSub>
                  <m:sSubPr>
                    <m:ctrlPr>
                      <w:rPr>
                        <w:rFonts w:ascii="Cambria Math" w:hAnsi="Cambria Math" w:eastAsiaTheme="minorEastAsia"/>
                        <w:szCs w:val="24"/>
                      </w:rPr>
                    </m:ctrlPr>
                  </m:sSubPr>
                  <m:e>
                    <m:r>
                      <m:rPr/>
                      <w:rPr>
                        <w:rFonts w:ascii="Cambria Math" w:hAnsi="Cambria Math"/>
                      </w:rPr>
                      <m:t>f</m:t>
                    </m:r>
                    <m:ctrlPr>
                      <w:rPr>
                        <w:rFonts w:ascii="Cambria Math" w:hAnsi="Cambria Math" w:eastAsiaTheme="minorEastAsia"/>
                        <w:szCs w:val="24"/>
                      </w:rPr>
                    </m:ctrlPr>
                  </m:e>
                  <m:sub>
                    <m:r>
                      <m:rPr/>
                      <w:rPr>
                        <w:rFonts w:ascii="Cambria Math" w:hAnsi="Cambria Math"/>
                      </w:rPr>
                      <m:t>y</m:t>
                    </m:r>
                    <m:ctrlPr>
                      <w:rPr>
                        <w:rFonts w:ascii="Cambria Math" w:hAnsi="Cambria Math" w:eastAsiaTheme="minorEastAsia"/>
                        <w:szCs w:val="24"/>
                      </w:rPr>
                    </m:ctrlPr>
                  </m:sub>
                </m:sSub>
                <m:sSub>
                  <m:sSubPr>
                    <m:ctrlPr>
                      <w:rPr>
                        <w:rFonts w:ascii="Cambria Math" w:hAnsi="Cambria Math" w:eastAsiaTheme="minorEastAsia"/>
                        <w:szCs w:val="24"/>
                      </w:rPr>
                    </m:ctrlPr>
                  </m:sSubPr>
                  <m:e>
                    <m:r>
                      <m:rPr/>
                      <w:rPr>
                        <w:rFonts w:ascii="Cambria Math" w:hAnsi="Cambria Math"/>
                      </w:rPr>
                      <m:t>ℎ</m:t>
                    </m:r>
                    <m:ctrlPr>
                      <w:rPr>
                        <w:rFonts w:ascii="Cambria Math" w:hAnsi="Cambria Math" w:eastAsiaTheme="minorEastAsia"/>
                        <w:szCs w:val="24"/>
                      </w:rPr>
                    </m:ctrlPr>
                  </m:e>
                  <m:sub>
                    <m:r>
                      <m:rPr/>
                      <w:rPr>
                        <w:rFonts w:ascii="Cambria Math" w:hAnsi="Cambria Math"/>
                      </w:rPr>
                      <m:t>s</m:t>
                    </m:r>
                    <m:ctrlPr>
                      <w:rPr>
                        <w:rFonts w:ascii="Cambria Math" w:hAnsi="Cambria Math" w:eastAsiaTheme="minorEastAsia"/>
                        <w:szCs w:val="24"/>
                      </w:rPr>
                    </m:ctrlPr>
                  </m:sub>
                </m:sSub>
                <m:ctrlPr>
                  <w:rPr>
                    <w:rFonts w:ascii="Cambria Math" w:hAnsi="Cambria Math" w:eastAsiaTheme="minorEastAsia"/>
                    <w:szCs w:val="24"/>
                  </w:rPr>
                </m:ctrlPr>
              </m:den>
            </m:f>
            <m:ctrlPr>
              <w:rPr>
                <w:rFonts w:ascii="Cambria Math" w:hAnsi="Cambria Math" w:eastAsiaTheme="minorEastAsia"/>
                <w:szCs w:val="24"/>
              </w:rPr>
            </m:ctrlPr>
          </m:e>
        </m:d>
        <m:sSub>
          <m:sSubPr>
            <m:ctrlPr>
              <w:rPr>
                <w:rFonts w:ascii="Cambria Math" w:hAnsi="Cambria Math" w:eastAsiaTheme="minorEastAsia"/>
                <w:szCs w:val="24"/>
              </w:rPr>
            </m:ctrlPr>
          </m:sSubPr>
          <m:e>
            <m:r>
              <m:rPr/>
              <w:rPr>
                <w:rFonts w:ascii="Cambria Math" w:hAnsi="Cambria Math"/>
              </w:rPr>
              <m:t>A</m:t>
            </m:r>
            <m:ctrlPr>
              <w:rPr>
                <w:rFonts w:ascii="Cambria Math" w:hAnsi="Cambria Math" w:eastAsiaTheme="minorEastAsia"/>
                <w:szCs w:val="24"/>
              </w:rPr>
            </m:ctrlPr>
          </m:e>
          <m:sub>
            <m:r>
              <m:rPr/>
              <w:rPr>
                <w:rFonts w:ascii="Cambria Math" w:hAnsi="Cambria Math"/>
              </w:rPr>
              <m:t>p</m:t>
            </m:r>
            <m:ctrlPr>
              <w:rPr>
                <w:rFonts w:ascii="Cambria Math" w:hAnsi="Cambria Math" w:eastAsiaTheme="minorEastAsia"/>
                <w:szCs w:val="24"/>
              </w:rPr>
            </m:ctrlPr>
          </m:sub>
        </m:sSub>
      </m:oMath>
      <w:r>
        <w:tab/>
      </w:r>
      <w:r>
        <w:t>（</w:t>
      </w:r>
      <w:r>
        <w:fldChar w:fldCharType="begin"/>
      </w:r>
      <w:r>
        <w:instrText xml:space="preserve"> STYLEREF 3 \s </w:instrText>
      </w:r>
      <w:r>
        <w:fldChar w:fldCharType="separate"/>
      </w:r>
      <w:r>
        <w:t>5. 3. 9</w:t>
      </w:r>
      <w:r>
        <w:fldChar w:fldCharType="end"/>
      </w:r>
      <w:r>
        <w:t>）</w:t>
      </w:r>
    </w:p>
    <w:p>
      <w:pPr>
        <w:pStyle w:val="86"/>
      </w:pPr>
      <w:r>
        <w:t>式中：</w:t>
      </w: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oMath>
      <w:r>
        <w:t>——</w:t>
      </w:r>
      <w:r>
        <w:tab/>
      </w:r>
      <w:r>
        <w:t>预应力</w:t>
      </w:r>
      <w:r>
        <w:rPr>
          <w:rFonts w:hint="eastAsia"/>
        </w:rPr>
        <w:t>筋</w:t>
      </w:r>
      <w:r>
        <w:t>面积</w:t>
      </w:r>
      <w:r>
        <w:rPr>
          <w:rFonts w:hint="eastAsia"/>
        </w:rPr>
        <w:t>（mm</w:t>
      </w:r>
      <w:r>
        <w:rPr>
          <w:rFonts w:hint="eastAsia"/>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p</m:t>
            </m:r>
            <m:ctrlPr>
              <w:rPr>
                <w:rFonts w:ascii="Cambria Math" w:hAnsi="Cambria Math"/>
              </w:rPr>
            </m:ctrlPr>
          </m:sub>
        </m:sSub>
      </m:oMath>
      <w:r>
        <w:t>——</w:t>
      </w:r>
      <w:r>
        <w:tab/>
      </w:r>
      <w:r>
        <w:t>预应力</w:t>
      </w:r>
      <w:r>
        <w:rPr>
          <w:rFonts w:hint="eastAsia"/>
        </w:rPr>
        <w:t>筋</w:t>
      </w:r>
      <w:r>
        <w:t>合力点至截面受压边缘的距离</w:t>
      </w:r>
      <w:r>
        <w:rPr>
          <w:rFonts w:hint="eastAsia"/>
        </w:rPr>
        <w:t>（mm）</w:t>
      </w:r>
      <w:r>
        <w:t>；</w:t>
      </w:r>
    </w:p>
    <w:p>
      <w:pPr>
        <w:pStyle w:val="86"/>
      </w:pPr>
      <w:r>
        <w:tab/>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s</m:t>
            </m:r>
            <m:ctrlPr>
              <w:rPr>
                <w:rFonts w:ascii="Cambria Math" w:hAnsi="Cambria Math"/>
              </w:rPr>
            </m:ctrlPr>
          </m:sub>
        </m:sSub>
      </m:oMath>
      <w:r>
        <w:t>——</w:t>
      </w:r>
      <w:r>
        <w:tab/>
      </w:r>
      <w:r>
        <w:rPr>
          <w:rFonts w:hint="eastAsia"/>
        </w:rPr>
        <w:t>梁跨中截面</w:t>
      </w:r>
      <w:r>
        <w:t>下部纵向普通钢筋合力点至截面受压边缘的距离</w:t>
      </w:r>
      <w:r>
        <w:rPr>
          <w:rFonts w:hint="eastAsia"/>
        </w:rPr>
        <w:t>（mm）</w:t>
      </w:r>
      <w:r>
        <w:t>。</w:t>
      </w:r>
    </w:p>
    <w:p>
      <w:pPr>
        <w:pStyle w:val="4"/>
      </w:pPr>
      <w:bookmarkStart w:id="240" w:name="_Ref86137508"/>
      <w:bookmarkStart w:id="241" w:name="_Ref198038175"/>
      <w:bookmarkStart w:id="242" w:name="_Toc86067903"/>
      <w:r>
        <w:rPr>
          <w:rFonts w:hint="eastAsia"/>
        </w:rPr>
        <w:t>压接装配框架的预制柱宜采用矩形截面，截面边长不宜小于4</w:t>
      </w:r>
      <w:r>
        <w:t>00</w:t>
      </w:r>
      <w:r>
        <w:rPr>
          <w:rFonts w:hint="eastAsia"/>
        </w:rPr>
        <w:t>mm。对按</w:t>
      </w:r>
      <w:r>
        <w:t>一、二、三级</w:t>
      </w:r>
      <w:r>
        <w:rPr>
          <w:rFonts w:hint="eastAsia"/>
        </w:rPr>
        <w:t>抗震等级设计</w:t>
      </w:r>
      <w:r>
        <w:t>的</w:t>
      </w:r>
      <w:r>
        <w:rPr>
          <w:rFonts w:hint="eastAsia"/>
        </w:rPr>
        <w:t>压接装配框架</w:t>
      </w:r>
      <w:r>
        <w:t>柱，当梁端耗能钢筋在预制混凝土柱中预埋部分的长度小于</w:t>
      </w:r>
      <w:r>
        <w:rPr>
          <w:rFonts w:hint="eastAsia"/>
        </w:rPr>
        <w:t>耗能钢筋</w:t>
      </w:r>
      <w:r>
        <w:t>直径20倍时，预制混凝土柱</w:t>
      </w:r>
      <w:r>
        <w:rPr>
          <w:rFonts w:hint="eastAsia"/>
        </w:rPr>
        <w:t>中的</w:t>
      </w:r>
      <w:r>
        <w:t>耗能钢筋中部</w:t>
      </w:r>
      <w:r>
        <w:rPr>
          <w:rFonts w:hint="eastAsia"/>
        </w:rPr>
        <w:t>应设置</w:t>
      </w:r>
      <w:r>
        <w:t>附加锚板</w:t>
      </w:r>
      <w:r>
        <w:rPr>
          <w:rFonts w:hint="eastAsia"/>
        </w:rPr>
        <w:t>、</w:t>
      </w:r>
      <w:r>
        <w:t>焊接短钢筋</w:t>
      </w:r>
      <w:r>
        <w:rPr>
          <w:rFonts w:hint="eastAsia"/>
        </w:rPr>
        <w:t>等有效锚固措施</w:t>
      </w:r>
      <w:r>
        <w:t>。</w:t>
      </w:r>
      <w:bookmarkEnd w:id="240"/>
      <w:bookmarkEnd w:id="241"/>
      <w:bookmarkEnd w:id="242"/>
    </w:p>
    <w:p>
      <w:pPr>
        <w:pStyle w:val="4"/>
      </w:pPr>
      <w:bookmarkStart w:id="243" w:name="_Toc86067905"/>
      <w:bookmarkStart w:id="244" w:name="_Ref81321352"/>
      <w:r>
        <w:rPr>
          <w:rFonts w:hint="eastAsia"/>
        </w:rPr>
        <w:t>预制的压接装配框架</w:t>
      </w:r>
      <w:r>
        <w:t>柱纵向受力钢筋直径不宜小于20mm，纵向受力钢筋的间距不宜大于200mm</w:t>
      </w:r>
      <w:r>
        <w:rPr>
          <w:rFonts w:hint="eastAsia"/>
        </w:rPr>
        <w:t>、</w:t>
      </w:r>
      <w:r>
        <w:t>且不应大于400mm</w:t>
      </w:r>
      <w:r>
        <w:rPr>
          <w:rFonts w:hint="eastAsia"/>
        </w:rPr>
        <w:t>，</w:t>
      </w:r>
      <w:r>
        <w:t>柱纵向受力钢筋宜集中于四角配置且对称布置。柱中可设置纵向</w:t>
      </w:r>
      <w:r>
        <w:rPr>
          <w:rFonts w:hint="eastAsia"/>
        </w:rPr>
        <w:t>构造</w:t>
      </w:r>
      <w:r>
        <w:t>钢筋，直径不宜小于16mm；当正截面承载力计算不计入纵向</w:t>
      </w:r>
      <w:r>
        <w:rPr>
          <w:rFonts w:hint="eastAsia"/>
        </w:rPr>
        <w:t>构造</w:t>
      </w:r>
      <w:r>
        <w:t>钢筋时，纵向</w:t>
      </w:r>
      <w:r>
        <w:rPr>
          <w:rFonts w:hint="eastAsia"/>
        </w:rPr>
        <w:t>构造</w:t>
      </w:r>
      <w:r>
        <w:t>钢筋可不伸入框架节点</w:t>
      </w:r>
      <w:r>
        <w:rPr>
          <w:rFonts w:hint="eastAsia"/>
        </w:rPr>
        <w:t>内</w:t>
      </w:r>
      <w:r>
        <w:t>。</w:t>
      </w:r>
      <w:bookmarkEnd w:id="243"/>
      <w:bookmarkEnd w:id="244"/>
    </w:p>
    <w:p>
      <w:pPr>
        <w:pStyle w:val="4"/>
      </w:pPr>
      <w:bookmarkStart w:id="245" w:name="_Ref91606798"/>
      <w:r>
        <w:rPr>
          <w:rFonts w:hint="eastAsia"/>
        </w:rPr>
        <w:t>正常使用状态下，采用梁板柱复合框架节点的压接装配框架梁的裂缝和挠度验算可按如下规定执行：</w:t>
      </w:r>
      <w:bookmarkEnd w:id="245"/>
    </w:p>
    <w:p>
      <w:pPr>
        <w:autoSpaceDE w:val="0"/>
        <w:autoSpaceDN w:val="0"/>
        <w:adjustRightInd w:val="0"/>
        <w:snapToGrid w:val="0"/>
        <w:spacing w:line="312" w:lineRule="auto"/>
        <w:ind w:firstLine="481" w:firstLineChars="200"/>
        <w:rPr>
          <w:bCs/>
          <w:szCs w:val="32"/>
        </w:rPr>
      </w:pPr>
      <w:r>
        <w:rPr>
          <w:rFonts w:hint="eastAsia"/>
          <w:b/>
          <w:szCs w:val="32"/>
        </w:rPr>
        <w:t>1</w:t>
      </w:r>
      <w:r>
        <w:rPr>
          <w:rFonts w:hint="eastAsia"/>
          <w:b/>
          <w:szCs w:val="32"/>
        </w:rPr>
        <w:tab/>
      </w:r>
      <w:r>
        <w:rPr>
          <w:rFonts w:hint="eastAsia"/>
        </w:rPr>
        <w:t>压接装配框架</w:t>
      </w:r>
      <w:r>
        <w:rPr>
          <w:rFonts w:hint="eastAsia"/>
          <w:bCs/>
          <w:szCs w:val="32"/>
        </w:rPr>
        <w:t>梁端顶部裂缝验算时，可偏于安全不考虑预应力效应，按普通混凝土梁截面计算裂缝宽度，按现行国家标准《混凝土结构设计标准》GB</w:t>
      </w:r>
      <w:r>
        <w:rPr>
          <w:bCs/>
          <w:szCs w:val="32"/>
        </w:rPr>
        <w:t xml:space="preserve">/T </w:t>
      </w:r>
      <w:r>
        <w:rPr>
          <w:rFonts w:hint="eastAsia"/>
          <w:bCs/>
          <w:szCs w:val="32"/>
        </w:rPr>
        <w:t>50010有关规定执行；</w:t>
      </w:r>
    </w:p>
    <w:p>
      <w:pPr>
        <w:autoSpaceDE w:val="0"/>
        <w:autoSpaceDN w:val="0"/>
        <w:adjustRightInd w:val="0"/>
        <w:snapToGrid w:val="0"/>
        <w:spacing w:line="312" w:lineRule="auto"/>
        <w:ind w:firstLine="481" w:firstLineChars="200"/>
      </w:pPr>
      <w:r>
        <w:rPr>
          <w:rFonts w:hint="eastAsia"/>
          <w:b/>
          <w:szCs w:val="32"/>
        </w:rPr>
        <w:t>2</w:t>
      </w:r>
      <w:r>
        <w:rPr>
          <w:rFonts w:hint="eastAsia"/>
          <w:b/>
          <w:szCs w:val="32"/>
        </w:rPr>
        <w:tab/>
      </w:r>
      <w:r>
        <w:rPr>
          <w:rFonts w:hint="eastAsia"/>
          <w:bCs/>
          <w:szCs w:val="32"/>
        </w:rPr>
        <w:t>压接装配框架梁跨中底部裂缝与挠度的验算可按现行行业标准《</w:t>
      </w:r>
      <w:r>
        <w:t>预应力混凝土结构设计规范》JGJ 369</w:t>
      </w:r>
      <w:r>
        <w:rPr>
          <w:rFonts w:hint="eastAsia"/>
        </w:rPr>
        <w:t>的有关规定执行。</w:t>
      </w:r>
    </w:p>
    <w:p>
      <w:pPr>
        <w:pStyle w:val="4"/>
      </w:pPr>
      <w:r>
        <w:rPr>
          <w:rFonts w:hint="eastAsia"/>
        </w:rPr>
        <w:t>压接装配板柱中的预制柱应为矩形截面，并在楼板厚度范围内预留双向预应力束孔道。</w:t>
      </w:r>
    </w:p>
    <w:p/>
    <w:p>
      <w:pPr>
        <w:pStyle w:val="3"/>
      </w:pPr>
      <w:bookmarkStart w:id="246" w:name="_Toc202345819"/>
      <w:bookmarkStart w:id="247" w:name="_Toc92182253"/>
      <w:bookmarkStart w:id="248" w:name="_Toc86067915"/>
      <w:bookmarkStart w:id="249" w:name="_Toc91664407"/>
      <w:bookmarkStart w:id="250" w:name="_Toc91664517"/>
      <w:bookmarkStart w:id="251" w:name="_Toc91664520"/>
      <w:bookmarkStart w:id="252" w:name="_Toc92182256"/>
      <w:bookmarkStart w:id="253" w:name="_Toc91664410"/>
      <w:r>
        <w:t>楼板设计</w:t>
      </w:r>
      <w:bookmarkEnd w:id="246"/>
      <w:bookmarkEnd w:id="247"/>
      <w:bookmarkEnd w:id="248"/>
      <w:bookmarkEnd w:id="249"/>
      <w:bookmarkEnd w:id="250"/>
      <w:bookmarkStart w:id="254" w:name="_Toc197444882"/>
      <w:bookmarkEnd w:id="254"/>
    </w:p>
    <w:p>
      <w:pPr>
        <w:pStyle w:val="4"/>
      </w:pPr>
      <w:bookmarkStart w:id="255" w:name="_Ref86138147"/>
      <w:bookmarkStart w:id="256" w:name="_Ref198038352"/>
      <w:bookmarkStart w:id="257" w:name="_Toc86067916"/>
      <w:r>
        <w:rPr>
          <w:rFonts w:hint="eastAsia"/>
        </w:rPr>
        <w:t>由自复位梁柱节点组成的压接装配框架，其楼板宜采用全预制楼板；由梁板柱复合节点组成的框架，其楼板宜采用带后浇叠合层的</w:t>
      </w:r>
      <w:r>
        <w:t>预应力混凝土空心板、预应力混凝土双T叠合板、预应力带肋混凝土叠合板、钢管桁架预应力混凝土叠合板、钢筋桁架混凝土叠合板</w:t>
      </w:r>
      <w:r>
        <w:rPr>
          <w:rFonts w:hint="eastAsia"/>
        </w:rPr>
        <w:t>，也可采用</w:t>
      </w:r>
      <w:r>
        <w:t>钢筋桁架楼承板</w:t>
      </w:r>
      <w:r>
        <w:rPr>
          <w:rFonts w:hint="eastAsia"/>
        </w:rPr>
        <w:t>，并应符合国家现行标准的有关规定。</w:t>
      </w:r>
      <w:bookmarkEnd w:id="255"/>
      <w:bookmarkEnd w:id="256"/>
      <w:bookmarkEnd w:id="257"/>
    </w:p>
    <w:p>
      <w:pPr>
        <w:pStyle w:val="4"/>
      </w:pPr>
      <w:bookmarkStart w:id="258" w:name="_Ref198038386"/>
      <w:bookmarkStart w:id="259" w:name="_Ref86138175"/>
      <w:bookmarkStart w:id="260" w:name="_Toc86067917"/>
      <w:r>
        <w:rPr>
          <w:rFonts w:hint="eastAsia"/>
        </w:rPr>
        <w:t>压接装配框架的</w:t>
      </w:r>
      <w:r>
        <w:t>楼板采用</w:t>
      </w:r>
      <w:r>
        <w:rPr>
          <w:rFonts w:hint="eastAsia"/>
        </w:rPr>
        <w:t>带后</w:t>
      </w:r>
      <w:r>
        <w:t>浇叠合层的预应力混凝土空心板和预应力混凝土双T板时，</w:t>
      </w:r>
      <w:r>
        <w:rPr>
          <w:rFonts w:hint="eastAsia"/>
        </w:rPr>
        <w:t>应符合下列规定：</w:t>
      </w:r>
      <w:bookmarkEnd w:id="258"/>
    </w:p>
    <w:p>
      <w:pPr>
        <w:pStyle w:val="70"/>
      </w:pPr>
      <w:r>
        <w:rPr>
          <w:rFonts w:hint="eastAsia"/>
          <w:b/>
          <w:bCs/>
        </w:rPr>
        <w:t>1</w:t>
      </w:r>
      <w:r>
        <w:tab/>
      </w:r>
      <w:r>
        <w:rPr>
          <w:rFonts w:hint="eastAsia"/>
        </w:rPr>
        <w:t>楼板可</w:t>
      </w:r>
      <w:r>
        <w:t>按单向简支板进行</w:t>
      </w:r>
      <w:r>
        <w:rPr>
          <w:rFonts w:hint="eastAsia"/>
        </w:rPr>
        <w:t>极限状态</w:t>
      </w:r>
      <w:r>
        <w:t>设计，</w:t>
      </w:r>
      <w:r>
        <w:rPr>
          <w:rFonts w:hint="eastAsia"/>
        </w:rPr>
        <w:t>楼板</w:t>
      </w:r>
      <w:r>
        <w:t>跨中截面</w:t>
      </w:r>
      <w:r>
        <w:rPr>
          <w:rFonts w:hint="eastAsia"/>
        </w:rPr>
        <w:t>承载力与变形的计算应</w:t>
      </w:r>
      <w:r>
        <w:t>考虑后浇叠合层组合作用</w:t>
      </w:r>
      <w:bookmarkEnd w:id="259"/>
      <w:bookmarkEnd w:id="260"/>
      <w:r>
        <w:rPr>
          <w:rFonts w:hint="eastAsia"/>
        </w:rPr>
        <w:t>；</w:t>
      </w:r>
    </w:p>
    <w:p>
      <w:pPr>
        <w:pStyle w:val="70"/>
        <w:rPr>
          <w:b/>
          <w:bCs/>
        </w:rPr>
      </w:pPr>
      <w:r>
        <w:rPr>
          <w:rFonts w:hint="eastAsia"/>
          <w:b/>
          <w:bCs/>
        </w:rPr>
        <w:t>2</w:t>
      </w:r>
      <w:r>
        <w:rPr>
          <w:b/>
          <w:bCs/>
        </w:rPr>
        <w:tab/>
      </w:r>
      <w:r>
        <w:rPr>
          <w:rFonts w:hint="eastAsia"/>
        </w:rPr>
        <w:t>当施工阶段楼板跨中不设支撑时，应根据现行国家标准《混凝土结构设计标准》 GB/T 50010 的有关规定进行二阶段承载力、裂缝及挠度验算。</w:t>
      </w:r>
    </w:p>
    <w:p>
      <w:pPr>
        <w:pStyle w:val="4"/>
      </w:pPr>
      <w:bookmarkStart w:id="261" w:name="_Toc86067918"/>
      <w:bookmarkStart w:id="262" w:name="_Ref86138219"/>
      <w:r>
        <w:rPr>
          <w:rFonts w:hint="eastAsia"/>
        </w:rPr>
        <w:t>预应力压接装配式结构的预制楼板</w:t>
      </w:r>
      <w:r>
        <w:t>应根据施工阶段</w:t>
      </w:r>
      <w:r>
        <w:rPr>
          <w:rFonts w:hint="eastAsia"/>
        </w:rPr>
        <w:t>的</w:t>
      </w:r>
      <w:r>
        <w:t>下部支撑条件、</w:t>
      </w:r>
      <w:r>
        <w:rPr>
          <w:rFonts w:hint="eastAsia"/>
        </w:rPr>
        <w:t>预制楼</w:t>
      </w:r>
      <w:r>
        <w:t>板自重、叠合层混凝土自重和施工荷载</w:t>
      </w:r>
      <w:r>
        <w:rPr>
          <w:rFonts w:hint="eastAsia"/>
        </w:rPr>
        <w:t>，</w:t>
      </w:r>
      <w:r>
        <w:t>进行</w:t>
      </w:r>
      <w:r>
        <w:rPr>
          <w:rFonts w:hint="eastAsia"/>
        </w:rPr>
        <w:t>施工阶段的抗弯承载力</w:t>
      </w:r>
      <w:r>
        <w:t>、</w:t>
      </w:r>
      <w:r>
        <w:rPr>
          <w:rFonts w:hint="eastAsia"/>
        </w:rPr>
        <w:t>抗剪承载力</w:t>
      </w:r>
      <w:r>
        <w:t>和变形验算。</w:t>
      </w:r>
      <w:bookmarkEnd w:id="261"/>
      <w:bookmarkEnd w:id="262"/>
    </w:p>
    <w:p>
      <w:pPr>
        <w:pStyle w:val="4"/>
      </w:pPr>
      <w:bookmarkStart w:id="263" w:name="_Ref197693621"/>
      <w:r>
        <w:rPr>
          <w:rFonts w:hint="eastAsia"/>
        </w:rPr>
        <w:t>预应力压接装配板柱的楼板应符合下列规定：</w:t>
      </w:r>
      <w:bookmarkEnd w:id="263"/>
    </w:p>
    <w:p>
      <w:pPr>
        <w:pStyle w:val="70"/>
      </w:pPr>
      <w:r>
        <w:rPr>
          <w:rFonts w:hint="eastAsia"/>
          <w:b/>
          <w:bCs/>
        </w:rPr>
        <w:t>1</w:t>
      </w:r>
      <w:r>
        <w:tab/>
      </w:r>
      <w:r>
        <w:rPr>
          <w:rFonts w:hint="eastAsia"/>
        </w:rPr>
        <w:t>预制楼板应为双向带肋的矩形平面，在与柱接触的板角留缺口，与柱双面平接；</w:t>
      </w:r>
    </w:p>
    <w:p>
      <w:pPr>
        <w:tabs>
          <w:tab w:val="left" w:pos="840"/>
        </w:tabs>
        <w:snapToGrid w:val="0"/>
        <w:spacing w:line="360" w:lineRule="auto"/>
        <w:ind w:firstLine="481" w:firstLineChars="200"/>
      </w:pPr>
      <w:r>
        <w:rPr>
          <w:b/>
          <w:bCs/>
        </w:rPr>
        <w:t>2</w:t>
      </w:r>
      <w:r>
        <w:tab/>
      </w:r>
      <w:r>
        <w:rPr>
          <w:rFonts w:hint="eastAsia"/>
        </w:rPr>
        <w:t>预制边梁应位于楼层周边柱轴线外侧，支承在柱与柱、柱与垫块或两垫块之间；</w:t>
      </w:r>
    </w:p>
    <w:p>
      <w:pPr>
        <w:pStyle w:val="70"/>
        <w:rPr>
          <w:b/>
          <w:bCs/>
        </w:rPr>
      </w:pPr>
      <w:r>
        <w:rPr>
          <w:rFonts w:hint="eastAsia"/>
          <w:b/>
          <w:bCs/>
        </w:rPr>
        <w:t>3</w:t>
      </w:r>
      <w:r>
        <w:rPr>
          <w:b/>
          <w:bCs/>
        </w:rPr>
        <w:tab/>
      </w:r>
      <w:r>
        <w:rPr>
          <w:rFonts w:hint="eastAsia"/>
        </w:rPr>
        <w:t>预制楼板可根据柱网大小、运输和吊装条件，在每个柱网单元采用整板或拼板（图</w:t>
      </w:r>
      <w:r>
        <w:fldChar w:fldCharType="begin"/>
      </w:r>
      <w:r>
        <w:instrText xml:space="preserve"> </w:instrText>
      </w:r>
      <w:r>
        <w:rPr>
          <w:rFonts w:hint="eastAsia"/>
        </w:rPr>
        <w:instrText xml:space="preserve">REF _Ref197693621 \r \h</w:instrText>
      </w:r>
      <w:r>
        <w:instrText xml:space="preserve"> </w:instrText>
      </w:r>
      <w:r>
        <w:fldChar w:fldCharType="separate"/>
      </w:r>
      <w:r>
        <w:t>5. 4. 4</w:t>
      </w:r>
      <w:r>
        <w:fldChar w:fldCharType="end"/>
      </w:r>
      <w:r>
        <w:rPr>
          <w:rFonts w:hint="eastAsia"/>
        </w:rPr>
        <w:t>）；</w:t>
      </w:r>
    </w:p>
    <w:p>
      <w:pPr>
        <w:pStyle w:val="70"/>
      </w:pPr>
      <w:r>
        <w:rPr>
          <w:b/>
          <w:bCs/>
        </w:rPr>
        <w:t>4</w:t>
      </w:r>
      <w:r>
        <w:tab/>
      </w:r>
      <w:r>
        <w:rPr>
          <w:rFonts w:hint="eastAsia"/>
        </w:rPr>
        <w:t>当预制楼板采用拼板时，拼板的板角之间应设置垫块，垫块可为预制方垫块或扁垫块，作传力与连接用，预应力束从其内部穿过。垫块厚度宜于预制楼板相同。</w:t>
      </w:r>
    </w:p>
    <w:p/>
    <w:p>
      <w:pPr>
        <w:pStyle w:val="69"/>
      </w:pPr>
      <w:r>
        <w:drawing>
          <wp:inline distT="0" distB="0" distL="0" distR="0">
            <wp:extent cx="4015740" cy="2719705"/>
            <wp:effectExtent l="0" t="0" r="3810" b="4445"/>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020298" cy="2723115"/>
                    </a:xfrm>
                    <a:prstGeom prst="rect">
                      <a:avLst/>
                    </a:prstGeom>
                    <a:noFill/>
                    <a:ln>
                      <a:noFill/>
                    </a:ln>
                  </pic:spPr>
                </pic:pic>
              </a:graphicData>
            </a:graphic>
          </wp:inline>
        </w:drawing>
      </w:r>
    </w:p>
    <w:p>
      <w:pPr>
        <w:pStyle w:val="69"/>
      </w:pPr>
      <w:r>
        <w:rPr>
          <w:rFonts w:hint="eastAsia"/>
        </w:rPr>
        <w:t>图</w:t>
      </w:r>
      <w:r>
        <w:fldChar w:fldCharType="begin"/>
      </w:r>
      <w:r>
        <w:instrText xml:space="preserve"> </w:instrText>
      </w:r>
      <w:r>
        <w:rPr>
          <w:rFonts w:hint="eastAsia"/>
        </w:rPr>
        <w:instrText xml:space="preserve">REF _Ref197693621 \r \h</w:instrText>
      </w:r>
      <w:r>
        <w:instrText xml:space="preserve"> </w:instrText>
      </w:r>
      <w:r>
        <w:fldChar w:fldCharType="separate"/>
      </w:r>
      <w:r>
        <w:t>5. 4. 4</w:t>
      </w:r>
      <w:r>
        <w:fldChar w:fldCharType="end"/>
      </w:r>
      <w:r>
        <w:t xml:space="preserve">-1  </w:t>
      </w:r>
      <w:r>
        <w:rPr>
          <w:rFonts w:hint="eastAsia"/>
        </w:rPr>
        <w:t>整板</w:t>
      </w:r>
    </w:p>
    <w:p>
      <w:pPr>
        <w:pStyle w:val="69"/>
      </w:pPr>
      <w:r>
        <w:t>1—</w:t>
      </w:r>
      <w:r>
        <w:rPr>
          <w:rFonts w:hint="eastAsia"/>
        </w:rPr>
        <w:t>预制整板</w:t>
      </w:r>
      <w:r>
        <w:t>；2—</w:t>
      </w:r>
      <w:r>
        <w:rPr>
          <w:rFonts w:hint="eastAsia"/>
        </w:rPr>
        <w:t>预制边梁</w:t>
      </w:r>
      <w:r>
        <w:t>；3—</w:t>
      </w:r>
      <w:r>
        <w:rPr>
          <w:rFonts w:hint="eastAsia"/>
        </w:rPr>
        <w:t>明槽</w:t>
      </w:r>
      <w:r>
        <w:t>；4—</w:t>
      </w:r>
      <w:r>
        <w:rPr>
          <w:rFonts w:hint="eastAsia"/>
        </w:rPr>
        <w:t>接缝灌浆料；</w:t>
      </w:r>
      <w:r>
        <w:t>5—</w:t>
      </w:r>
      <w:r>
        <w:rPr>
          <w:rFonts w:hint="eastAsia"/>
        </w:rPr>
        <w:t>预制柱</w:t>
      </w:r>
    </w:p>
    <w:p>
      <w:pPr>
        <w:pStyle w:val="69"/>
      </w:pPr>
      <w:r>
        <w:drawing>
          <wp:inline distT="0" distB="0" distL="0" distR="0">
            <wp:extent cx="4265930" cy="2407920"/>
            <wp:effectExtent l="0" t="0" r="1270" b="0"/>
            <wp:docPr id="2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278655" cy="2414922"/>
                    </a:xfrm>
                    <a:prstGeom prst="rect">
                      <a:avLst/>
                    </a:prstGeom>
                    <a:noFill/>
                    <a:ln>
                      <a:noFill/>
                    </a:ln>
                  </pic:spPr>
                </pic:pic>
              </a:graphicData>
            </a:graphic>
          </wp:inline>
        </w:drawing>
      </w:r>
    </w:p>
    <w:p>
      <w:pPr>
        <w:pStyle w:val="69"/>
      </w:pPr>
      <w:r>
        <w:drawing>
          <wp:inline distT="0" distB="0" distL="0" distR="0">
            <wp:extent cx="3307080" cy="1694180"/>
            <wp:effectExtent l="0" t="0" r="7620" b="127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3327750" cy="1705140"/>
                    </a:xfrm>
                    <a:prstGeom prst="rect">
                      <a:avLst/>
                    </a:prstGeom>
                    <a:noFill/>
                    <a:ln>
                      <a:noFill/>
                    </a:ln>
                  </pic:spPr>
                </pic:pic>
              </a:graphicData>
            </a:graphic>
          </wp:inline>
        </w:drawing>
      </w:r>
    </w:p>
    <w:p>
      <w:pPr>
        <w:pStyle w:val="69"/>
      </w:pPr>
      <w:r>
        <w:rPr>
          <w:rFonts w:hint="eastAsia"/>
        </w:rPr>
        <w:t>图</w:t>
      </w:r>
      <w:r>
        <w:fldChar w:fldCharType="begin"/>
      </w:r>
      <w:r>
        <w:instrText xml:space="preserve"> </w:instrText>
      </w:r>
      <w:r>
        <w:rPr>
          <w:rFonts w:hint="eastAsia"/>
        </w:rPr>
        <w:instrText xml:space="preserve">REF _Ref197693621 \r \h</w:instrText>
      </w:r>
      <w:r>
        <w:instrText xml:space="preserve"> </w:instrText>
      </w:r>
      <w:r>
        <w:fldChar w:fldCharType="separate"/>
      </w:r>
      <w:r>
        <w:t>5. 4. 4</w:t>
      </w:r>
      <w:r>
        <w:fldChar w:fldCharType="end"/>
      </w:r>
      <w:r>
        <w:t xml:space="preserve">-2  </w:t>
      </w:r>
      <w:r>
        <w:rPr>
          <w:rFonts w:hint="eastAsia"/>
        </w:rPr>
        <w:t>拼板</w:t>
      </w:r>
    </w:p>
    <w:p>
      <w:pPr>
        <w:pStyle w:val="69"/>
      </w:pPr>
      <w:r>
        <w:t>1—</w:t>
      </w:r>
      <w:r>
        <w:rPr>
          <w:rFonts w:hint="eastAsia"/>
        </w:rPr>
        <w:t>预制拼板</w:t>
      </w:r>
      <w:r>
        <w:t>；2—</w:t>
      </w:r>
      <w:r>
        <w:rPr>
          <w:rFonts w:hint="eastAsia"/>
        </w:rPr>
        <w:t>预制边梁</w:t>
      </w:r>
      <w:r>
        <w:t>；3—</w:t>
      </w:r>
      <w:r>
        <w:rPr>
          <w:rFonts w:hint="eastAsia"/>
        </w:rPr>
        <w:t>柱轴线明槽</w:t>
      </w:r>
      <w:r>
        <w:t>；4—</w:t>
      </w:r>
      <w:r>
        <w:rPr>
          <w:rFonts w:hint="eastAsia"/>
        </w:rPr>
        <w:t>接缝灌浆料；</w:t>
      </w:r>
    </w:p>
    <w:p>
      <w:pPr>
        <w:pStyle w:val="69"/>
      </w:pPr>
      <w:r>
        <w:t>5—</w:t>
      </w:r>
      <w:r>
        <w:rPr>
          <w:rFonts w:hint="eastAsia"/>
        </w:rPr>
        <w:t>预制柱；</w:t>
      </w:r>
      <w:r>
        <w:t>6—</w:t>
      </w:r>
      <w:r>
        <w:rPr>
          <w:rFonts w:hint="eastAsia"/>
        </w:rPr>
        <w:t>方垫块；</w:t>
      </w:r>
      <w:r>
        <w:t>7—</w:t>
      </w:r>
      <w:r>
        <w:rPr>
          <w:rFonts w:hint="eastAsia"/>
        </w:rPr>
        <w:t>扁垫块；</w:t>
      </w:r>
      <w:r>
        <w:t>8—</w:t>
      </w:r>
      <w:r>
        <w:rPr>
          <w:rFonts w:hint="eastAsia"/>
        </w:rPr>
        <w:t>拼缝明槽</w:t>
      </w:r>
    </w:p>
    <w:p>
      <w:pPr>
        <w:pStyle w:val="4"/>
      </w:pPr>
      <w:r>
        <w:rPr>
          <w:rFonts w:hint="eastAsia"/>
        </w:rPr>
        <w:t>预应力压接装配板柱的楼板承载力计算应符合下列规定：</w:t>
      </w:r>
    </w:p>
    <w:p>
      <w:pPr>
        <w:pStyle w:val="70"/>
      </w:pPr>
      <w:r>
        <w:rPr>
          <w:rFonts w:hint="eastAsia"/>
          <w:b/>
        </w:rPr>
        <w:t>1</w:t>
      </w:r>
      <w:r>
        <w:tab/>
      </w:r>
      <w:r>
        <w:rPr>
          <w:rFonts w:hint="eastAsia"/>
        </w:rPr>
        <w:t>预制楼板内肋及面板的配筋可根据竖向荷载确定，不考虑预应力及地震、风荷载对预制楼板内肋及面板的作用；</w:t>
      </w:r>
    </w:p>
    <w:p>
      <w:pPr>
        <w:pStyle w:val="70"/>
      </w:pPr>
      <w:r>
        <w:rPr>
          <w:b/>
        </w:rPr>
        <w:t>2</w:t>
      </w:r>
      <w:r>
        <w:tab/>
      </w:r>
      <w:r>
        <w:rPr>
          <w:rFonts w:hint="eastAsia"/>
        </w:rPr>
        <w:t>预制楼板边肋的普通钢筋，可根据预制构件的运输、安装阶段承载力要求配筋。明槽中预应力束，除应满足节点竖向摩擦抗剪要求外，尚应满足施加预应力后使用阶段抗弯承载力的要求；</w:t>
      </w:r>
    </w:p>
    <w:p>
      <w:pPr>
        <w:pStyle w:val="70"/>
      </w:pPr>
      <w:r>
        <w:rPr>
          <w:rFonts w:hint="eastAsia"/>
          <w:b/>
          <w:bCs/>
        </w:rPr>
        <w:t>3</w:t>
      </w:r>
      <w:r>
        <w:rPr>
          <w:b/>
          <w:bCs/>
        </w:rPr>
        <w:tab/>
      </w:r>
      <w:r>
        <w:rPr>
          <w:rFonts w:hint="eastAsia"/>
        </w:rPr>
        <w:t>在有叠合层的板柱节点处，宜考虑叠合层中普通钢筋承受1</w:t>
      </w:r>
      <w:r>
        <w:t>0%~20%</w:t>
      </w:r>
      <w:r>
        <w:rPr>
          <w:rFonts w:hint="eastAsia"/>
        </w:rPr>
        <w:t>的负弯矩。但该普通钢筋必须连续通过支座，布置在柱两侧附近各一倍板肋高度的范围内；</w:t>
      </w:r>
    </w:p>
    <w:p>
      <w:pPr>
        <w:pStyle w:val="70"/>
      </w:pPr>
      <w:r>
        <w:rPr>
          <w:rFonts w:hint="eastAsia"/>
          <w:b/>
          <w:bCs/>
        </w:rPr>
        <w:t>4</w:t>
      </w:r>
      <w:r>
        <w:tab/>
      </w:r>
      <w:r>
        <w:rPr>
          <w:rFonts w:hint="eastAsia"/>
        </w:rPr>
        <w:t>预应力梁在使用阶段正截面受弯承载力计算应包括预应力综合弯矩及预应力综合轴力项。</w:t>
      </w:r>
    </w:p>
    <w:p/>
    <w:p>
      <w:pPr>
        <w:pStyle w:val="4"/>
      </w:pPr>
      <w:bookmarkStart w:id="264" w:name="_Ref197941858"/>
      <w:r>
        <w:rPr>
          <w:rFonts w:hint="eastAsia"/>
        </w:rPr>
        <w:t>预应力压接装配板柱中的矩形截面、受压区在翼缘内T型截面、I型截面的无叠合层II型预应力梁，其持久设计状况或地震设计状况正截面受弯承载力可按下列公式计算：</w:t>
      </w:r>
      <w:bookmarkEnd w:id="264"/>
    </w:p>
    <w:p>
      <w:pPr>
        <w:spacing w:after="80"/>
        <w:ind w:firstLine="496"/>
        <w:jc w:val="center"/>
        <w:rPr>
          <w:sz w:val="21"/>
        </w:rPr>
      </w:pPr>
      <w:r>
        <w:rPr>
          <w:sz w:val="21"/>
        </w:rPr>
        <w:drawing>
          <wp:inline distT="0" distB="0" distL="0" distR="0">
            <wp:extent cx="3634740" cy="1608455"/>
            <wp:effectExtent l="0" t="0" r="3810" b="0"/>
            <wp:docPr id="3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3650511" cy="1615613"/>
                    </a:xfrm>
                    <a:prstGeom prst="rect">
                      <a:avLst/>
                    </a:prstGeom>
                    <a:noFill/>
                    <a:ln>
                      <a:noFill/>
                    </a:ln>
                  </pic:spPr>
                </pic:pic>
              </a:graphicData>
            </a:graphic>
          </wp:inline>
        </w:drawing>
      </w:r>
    </w:p>
    <w:p>
      <w:pPr>
        <w:spacing w:after="80"/>
        <w:ind w:firstLine="496"/>
        <w:jc w:val="center"/>
        <w:rPr>
          <w:sz w:val="21"/>
        </w:rPr>
      </w:pPr>
      <w:r>
        <w:rPr>
          <w:rFonts w:hint="eastAsia"/>
          <w:sz w:val="21"/>
        </w:rPr>
        <w:t>图</w:t>
      </w:r>
      <w:r>
        <w:rPr>
          <w:sz w:val="21"/>
        </w:rPr>
        <w:fldChar w:fldCharType="begin"/>
      </w:r>
      <w:r>
        <w:rPr>
          <w:sz w:val="21"/>
        </w:rPr>
        <w:instrText xml:space="preserve"> </w:instrText>
      </w:r>
      <w:r>
        <w:rPr>
          <w:rFonts w:hint="eastAsia"/>
          <w:sz w:val="21"/>
        </w:rPr>
        <w:instrText xml:space="preserve">REF _Ref197941858 \r \h</w:instrText>
      </w:r>
      <w:r>
        <w:rPr>
          <w:sz w:val="21"/>
        </w:rPr>
        <w:instrText xml:space="preserve"> </w:instrText>
      </w:r>
      <w:r>
        <w:rPr>
          <w:sz w:val="21"/>
        </w:rPr>
        <w:fldChar w:fldCharType="separate"/>
      </w:r>
      <w:r>
        <w:rPr>
          <w:sz w:val="21"/>
        </w:rPr>
        <w:t>5. 4. 6</w:t>
      </w:r>
      <w:r>
        <w:rPr>
          <w:sz w:val="21"/>
        </w:rPr>
        <w:fldChar w:fldCharType="end"/>
      </w:r>
      <w:r>
        <w:rPr>
          <w:sz w:val="21"/>
        </w:rPr>
        <w:t xml:space="preserve">  </w:t>
      </w:r>
      <w:r>
        <w:rPr>
          <w:rFonts w:hint="eastAsia"/>
          <w:sz w:val="21"/>
        </w:rPr>
        <w:t>II型预应力梁正截面受弯承载力计算</w:t>
      </w:r>
    </w:p>
    <w:p>
      <w:pPr>
        <w:pStyle w:val="85"/>
        <w:rPr>
          <w:sz w:val="21"/>
        </w:rPr>
      </w:pPr>
      <w:r>
        <w:rPr>
          <w:rFonts w:cs="Times New Roman"/>
        </w:rPr>
        <w:tab/>
      </w:r>
      <m:oMath>
        <m:r>
          <m:rPr/>
          <w:rPr>
            <w:rFonts w:ascii="Cambria Math" w:hAnsi="Cambria Math"/>
          </w:rPr>
          <m:t>M</m:t>
        </m:r>
        <m:r>
          <m:rPr>
            <m:sty m:val="p"/>
          </m:rPr>
          <w:rPr>
            <w:rFonts w:ascii="Cambria Math" w:hAnsi="Cambria Math"/>
          </w:rPr>
          <m:t>+</m:t>
        </m:r>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ascii="Cambria Math" w:hAnsi="Cambria Math"/>
              </w:rPr>
              <m:t>tot</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tot</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N</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x</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s</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x</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pe</m:t>
                </m:r>
                <m:ctrlPr>
                  <w:rPr>
                    <w:rFonts w:ascii="Cambria Math" w:hAnsi="Cambria Math"/>
                  </w:rPr>
                </m:ctrlPr>
              </m:sub>
            </m:sSub>
            <m:ctrlPr>
              <w:rPr>
                <w:rFonts w:ascii="Cambria Math" w:hAnsi="Cambria Math"/>
              </w:rPr>
            </m:ctrlPr>
          </m:e>
        </m:d>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p</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x</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d>
        <m:r>
          <m:rPr>
            <m:sty m:val="p"/>
          </m:rPr>
          <w:rPr>
            <w:rFonts w:ascii="Cambria Math" w:hAnsi="Cambria Math"/>
          </w:rPr>
          <m:t>+</m:t>
        </m:r>
        <m:sSup>
          <m:sSupPr>
            <m:ctrlPr>
              <w:rPr>
                <w:rFonts w:ascii="Cambria Math" w:hAnsi="Cambria Math"/>
              </w:rPr>
            </m:ctrlPr>
          </m:sSupPr>
          <m:e>
            <m:r>
              <m:rPr/>
              <w:rPr>
                <w:rFonts w:ascii="Cambria Math" w:hAnsi="Cambria Math"/>
              </w:rPr>
              <m:t>f</m:t>
            </m:r>
            <m:ctrlPr>
              <w:rPr>
                <w:rFonts w:ascii="Cambria Math" w:hAnsi="Cambria Math"/>
              </w:rPr>
            </m:ctrlPr>
          </m:e>
          <m:sup>
            <m:r>
              <m:rPr>
                <m:sty m:val="p"/>
              </m:rPr>
              <w:rPr>
                <w:rFonts w:ascii="Cambria Math" w:hAnsi="Cambria Math"/>
              </w:rPr>
              <m:t>'</m:t>
            </m:r>
            <m:ctrlPr>
              <w:rPr>
                <w:rFonts w:ascii="Cambria Math" w:hAnsi="Cambria Math"/>
              </w:rPr>
            </m:ctrlPr>
          </m:sup>
        </m:sSup>
        <m:sSub>
          <m:sSubPr>
            <m:ctrlPr>
              <w:rPr>
                <w:rFonts w:ascii="Cambria Math" w:hAnsi="Cambria Math"/>
              </w:rPr>
            </m:ctrlPr>
          </m:sSubPr>
          <m:e>
            <m:r>
              <m:rPr/>
              <w:rPr>
                <w:rFonts w:ascii="Cambria Math" w:hAnsi="Cambria Math"/>
              </w:rPr>
              <m:t xml:space="preserve"> </m:t>
            </m:r>
            <m:ctrlPr>
              <w:rPr>
                <w:rFonts w:ascii="Cambria Math" w:hAnsi="Cambria Math"/>
              </w:rPr>
            </m:ctrlPr>
          </m:e>
          <m:sub>
            <m:r>
              <m:rPr/>
              <w:rPr>
                <w:rFonts w:ascii="Cambria Math" w:hAnsi="Cambria Math"/>
              </w:rPr>
              <m:t>y</m:t>
            </m:r>
            <m:ctrlPr>
              <w:rPr>
                <w:rFonts w:ascii="Cambria Math" w:hAnsi="Cambria Math"/>
              </w:rPr>
            </m:ctrlPr>
          </m:sub>
        </m:sSub>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d>
          <m:dPr>
            <m:ctrlPr>
              <w:rPr>
                <w:rFonts w:ascii="Cambria Math" w:hAnsi="Cambria Math"/>
              </w:rPr>
            </m:ctrlPr>
          </m:dPr>
          <m:e>
            <m:f>
              <m:fPr>
                <m:ctrlPr>
                  <w:rPr>
                    <w:rFonts w:ascii="Cambria Math" w:hAnsi="Cambria Math"/>
                  </w:rPr>
                </m:ctrlPr>
              </m:fPr>
              <m:num>
                <m:r>
                  <m:rPr/>
                  <w:rPr>
                    <w:rFonts w:ascii="Cambria Math" w:hAnsi="Cambria Math"/>
                  </w:rPr>
                  <m:t>x</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m:t>
            </m:r>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e>
        </m:d>
        <m:r>
          <m:rPr>
            <m:sty m:val="p"/>
          </m:rPr>
          <w:rPr>
            <w:rFonts w:ascii="Cambria Math" w:hAnsi="Cambria Math"/>
          </w:rPr>
          <m:t>+</m:t>
        </m:r>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py</m:t>
            </m:r>
            <m:ctrlPr>
              <w:rPr>
                <w:rFonts w:ascii="Cambria Math" w:hAnsi="Cambria Math"/>
              </w:rPr>
            </m:ctrlPr>
          </m:sub>
          <m:sup>
            <m:r>
              <m:rPr>
                <m:sty m:val="p"/>
              </m:rPr>
              <w:rPr>
                <w:rFonts w:ascii="Cambria Math" w:hAnsi="Cambria Math"/>
              </w:rPr>
              <m:t>'</m:t>
            </m:r>
            <m:ctrlPr>
              <w:rPr>
                <w:rFonts w:ascii="Cambria Math" w:hAnsi="Cambria Math"/>
              </w:rPr>
            </m:ctrlPr>
          </m:sup>
        </m:sSubSup>
        <m:sSubSup>
          <m:sSubSupPr>
            <m:ctrlPr>
              <w:rPr>
                <w:rFonts w:ascii="Cambria Math" w:hAnsi="Cambria Math"/>
              </w:rPr>
            </m:ctrlPr>
          </m:sSubSup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up>
            <m:r>
              <m:rPr>
                <m:sty m:val="p"/>
              </m:rPr>
              <w:rPr>
                <w:rFonts w:ascii="Cambria Math" w:hAnsi="Cambria Math"/>
              </w:rPr>
              <m:t>'</m:t>
            </m:r>
            <m:ctrlPr>
              <w:rPr>
                <w:rFonts w:ascii="Cambria Math" w:hAnsi="Cambria Math"/>
              </w:rPr>
            </m:ctrlPr>
          </m:sup>
        </m:sSubSup>
        <m:d>
          <m:dPr>
            <m:ctrlPr>
              <w:rPr>
                <w:rFonts w:ascii="Cambria Math" w:hAnsi="Cambria Math"/>
              </w:rPr>
            </m:ctrlPr>
          </m:dPr>
          <m:e>
            <m:f>
              <m:fPr>
                <m:ctrlPr>
                  <w:rPr>
                    <w:rFonts w:ascii="Cambria Math" w:hAnsi="Cambria Math"/>
                  </w:rPr>
                </m:ctrlPr>
              </m:fPr>
              <m:num>
                <m:r>
                  <m:rPr/>
                  <w:rPr>
                    <w:rFonts w:ascii="Cambria Math" w:hAnsi="Cambria Math"/>
                  </w:rPr>
                  <m:t>x</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rPr>
              <m:t>−</m:t>
            </m:r>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sSub>
              <m:sSubPr>
                <m:ctrlPr>
                  <w:rPr>
                    <w:rFonts w:ascii="Cambria Math" w:hAnsi="Cambria Math"/>
                  </w:rPr>
                </m:ctrlPr>
              </m:sSubPr>
              <m:e>
                <m:r>
                  <m:rPr/>
                  <w:rPr>
                    <w:rFonts w:ascii="Cambria Math" w:hAnsi="Cambria Math"/>
                  </w:rPr>
                  <m:t xml:space="preserve"> </m:t>
                </m:r>
                <m:ctrlPr>
                  <w:rPr>
                    <w:rFonts w:ascii="Cambria Math" w:hAnsi="Cambria Math"/>
                  </w:rPr>
                </m:ctrlPr>
              </m:e>
              <m:sub>
                <m:r>
                  <m:rPr/>
                  <w:rPr>
                    <w:rFonts w:ascii="Cambria Math" w:hAnsi="Cambria Math"/>
                  </w:rPr>
                  <m:t>p</m:t>
                </m:r>
                <m:ctrlPr>
                  <w:rPr>
                    <w:rFonts w:ascii="Cambria Math" w:hAnsi="Cambria Math"/>
                  </w:rPr>
                </m:ctrlPr>
              </m:sub>
            </m:sSub>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M</m:t>
            </m:r>
            <m:ctrlPr>
              <w:rPr>
                <w:rFonts w:ascii="Cambria Math" w:hAnsi="Cambria Math"/>
              </w:rPr>
            </m:ctrlPr>
          </m:e>
          <m:sub>
            <m:r>
              <m:rPr>
                <m:sty m:val="p"/>
              </m:rPr>
              <w:rPr>
                <w:rFonts w:hint="eastAsia" w:ascii="Cambria Math" w:hAnsi="Cambria Math"/>
              </w:rPr>
              <m:t>tu</m:t>
            </m:r>
            <m:ctrlPr>
              <w:rPr>
                <w:rFonts w:ascii="Cambria Math" w:hAnsi="Cambria Math"/>
              </w:rPr>
            </m:ctrlPr>
          </m:sub>
        </m:sSub>
      </m:oMath>
      <w:r>
        <w:tab/>
      </w:r>
      <w:r>
        <w:tab/>
      </w:r>
      <w:r>
        <w:rPr>
          <w:rFonts w:cs="Times New Roman"/>
        </w:rPr>
        <w:t>（</w:t>
      </w:r>
      <w:r>
        <w:rPr>
          <w:rFonts w:cs="Times New Roman"/>
        </w:rPr>
        <w:fldChar w:fldCharType="begin"/>
      </w:r>
      <w:r>
        <w:rPr>
          <w:rFonts w:cs="Times New Roman"/>
        </w:rPr>
        <w:instrText xml:space="preserve"> </w:instrText>
      </w:r>
      <w:r>
        <w:rPr>
          <w:rFonts w:hint="eastAsia" w:cs="Times New Roman"/>
        </w:rPr>
        <w:instrText xml:space="preserve">REF _Ref197941858 \r \h</w:instrText>
      </w:r>
      <w:r>
        <w:rPr>
          <w:rFonts w:cs="Times New Roman"/>
        </w:rPr>
        <w:instrText xml:space="preserve">  \* MERGEFORMAT </w:instrText>
      </w:r>
      <w:r>
        <w:rPr>
          <w:rFonts w:cs="Times New Roman"/>
        </w:rPr>
        <w:fldChar w:fldCharType="separate"/>
      </w:r>
      <w:r>
        <w:rPr>
          <w:rFonts w:cs="Times New Roman"/>
        </w:rPr>
        <w:t>5. 4. 6</w:t>
      </w:r>
      <w:r>
        <w:rPr>
          <w:rFonts w:cs="Times New Roman"/>
        </w:rPr>
        <w:fldChar w:fldCharType="end"/>
      </w:r>
      <w:r>
        <w:rPr>
          <w:rFonts w:cs="Times New Roman"/>
        </w:rPr>
        <w:t xml:space="preserve"> -1）</w:t>
      </w:r>
    </w:p>
    <w:p>
      <w:pPr>
        <w:snapToGrid w:val="0"/>
        <w:spacing w:line="360" w:lineRule="auto"/>
        <w:ind w:firstLine="566"/>
      </w:pPr>
      <w:r>
        <w:rPr>
          <w:rFonts w:hint="eastAsia"/>
        </w:rPr>
        <w:t>混凝土受压区高度x应按下式确定：</w:t>
      </w:r>
    </w:p>
    <w:p>
      <w:pPr>
        <w:pStyle w:val="85"/>
        <w:ind w:firstLine="569"/>
      </w:pPr>
      <w:r>
        <w:rPr>
          <w:rFonts w:cs="Times New Roman"/>
          <w:b/>
          <w:bCs/>
        </w:rPr>
        <w:tab/>
      </w:r>
      <m:oMath>
        <m:sSub>
          <m:sSubPr>
            <m:ctrlPr>
              <w:rPr>
                <w:rFonts w:ascii="Cambria Math" w:hAnsi="Cambria Math"/>
                <w:b/>
                <w:bCs/>
              </w:rPr>
            </m:ctrlPr>
          </m:sSubPr>
          <m:e>
            <m:r>
              <m:rPr>
                <m:sty m:val="bi"/>
              </m:rPr>
              <w:rPr>
                <w:rFonts w:ascii="Cambria Math" w:hAnsi="Cambria Math"/>
              </w:rPr>
              <m:t>α</m:t>
            </m:r>
            <m:ctrlPr>
              <w:rPr>
                <w:rFonts w:ascii="Cambria Math" w:hAnsi="Cambria Math"/>
                <w:b/>
                <w:bCs/>
              </w:rPr>
            </m:ctrlPr>
          </m:e>
          <m:sub>
            <m:r>
              <m:rPr>
                <m:sty m:val="b"/>
              </m:rPr>
              <w:rPr>
                <w:rFonts w:ascii="Cambria Math" w:hAnsi="Cambria Math"/>
              </w:rPr>
              <m:t>1</m:t>
            </m:r>
            <m:ctrlPr>
              <w:rPr>
                <w:rFonts w:ascii="Cambria Math" w:hAnsi="Cambria Math"/>
                <w:b/>
                <w:bCs/>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c</m:t>
            </m:r>
            <m:ctrlPr>
              <w:rPr>
                <w:rFonts w:ascii="Cambria Math" w:hAnsi="Cambria Math"/>
              </w:rPr>
            </m:ctrlPr>
          </m:sub>
        </m:sSub>
        <m:r>
          <m:rPr/>
          <w:rPr>
            <w:rFonts w:ascii="Cambria Math" w:hAnsi="Cambria Math"/>
          </w:rPr>
          <m:t>bx</m:t>
        </m:r>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pe</m:t>
                </m:r>
                <m:ctrlPr>
                  <w:rPr>
                    <w:rFonts w:ascii="Cambria Math" w:hAnsi="Cambria Math"/>
                  </w:rPr>
                </m:ctrlPr>
              </m:sub>
            </m:sSub>
            <m:ctrlPr>
              <w:rPr>
                <w:rFonts w:ascii="Cambria Math" w:hAnsi="Cambria Math"/>
              </w:rPr>
            </m:ctrlPr>
          </m:e>
        </m:d>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r>
          <m:rPr>
            <m:sty m:val="p"/>
          </m:rPr>
          <w:rPr>
            <w:rFonts w:ascii="Cambria Math" w:hAnsi="Cambria Math"/>
          </w:rPr>
          <m:t>−</m:t>
        </m:r>
        <m:sSup>
          <m:sSupPr>
            <m:ctrlPr>
              <w:rPr>
                <w:rFonts w:ascii="Cambria Math" w:hAnsi="Cambria Math"/>
              </w:rPr>
            </m:ctrlPr>
          </m:sSupPr>
          <m:e>
            <m:r>
              <m:rPr/>
              <w:rPr>
                <w:rFonts w:ascii="Cambria Math" w:hAnsi="Cambria Math"/>
              </w:rPr>
              <m:t>f</m:t>
            </m:r>
            <m:ctrlPr>
              <w:rPr>
                <w:rFonts w:ascii="Cambria Math" w:hAnsi="Cambria Math"/>
              </w:rPr>
            </m:ctrlPr>
          </m:e>
          <m:sup>
            <m:r>
              <m:rPr>
                <m:sty m:val="p"/>
              </m:rPr>
              <w:rPr>
                <w:rFonts w:ascii="Cambria Math" w:hAnsi="Cambria Math"/>
              </w:rPr>
              <m:t>'</m:t>
            </m:r>
            <m:ctrlPr>
              <w:rPr>
                <w:rFonts w:ascii="Cambria Math" w:hAnsi="Cambria Math"/>
              </w:rPr>
            </m:ctrlPr>
          </m:sup>
        </m:sSup>
        <m:sSub>
          <m:sSubPr>
            <m:ctrlPr>
              <w:rPr>
                <w:rFonts w:ascii="Cambria Math" w:hAnsi="Cambria Math"/>
              </w:rPr>
            </m:ctrlPr>
          </m:sSubPr>
          <m:e>
            <m:r>
              <m:rPr/>
              <w:rPr>
                <w:rFonts w:ascii="Cambria Math" w:hAnsi="Cambria Math"/>
              </w:rPr>
              <m:t xml:space="preserve"> </m:t>
            </m:r>
            <m:ctrlPr>
              <w:rPr>
                <w:rFonts w:ascii="Cambria Math" w:hAnsi="Cambria Math"/>
              </w:rPr>
            </m:ctrlPr>
          </m:e>
          <m:sub>
            <m:r>
              <m:rPr/>
              <w:rPr>
                <w:rFonts w:ascii="Cambria Math" w:hAnsi="Cambria Math"/>
              </w:rPr>
              <m:t>y</m:t>
            </m:r>
            <m:ctrlPr>
              <w:rPr>
                <w:rFonts w:ascii="Cambria Math" w:hAnsi="Cambria Math"/>
              </w:rPr>
            </m:ctrlPr>
          </m:sub>
        </m:sSub>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sSubSup>
          <m:sSubSupPr>
            <m:ctrlPr>
              <w:rPr>
                <w:rFonts w:ascii="Cambria Math" w:hAnsi="Cambria Math"/>
              </w:rPr>
            </m:ctrlPr>
          </m:sSubSup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up>
            <m:r>
              <m:rPr>
                <m:sty m:val="p"/>
              </m:rPr>
              <w:rPr>
                <w:rFonts w:ascii="Cambria Math" w:hAnsi="Cambria Math"/>
              </w:rPr>
              <m:t>'</m:t>
            </m:r>
            <m:ctrlPr>
              <w:rPr>
                <w:rFonts w:ascii="Cambria Math" w:hAnsi="Cambria Math"/>
              </w:rPr>
            </m:ctrlPr>
          </m:sup>
        </m:sSubSup>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sSub>
          <m:sSubPr>
            <m:ctrlPr>
              <w:rPr>
                <w:rFonts w:ascii="Cambria Math" w:hAnsi="Cambria Math"/>
              </w:rPr>
            </m:ctrlPr>
          </m:sSubPr>
          <m:e>
            <m:r>
              <m:rPr/>
              <w:rPr>
                <w:rFonts w:ascii="Cambria Math" w:hAnsi="Cambria Math"/>
              </w:rPr>
              <m:t xml:space="preserve"> </m:t>
            </m:r>
            <m:ctrlPr>
              <w:rPr>
                <w:rFonts w:ascii="Cambria Math" w:hAnsi="Cambria Math"/>
              </w:rPr>
            </m:ctrlPr>
          </m:e>
          <m:sub>
            <m:r>
              <m:rPr>
                <m:sty m:val="p"/>
              </m:rPr>
              <w:rPr>
                <w:rFonts w:ascii="Cambria Math" w:hAnsi="Cambria Math"/>
              </w:rPr>
              <m:t>p</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nor/>
                <m:sty m:val="p"/>
              </m:rPr>
              <w:rPr>
                <w:rFonts w:hint="eastAsia"/>
              </w:rPr>
              <m:t>tot</m:t>
            </m:r>
            <m:ctrlPr>
              <w:rPr>
                <w:rFonts w:ascii="Cambria Math" w:hAnsi="Cambria Math"/>
              </w:rPr>
            </m:ctrlPr>
          </m:sub>
        </m:sSub>
      </m:oMath>
      <w:r>
        <w:tab/>
      </w:r>
      <w:r>
        <w:rPr>
          <w:rFonts w:cs="Times New Roman"/>
        </w:rPr>
        <w:t>（</w:t>
      </w:r>
      <w:r>
        <w:rPr>
          <w:rFonts w:cs="Times New Roman"/>
        </w:rPr>
        <w:fldChar w:fldCharType="begin"/>
      </w:r>
      <w:r>
        <w:rPr>
          <w:rFonts w:cs="Times New Roman"/>
        </w:rPr>
        <w:instrText xml:space="preserve"> </w:instrText>
      </w:r>
      <w:r>
        <w:rPr>
          <w:rFonts w:hint="eastAsia" w:cs="Times New Roman"/>
        </w:rPr>
        <w:instrText xml:space="preserve">REF _Ref197941858 \r \h</w:instrText>
      </w:r>
      <w:r>
        <w:rPr>
          <w:rFonts w:cs="Times New Roman"/>
        </w:rPr>
        <w:instrText xml:space="preserve">  \* MERGEFORMAT </w:instrText>
      </w:r>
      <w:r>
        <w:rPr>
          <w:rFonts w:cs="Times New Roman"/>
        </w:rPr>
        <w:fldChar w:fldCharType="separate"/>
      </w:r>
      <w:r>
        <w:rPr>
          <w:rFonts w:cs="Times New Roman"/>
        </w:rPr>
        <w:t>5. 4. 6</w:t>
      </w:r>
      <w:r>
        <w:rPr>
          <w:rFonts w:cs="Times New Roman"/>
        </w:rPr>
        <w:fldChar w:fldCharType="end"/>
      </w:r>
      <w:r>
        <w:rPr>
          <w:rFonts w:cs="Times New Roman"/>
        </w:rPr>
        <w:t>-2）</w:t>
      </w:r>
    </w:p>
    <w:p>
      <w:pPr>
        <w:snapToGrid w:val="0"/>
        <w:spacing w:line="360" w:lineRule="auto"/>
        <w:ind w:firstLine="566"/>
        <w:rPr>
          <w:sz w:val="21"/>
        </w:rPr>
      </w:pPr>
      <w:r>
        <w:rPr>
          <w:rFonts w:hint="eastAsia"/>
        </w:rPr>
        <w:t>混凝土受压区高度尚应符合下列条件：</w:t>
      </w:r>
    </w:p>
    <w:p>
      <w:pPr>
        <w:pStyle w:val="85"/>
        <w:rPr>
          <w:b/>
        </w:rPr>
      </w:pPr>
      <w:r>
        <w:tab/>
      </w:r>
      <m:oMath>
        <m:r>
          <m:rPr/>
          <w:rPr>
            <w:rFonts w:ascii="Cambria Math" w:hAnsi="Cambria Math"/>
          </w:rPr>
          <m:t>x</m:t>
        </m:r>
        <m:r>
          <m:rPr/>
          <w:rPr>
            <w:rFonts w:hint="eastAsia" w:ascii="Cambria Math" w:hAnsi="Cambria Math"/>
          </w:rPr>
          <m:t>≤</m:t>
        </m:r>
        <m:sSub>
          <m:sSubPr>
            <m:ctrlPr>
              <w:rPr>
                <w:rFonts w:ascii="Cambria Math" w:hAnsi="Cambria Math"/>
              </w:rPr>
            </m:ctrlPr>
          </m:sSubPr>
          <m:e>
            <m:r>
              <m:rPr/>
              <w:rPr>
                <w:rFonts w:ascii="Cambria Math" w:hAnsi="Cambria Math"/>
              </w:rPr>
              <m:t>ξ</m:t>
            </m:r>
            <m:ctrlPr>
              <w:rPr>
                <w:rFonts w:ascii="Cambria Math" w:hAnsi="Cambria Math"/>
              </w:rPr>
            </m:ctrlPr>
          </m:e>
          <m:sub>
            <m:r>
              <m:rPr>
                <m:sty m:val="p"/>
              </m:rPr>
              <w:rPr>
                <w:rFonts w:ascii="Cambria Math" w:hAnsi="Cambria Math"/>
              </w:rPr>
              <m:t>b</m:t>
            </m:r>
            <m:ctrlPr>
              <w:rPr>
                <w:rFonts w:ascii="Cambria Math" w:hAnsi="Cambria Math"/>
              </w:rPr>
            </m:ctrlPr>
          </m:sub>
        </m:sSub>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x</m:t>
        </m:r>
        <m:r>
          <m:rPr/>
          <w:rPr>
            <w:rFonts w:hint="eastAsia" w:ascii="Cambria Math" w:hAnsi="Cambria Math"/>
          </w:rPr>
          <m:t>≤</m:t>
        </m:r>
        <m:sSup>
          <m:sSupPr>
            <m:ctrlPr>
              <w:rPr>
                <w:rFonts w:ascii="Cambria Math" w:hAnsi="Cambria Math"/>
              </w:rPr>
            </m:ctrlPr>
          </m:sSupPr>
          <m:e>
            <m:r>
              <m:rPr/>
              <w:rPr>
                <w:rFonts w:ascii="Cambria Math" w:hAnsi="Cambria Math"/>
              </w:rPr>
              <m:t>ℎ</m:t>
            </m:r>
            <m:ctrlPr>
              <w:rPr>
                <w:rFonts w:ascii="Cambria Math" w:hAnsi="Cambria Math"/>
              </w:rPr>
            </m:ctrlPr>
          </m:e>
          <m:sup>
            <m:r>
              <m:rPr>
                <m:sty m:val="p"/>
              </m:rPr>
              <w:rPr>
                <w:rFonts w:ascii="Cambria Math" w:hAnsi="Cambria Math"/>
              </w:rPr>
              <m:t>'</m:t>
            </m:r>
            <m:ctrlPr>
              <w:rPr>
                <w:rFonts w:ascii="Cambria Math" w:hAnsi="Cambria Math"/>
              </w:rPr>
            </m:ctrlPr>
          </m:sup>
        </m:sSup>
      </m:oMath>
      <w:r>
        <w:tab/>
      </w:r>
      <w:r>
        <w:t>（</w:t>
      </w:r>
      <w:r>
        <w:rPr>
          <w:rFonts w:cs="Times New Roman"/>
        </w:rPr>
        <w:fldChar w:fldCharType="begin"/>
      </w:r>
      <w:r>
        <w:rPr>
          <w:rFonts w:cs="Times New Roman"/>
        </w:rPr>
        <w:instrText xml:space="preserve"> </w:instrText>
      </w:r>
      <w:r>
        <w:rPr>
          <w:rFonts w:hint="eastAsia" w:cs="Times New Roman"/>
        </w:rPr>
        <w:instrText xml:space="preserve">REF _Ref197941858 \r \h</w:instrText>
      </w:r>
      <w:r>
        <w:rPr>
          <w:rFonts w:cs="Times New Roman"/>
        </w:rPr>
        <w:instrText xml:space="preserve">  \* MERGEFORMAT </w:instrText>
      </w:r>
      <w:r>
        <w:rPr>
          <w:rFonts w:cs="Times New Roman"/>
        </w:rPr>
        <w:fldChar w:fldCharType="separate"/>
      </w:r>
      <w:r>
        <w:rPr>
          <w:rFonts w:cs="Times New Roman"/>
        </w:rPr>
        <w:t>5. 4. 6</w:t>
      </w:r>
      <w:r>
        <w:rPr>
          <w:rFonts w:cs="Times New Roman"/>
        </w:rPr>
        <w:fldChar w:fldCharType="end"/>
      </w:r>
      <w:r>
        <w:t>-3）</w:t>
      </w:r>
    </w:p>
    <w:p>
      <w:pPr>
        <w:pStyle w:val="85"/>
        <w:rPr>
          <w:sz w:val="21"/>
        </w:rPr>
      </w:pPr>
      <w:r>
        <w:tab/>
      </w:r>
      <m:oMath>
        <m:r>
          <m:rPr/>
          <w:rPr>
            <w:rFonts w:ascii="Cambria Math" w:hAnsi="Cambria Math"/>
          </w:rPr>
          <m:t>x</m:t>
        </m:r>
        <m:r>
          <m:rPr>
            <m:sty m:val="p"/>
          </m:rPr>
          <w:rPr>
            <w:rFonts w:hint="eastAsia" w:ascii="Cambria Math" w:hAnsi="Cambria Math"/>
          </w:rPr>
          <m:t>≥</m:t>
        </m:r>
        <m:r>
          <m:rPr>
            <m:sty m:val="p"/>
          </m:rPr>
          <w:rPr>
            <w:rFonts w:ascii="Cambria Math" w:hAnsi="Cambria Math"/>
          </w:rPr>
          <m:t>2</m:t>
        </m:r>
        <m:sSup>
          <m:sSupPr>
            <m:ctrlPr>
              <w:rPr>
                <w:rFonts w:ascii="Cambria Math" w:hAnsi="Cambria Math"/>
              </w:rPr>
            </m:ctrlPr>
          </m:sSupPr>
          <m:e>
            <m:r>
              <m:rPr/>
              <w:rPr>
                <w:rFonts w:ascii="Cambria Math" w:hAnsi="Cambria Math"/>
              </w:rPr>
              <m:t>a</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x</m:t>
        </m:r>
        <m:r>
          <m:rPr>
            <m:sty m:val="p"/>
          </m:rPr>
          <w:rPr>
            <w:rFonts w:hint="eastAsia" w:ascii="Cambria Math" w:hAnsi="Cambria Math"/>
          </w:rPr>
          <m:t>≥</m:t>
        </m:r>
        <m:r>
          <m:rPr>
            <m:sty m:val="p"/>
          </m:rPr>
          <w:rPr>
            <w:rFonts w:ascii="Cambria Math" w:hAnsi="Cambria Math"/>
          </w:rPr>
          <m:t>2</m:t>
        </m:r>
        <m:sSubSup>
          <m:sSubSupPr>
            <m:ctrlPr>
              <w:rPr>
                <w:rFonts w:ascii="Cambria Math" w:hAnsi="Cambria Math"/>
                <w:i/>
              </w:rPr>
            </m:ctrlPr>
          </m:sSubSupPr>
          <m:e>
            <m:r>
              <m:rPr/>
              <w:rPr>
                <w:rFonts w:ascii="Cambria Math" w:hAnsi="Cambria Math"/>
              </w:rPr>
              <m:t>a</m:t>
            </m:r>
            <m:ctrlPr>
              <w:rPr>
                <w:rFonts w:ascii="Cambria Math" w:hAnsi="Cambria Math"/>
                <w:i/>
              </w:rPr>
            </m:ctrlPr>
          </m:e>
          <m:sub>
            <m:r>
              <m:rPr/>
              <w:rPr>
                <w:rFonts w:ascii="Cambria Math" w:hAnsi="Cambria Math"/>
              </w:rPr>
              <m:t>p</m:t>
            </m:r>
            <m:ctrlPr>
              <w:rPr>
                <w:rFonts w:ascii="Cambria Math" w:hAnsi="Cambria Math"/>
                <w:i/>
              </w:rPr>
            </m:ctrlPr>
          </m:sub>
          <m:sup>
            <m:r>
              <m:rPr/>
              <w:rPr>
                <w:rFonts w:ascii="Cambria Math" w:hAnsi="Cambria Math"/>
              </w:rPr>
              <m:t>'</m:t>
            </m:r>
            <m:ctrlPr>
              <w:rPr>
                <w:rFonts w:ascii="Cambria Math" w:hAnsi="Cambria Math"/>
                <w:i/>
              </w:rPr>
            </m:ctrlPr>
          </m:sup>
        </m:sSubSup>
      </m:oMath>
      <w:r>
        <w:tab/>
      </w:r>
      <w:r>
        <w:t>（</w:t>
      </w:r>
      <w:r>
        <w:rPr>
          <w:rFonts w:cs="Times New Roman"/>
        </w:rPr>
        <w:fldChar w:fldCharType="begin"/>
      </w:r>
      <w:r>
        <w:rPr>
          <w:rFonts w:cs="Times New Roman"/>
        </w:rPr>
        <w:instrText xml:space="preserve"> </w:instrText>
      </w:r>
      <w:r>
        <w:rPr>
          <w:rFonts w:hint="eastAsia" w:cs="Times New Roman"/>
        </w:rPr>
        <w:instrText xml:space="preserve">REF _Ref197941858 \r \h</w:instrText>
      </w:r>
      <w:r>
        <w:rPr>
          <w:rFonts w:cs="Times New Roman"/>
        </w:rPr>
        <w:instrText xml:space="preserve">  \* MERGEFORMAT </w:instrText>
      </w:r>
      <w:r>
        <w:rPr>
          <w:rFonts w:cs="Times New Roman"/>
        </w:rPr>
        <w:fldChar w:fldCharType="separate"/>
      </w:r>
      <w:r>
        <w:rPr>
          <w:rFonts w:cs="Times New Roman"/>
        </w:rPr>
        <w:t>5. 4. 6</w:t>
      </w:r>
      <w:r>
        <w:rPr>
          <w:rFonts w:cs="Times New Roman"/>
        </w:rPr>
        <w:fldChar w:fldCharType="end"/>
      </w:r>
      <w:r>
        <w:t>-4）</w:t>
      </w:r>
    </w:p>
    <w:p>
      <w:pPr>
        <w:snapToGrid w:val="0"/>
        <w:spacing w:line="360" w:lineRule="auto"/>
        <w:ind w:firstLine="566"/>
      </w:pPr>
      <w:r>
        <w:rPr>
          <w:rFonts w:hint="eastAsia"/>
        </w:rPr>
        <w:t>截面有效高度</w:t>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0</m:t>
            </m:r>
            <m:ctrlPr>
              <w:rPr>
                <w:rFonts w:ascii="Cambria Math" w:hAnsi="Cambria Math"/>
              </w:rPr>
            </m:ctrlPr>
          </m:sub>
        </m:sSub>
      </m:oMath>
      <w:r>
        <w:rPr>
          <w:rFonts w:hint="eastAsia"/>
        </w:rPr>
        <w:t>应按下式确定：</w:t>
      </w:r>
    </w:p>
    <w:p>
      <w:pPr>
        <w:pStyle w:val="85"/>
        <w:rPr>
          <w:sz w:val="21"/>
        </w:rPr>
      </w:pPr>
      <w:r>
        <w:rPr>
          <w:rFonts w:cs="Times New Roman"/>
        </w:rPr>
        <w:tab/>
      </w:r>
      <m:oMath>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p</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ctrlPr>
              <w:rPr>
                <w:rFonts w:ascii="Cambria Math" w:hAnsi="Cambria Math"/>
              </w:rPr>
            </m:ctrlPr>
          </m:den>
        </m:f>
      </m:oMath>
      <w:r>
        <w:tab/>
      </w:r>
      <w:r>
        <w:rPr>
          <w:rFonts w:cs="Times New Roman"/>
        </w:rPr>
        <w:t>（</w:t>
      </w:r>
      <w:r>
        <w:rPr>
          <w:rFonts w:cs="Times New Roman"/>
        </w:rPr>
        <w:fldChar w:fldCharType="begin"/>
      </w:r>
      <w:r>
        <w:rPr>
          <w:rFonts w:cs="Times New Roman"/>
        </w:rPr>
        <w:instrText xml:space="preserve"> </w:instrText>
      </w:r>
      <w:r>
        <w:rPr>
          <w:rFonts w:hint="eastAsia" w:cs="Times New Roman"/>
        </w:rPr>
        <w:instrText xml:space="preserve">REF _Ref197941858 \r \h</w:instrText>
      </w:r>
      <w:r>
        <w:rPr>
          <w:rFonts w:cs="Times New Roman"/>
        </w:rPr>
        <w:instrText xml:space="preserve">  \* MERGEFORMAT </w:instrText>
      </w:r>
      <w:r>
        <w:rPr>
          <w:rFonts w:cs="Times New Roman"/>
        </w:rPr>
        <w:fldChar w:fldCharType="separate"/>
      </w:r>
      <w:r>
        <w:rPr>
          <w:rFonts w:cs="Times New Roman"/>
        </w:rPr>
        <w:t>5. 4. 6</w:t>
      </w:r>
      <w:r>
        <w:rPr>
          <w:rFonts w:cs="Times New Roman"/>
        </w:rPr>
        <w:fldChar w:fldCharType="end"/>
      </w:r>
      <w:r>
        <w:rPr>
          <w:rFonts w:cs="Times New Roman"/>
        </w:rPr>
        <w:t>-5）</w:t>
      </w:r>
    </w:p>
    <w:p>
      <w:pPr>
        <w:pStyle w:val="5"/>
      </w:pPr>
      <w:r>
        <w:rPr>
          <w:rFonts w:hint="eastAsia"/>
        </w:rPr>
        <w:t>当不考虑受压钢筋</w:t>
      </w: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up>
            <m:r>
              <m:rPr>
                <m:sty m:val="p"/>
              </m:rPr>
              <w:rPr>
                <w:rFonts w:ascii="Cambria Math" w:hAnsi="Cambria Math"/>
              </w:rPr>
              <m:t>'</m:t>
            </m:r>
            <m:ctrlPr>
              <w:rPr>
                <w:rFonts w:ascii="Cambria Math" w:hAnsi="Cambria Math"/>
              </w:rPr>
            </m:ctrlPr>
          </m:sup>
        </m:sSubSup>
        <m:sSubSup>
          <m:sSubSupPr>
            <m:ctrlPr>
              <w:rPr>
                <w:rFonts w:ascii="Cambria Math" w:hAnsi="Cambria Math"/>
              </w:rPr>
            </m:ctrlPr>
          </m:sSubSup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up>
            <m:r>
              <m:rPr>
                <m:sty m:val="p"/>
              </m:rPr>
              <w:rPr>
                <w:rFonts w:ascii="Cambria Math" w:hAnsi="Cambria Math"/>
              </w:rPr>
              <m:t>'</m:t>
            </m:r>
            <m:ctrlPr>
              <w:rPr>
                <w:rFonts w:ascii="Cambria Math" w:hAnsi="Cambria Math"/>
              </w:rPr>
            </m:ctrlPr>
          </m:sup>
        </m:sSubSup>
      </m:oMath>
      <w:r>
        <w:rPr>
          <w:rFonts w:hint="eastAsia"/>
        </w:rPr>
        <w:t>，</w:t>
      </w: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py</m:t>
            </m:r>
            <m:ctrlPr>
              <w:rPr>
                <w:rFonts w:ascii="Cambria Math" w:hAnsi="Cambria Math"/>
              </w:rPr>
            </m:ctrlPr>
          </m:sub>
          <m:sup>
            <m:r>
              <m:rPr>
                <m:sty m:val="p"/>
              </m:rPr>
              <w:rPr>
                <w:rFonts w:ascii="Cambria Math" w:hAnsi="Cambria Math"/>
              </w:rPr>
              <m:t>'</m:t>
            </m:r>
            <m:ctrlPr>
              <w:rPr>
                <w:rFonts w:ascii="Cambria Math" w:hAnsi="Cambria Math"/>
              </w:rPr>
            </m:ctrlPr>
          </m:sup>
        </m:sSubSup>
        <m:sSubSup>
          <m:sSubSupPr>
            <m:ctrlPr>
              <w:rPr>
                <w:rFonts w:ascii="Cambria Math" w:hAnsi="Cambria Math"/>
              </w:rPr>
            </m:ctrlPr>
          </m:sSubSup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up>
            <m:r>
              <m:rPr>
                <m:sty m:val="p"/>
              </m:rPr>
              <w:rPr>
                <w:rFonts w:ascii="Cambria Math" w:hAnsi="Cambria Math"/>
              </w:rPr>
              <m:t>'</m:t>
            </m:r>
            <m:ctrlPr>
              <w:rPr>
                <w:rFonts w:ascii="Cambria Math" w:hAnsi="Cambria Math"/>
              </w:rPr>
            </m:ctrlPr>
          </m:sup>
        </m:sSubSup>
      </m:oMath>
      <w:r>
        <w:rPr>
          <w:rFonts w:hint="eastAsia"/>
        </w:rPr>
        <w:t>时，本规程上式中该项应取消，同时本规程</w:t>
      </w:r>
      <w:r>
        <w:t>（</w:t>
      </w:r>
      <w:r>
        <w:fldChar w:fldCharType="begin"/>
      </w:r>
      <w:r>
        <w:instrText xml:space="preserve"> </w:instrText>
      </w:r>
      <w:r>
        <w:rPr>
          <w:rFonts w:hint="eastAsia"/>
        </w:rPr>
        <w:instrText xml:space="preserve">REF _Ref197941858 \r \h</w:instrText>
      </w:r>
      <w:r>
        <w:instrText xml:space="preserve">  \* MERGEFORMAT </w:instrText>
      </w:r>
      <w:r>
        <w:fldChar w:fldCharType="separate"/>
      </w:r>
      <w:r>
        <w:t>5. 4. 6</w:t>
      </w:r>
      <w:r>
        <w:fldChar w:fldCharType="end"/>
      </w:r>
      <w:r>
        <w:t>-4）</w:t>
      </w:r>
      <w:r>
        <w:rPr>
          <w:rFonts w:hint="eastAsia"/>
        </w:rPr>
        <w:t>式应取消。</w:t>
      </w:r>
    </w:p>
    <w:p>
      <w:pPr>
        <w:pStyle w:val="86"/>
      </w:pPr>
      <w:r>
        <w:rPr>
          <w:rFonts w:hint="eastAsia"/>
        </w:rPr>
        <w:t>式中：</w:t>
      </w:r>
      <w:r>
        <w:tab/>
      </w:r>
      <w:r>
        <w:rPr>
          <w:rFonts w:hint="eastAsia"/>
        </w:rPr>
        <w:t>M</w:t>
      </w:r>
      <w:r>
        <w:t>——</w:t>
      </w:r>
      <w:r>
        <w:tab/>
      </w:r>
      <w:r>
        <w:rPr>
          <w:rFonts w:hint="eastAsia"/>
        </w:rPr>
        <w:t>I、II型预应力梁按基本组合或地震组合计算的弯矩设计值（kN</w:t>
      </w:r>
      <w:r>
        <w:rPr>
          <w:rFonts w:hint="eastAsia" w:ascii="宋体" w:hAnsi="宋体"/>
        </w:rPr>
        <w:t>•</w:t>
      </w:r>
      <w:r>
        <w:rPr>
          <w:rFonts w:hint="eastAsia"/>
        </w:rPr>
        <w:t>m）；</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tot</m:t>
            </m:r>
            <m:ctrlPr>
              <w:rPr>
                <w:rFonts w:ascii="Cambria Math" w:hAnsi="Cambria Math"/>
                <w:i/>
              </w:rPr>
            </m:ctrlPr>
          </m:sub>
        </m:sSub>
      </m:oMath>
      <w:r>
        <w:t>——</w:t>
      </w:r>
      <w:r>
        <w:tab/>
      </w:r>
      <w:r>
        <w:rPr>
          <w:rFonts w:hint="eastAsia"/>
        </w:rPr>
        <w:t>预应力综合弯矩有效值（kN</w:t>
      </w:r>
      <w:r>
        <w:rPr>
          <w:rFonts w:hint="eastAsia" w:ascii="宋体" w:hAnsi="宋体"/>
        </w:rPr>
        <w:t>•</w:t>
      </w:r>
      <w:r>
        <w:rPr>
          <w:rFonts w:hint="eastAsia"/>
        </w:rPr>
        <w:t>m）；</w:t>
      </w:r>
    </w:p>
    <w:p>
      <w:pPr>
        <w:pStyle w:val="86"/>
      </w:pPr>
      <w:r>
        <w:tab/>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tot</m:t>
            </m:r>
            <m:ctrlPr>
              <w:rPr>
                <w:rFonts w:ascii="Cambria Math" w:hAnsi="Cambria Math"/>
                <w:i/>
              </w:rPr>
            </m:ctrlPr>
          </m:sub>
        </m:sSub>
      </m:oMath>
      <w:r>
        <w:t>——</w:t>
      </w:r>
      <w:r>
        <w:tab/>
      </w:r>
      <w:r>
        <w:rPr>
          <w:rFonts w:hint="eastAsia"/>
        </w:rPr>
        <w:t>预应力综合轴力有效值（kN）；</w:t>
      </w:r>
    </w:p>
    <w:p>
      <w:pPr>
        <w:pStyle w:val="86"/>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tu</m:t>
            </m:r>
            <m:ctrlPr>
              <w:rPr>
                <w:rFonts w:ascii="Cambria Math" w:hAnsi="Cambria Math"/>
                <w:i/>
              </w:rPr>
            </m:ctrlPr>
          </m:sub>
        </m:sSub>
      </m:oMath>
      <w:r>
        <w:t>——</w:t>
      </w:r>
      <w:r>
        <w:tab/>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lat</m:t>
            </m:r>
            <m:ctrlPr>
              <w:rPr>
                <w:rFonts w:ascii="Cambria Math" w:hAnsi="Cambria Math"/>
                <w:i/>
              </w:rPr>
            </m:ctrlPr>
          </m:sub>
        </m:sSub>
      </m:oMath>
      <w:r>
        <w:rPr>
          <w:rFonts w:hint="eastAsia"/>
        </w:rPr>
        <w:t>产生的承载力摩擦扭矩（kN</w:t>
      </w:r>
      <w:r>
        <w:rPr>
          <w:rFonts w:hint="eastAsia" w:ascii="宋体" w:hAnsi="宋体"/>
        </w:rPr>
        <w:t>•</w:t>
      </w:r>
      <w:r>
        <w:rPr>
          <w:rFonts w:hint="eastAsia"/>
        </w:rPr>
        <w:t>m）：当承载力极限状态由竖向荷载控制时，取0；梁承载力极限状态由水平作用控制时，在跨中取0；</w:t>
      </w:r>
    </w:p>
    <w:p>
      <w:pPr>
        <w:pStyle w:val="86"/>
      </w:pPr>
      <w:r>
        <w:tab/>
      </w:r>
      <w:r>
        <w:rPr>
          <w:rFonts w:hint="eastAsia"/>
        </w:rPr>
        <w:t>h</w:t>
      </w:r>
      <w:r>
        <w:t>——</w:t>
      </w:r>
      <w:r>
        <w:tab/>
      </w:r>
      <w:r>
        <w:rPr>
          <w:rFonts w:hint="eastAsia"/>
        </w:rPr>
        <w:t>截面高度或预制楼盖构件截面高度（mm）；</w:t>
      </w:r>
    </w:p>
    <w:p>
      <w:pPr>
        <w:pStyle w:val="86"/>
      </w:pPr>
      <w:r>
        <w:tab/>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a</m:t>
            </m:r>
            <m:ctrlPr>
              <w:rPr>
                <w:rFonts w:ascii="Cambria Math" w:hAnsi="Cambria Math"/>
                <w:i/>
              </w:rPr>
            </m:ctrlPr>
          </m:sub>
        </m:sSub>
      </m:oMath>
      <w:r>
        <w:t>——</w:t>
      </w:r>
      <w:r>
        <w:tab/>
      </w:r>
      <w:r>
        <w:t>I</w:t>
      </w:r>
      <w:r>
        <w:rPr>
          <w:rFonts w:hint="eastAsia"/>
        </w:rPr>
        <w:t>型预应力梁截面形心到上缘距离（mm）；</w:t>
      </w:r>
    </w:p>
    <w:p>
      <w:pPr>
        <w:pStyle w:val="86"/>
      </w:pPr>
      <w:r>
        <w:tab/>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p</m:t>
            </m:r>
            <m:ctrlPr>
              <w:rPr>
                <w:rFonts w:ascii="Cambria Math" w:hAnsi="Cambria Math"/>
                <w:i/>
              </w:rPr>
            </m:ctrlPr>
          </m:sub>
        </m:sSub>
      </m:oMath>
      <w:r>
        <w:t>——</w:t>
      </w:r>
      <w:r>
        <w:tab/>
      </w:r>
      <w:r>
        <w:rPr>
          <w:rFonts w:hint="eastAsia"/>
        </w:rPr>
        <w:t>受拉区普通钢筋截面形心到上缘中度（mm）；</w:t>
      </w:r>
    </w:p>
    <w:p>
      <w:r>
        <w:tab/>
      </w:r>
      <m:oMath>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s</m:t>
            </m:r>
            <m:ctrlPr>
              <w:rPr>
                <w:rFonts w:ascii="Cambria Math" w:hAnsi="Cambria Math"/>
                <w:i/>
              </w:rPr>
            </m:ctrlPr>
          </m:sub>
        </m:sSub>
      </m:oMath>
      <w:r>
        <w:t>——</w:t>
      </w:r>
      <w:r>
        <w:tab/>
      </w:r>
      <w:r>
        <w:rPr>
          <w:rFonts w:hint="eastAsia"/>
        </w:rPr>
        <w:t>受拉区普通钢筋截面形心到上缘距离（mm）。</w:t>
      </w:r>
    </w:p>
    <w:p/>
    <w:p>
      <w:pPr>
        <w:pStyle w:val="4"/>
      </w:pPr>
      <w:r>
        <w:rPr>
          <w:rFonts w:hint="eastAsia"/>
        </w:rPr>
        <w:t>压接装配板柱中框架梁的明槽两侧楼板边肋上部应按下图伸出钢筋相互焊接或搭接，上部钢筋应从与边肋垂直相交的每根内肋伸出。当一侧为边梁时，也应相应从边梁伸出钢筋与楼板的伸出钢筋焊接或搭接。</w:t>
      </w:r>
    </w:p>
    <w:p>
      <w:pPr>
        <w:pStyle w:val="69"/>
      </w:pPr>
      <w:r>
        <w:drawing>
          <wp:inline distT="0" distB="0" distL="0" distR="0">
            <wp:extent cx="3691255" cy="2270760"/>
            <wp:effectExtent l="0" t="0" r="4445" b="0"/>
            <wp:docPr id="15956050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560503" name="图片 9"/>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3702020" cy="2277103"/>
                    </a:xfrm>
                    <a:prstGeom prst="rect">
                      <a:avLst/>
                    </a:prstGeom>
                    <a:noFill/>
                    <a:ln>
                      <a:noFill/>
                    </a:ln>
                  </pic:spPr>
                </pic:pic>
              </a:graphicData>
            </a:graphic>
          </wp:inline>
        </w:drawing>
      </w:r>
    </w:p>
    <w:p>
      <w:pPr>
        <w:pStyle w:val="69"/>
      </w:pPr>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5. 4. 7</w:t>
      </w:r>
      <w:r>
        <w:fldChar w:fldCharType="end"/>
      </w:r>
      <w:r>
        <w:t xml:space="preserve">  </w:t>
      </w:r>
      <w:r>
        <w:rPr>
          <w:rFonts w:hint="eastAsia"/>
        </w:rPr>
        <w:t>框架梁的明槽两侧楼板之间的连接钢筋</w:t>
      </w:r>
    </w:p>
    <w:p>
      <w:pPr>
        <w:pStyle w:val="69"/>
      </w:pPr>
      <w:r>
        <w:t>1—</w:t>
      </w:r>
      <w:r>
        <w:rPr>
          <w:rFonts w:hint="eastAsia"/>
        </w:rPr>
        <w:t>焊接，单面搭接焊接长度</w:t>
      </w:r>
      <m:oMath>
        <m:r>
          <m:rPr/>
          <w:rPr>
            <w:rFonts w:ascii="Cambria Math" w:hAnsi="Cambria Math"/>
          </w:rPr>
          <m:t>≥10d</m:t>
        </m:r>
      </m:oMath>
      <w:r>
        <w:t>；2—</w:t>
      </w:r>
      <w:r>
        <w:rPr>
          <w:rFonts w:hint="eastAsia"/>
        </w:rPr>
        <w:t>搭接，伸出长度</w:t>
      </w:r>
      <m:oMath>
        <m:r>
          <m:rPr/>
          <w:rPr>
            <w:rFonts w:ascii="Cambria Math" w:hAnsi="Cambria Math"/>
          </w:rPr>
          <m:t>≥20d</m:t>
        </m:r>
      </m:oMath>
    </w:p>
    <w:p/>
    <w:p>
      <w:pPr>
        <w:pStyle w:val="3"/>
      </w:pPr>
      <w:bookmarkStart w:id="265" w:name="_Toc202345820"/>
      <w:r>
        <w:rPr>
          <w:rFonts w:hint="eastAsia"/>
        </w:rPr>
        <w:t>梁柱连接</w:t>
      </w:r>
      <w:bookmarkEnd w:id="251"/>
      <w:bookmarkEnd w:id="252"/>
      <w:bookmarkEnd w:id="253"/>
      <w:bookmarkStart w:id="266" w:name="_Toc86067891"/>
      <w:bookmarkStart w:id="267" w:name="_Ref81320245"/>
      <w:r>
        <w:rPr>
          <w:rFonts w:hint="eastAsia"/>
        </w:rPr>
        <w:t>设计</w:t>
      </w:r>
      <w:bookmarkEnd w:id="265"/>
      <w:bookmarkStart w:id="268" w:name="_Toc197444883"/>
      <w:bookmarkEnd w:id="268"/>
    </w:p>
    <w:bookmarkEnd w:id="266"/>
    <w:bookmarkEnd w:id="267"/>
    <w:p>
      <w:pPr>
        <w:pStyle w:val="4"/>
      </w:pPr>
      <w:bookmarkStart w:id="269" w:name="_Ref86675141"/>
      <w:bookmarkStart w:id="270" w:name="_Toc86067892"/>
      <w:bookmarkStart w:id="271" w:name="_Ref86136417"/>
      <w:r>
        <w:rPr>
          <w:rFonts w:hint="eastAsia"/>
        </w:rPr>
        <w:t>承载力极限状态下，梁板柱复合节点的</w:t>
      </w:r>
      <w:r>
        <w:t>梁柱</w:t>
      </w:r>
      <w:r>
        <w:rPr>
          <w:rFonts w:hint="eastAsia"/>
        </w:rPr>
        <w:t>结合面</w:t>
      </w:r>
      <w:r>
        <w:t>处</w:t>
      </w:r>
      <w:r>
        <w:rPr>
          <w:rFonts w:hint="eastAsia"/>
        </w:rPr>
        <w:t>的</w:t>
      </w:r>
      <w:r>
        <w:t>受弯承载力</w:t>
      </w:r>
      <w:r>
        <w:rPr>
          <w:rFonts w:hint="eastAsia"/>
        </w:rPr>
        <w:t>应符合下列规定</w:t>
      </w:r>
      <w:r>
        <w:t>：</w:t>
      </w:r>
      <w:bookmarkEnd w:id="269"/>
      <w:bookmarkEnd w:id="270"/>
      <w:bookmarkEnd w:id="271"/>
    </w:p>
    <w:p>
      <w:pPr>
        <w:pStyle w:val="70"/>
        <w:rPr>
          <w:rFonts w:ascii="XITS" w:hAnsi="XITS"/>
        </w:rPr>
      </w:pPr>
      <w:r>
        <w:rPr>
          <w:rFonts w:hint="eastAsia"/>
          <w:b/>
        </w:rPr>
        <w:t>1</w:t>
      </w:r>
      <w:r>
        <w:tab/>
      </w:r>
      <w:r>
        <w:t>梁端负弯矩作用下</w:t>
      </w:r>
      <w:r>
        <w:rPr>
          <w:rFonts w:hint="eastAsia"/>
        </w:rPr>
        <w:t>结合面</w:t>
      </w:r>
      <w:r>
        <w:t>的受弯承载力</w:t>
      </w:r>
      <w:r>
        <w:rPr>
          <w:rFonts w:hint="eastAsia"/>
        </w:rPr>
        <w:t>应按下式计算（图</w:t>
      </w:r>
      <w:r>
        <w:fldChar w:fldCharType="begin"/>
      </w:r>
      <w:r>
        <w:instrText xml:space="preserve"> </w:instrText>
      </w:r>
      <w:r>
        <w:rPr>
          <w:rFonts w:hint="eastAsia"/>
        </w:rPr>
        <w:instrText xml:space="preserve">REF _Ref86136417 \n \h</w:instrText>
      </w:r>
      <w:r>
        <w:instrText xml:space="preserve"> </w:instrText>
      </w:r>
      <w:r>
        <w:fldChar w:fldCharType="separate"/>
      </w:r>
      <w:r>
        <w:t>5. 5. 1</w:t>
      </w:r>
      <w:r>
        <w:fldChar w:fldCharType="end"/>
      </w:r>
      <w:r>
        <w:rPr>
          <w:rFonts w:hint="eastAsia"/>
        </w:rPr>
        <w:t>-1）：</w:t>
      </w:r>
    </w:p>
    <w:p>
      <w:pPr>
        <w:pStyle w:val="85"/>
        <w:rPr>
          <w:rFonts w:ascii="XITS" w:hAnsi="XITS"/>
        </w:rPr>
      </w:pPr>
      <w:r>
        <w:tab/>
      </w:r>
      <m:oMath>
        <m:sSubSup>
          <m:sSubSupPr>
            <m:ctrlPr>
              <w:rPr>
                <w:rFonts w:ascii="Cambria Math" w:hAnsi="Cambria Math"/>
              </w:rPr>
            </m:ctrlPr>
          </m:sSubSupPr>
          <m:e>
            <m:r>
              <m:rPr>
                <m:sty m:val="p"/>
              </m:rPr>
              <w:rPr>
                <w:rFonts w:ascii="Cambria Math" w:hAnsi="Cambria Math"/>
              </w:rPr>
              <m:t>M</m:t>
            </m:r>
            <m:ctrlPr>
              <w:rPr>
                <w:rFonts w:ascii="Cambria Math" w:hAnsi="Cambria Math"/>
              </w:rPr>
            </m:ctrlPr>
          </m:e>
          <m:sub>
            <m:r>
              <m:rPr>
                <m:sty m:val="p"/>
              </m:rPr>
              <w:rPr>
                <w:rFonts w:ascii="Cambria Math" w:hAnsi="Cambria Math"/>
              </w:rPr>
              <m:t>R</m:t>
            </m:r>
            <m:r>
              <m:rPr>
                <m:sty m:val="p"/>
              </m:rPr>
              <w:rPr>
                <w:rFonts w:hint="eastAsia" w:ascii="Cambria Math" w:hAnsi="Cambria Math"/>
              </w:rPr>
              <m:t>k</m:t>
            </m:r>
            <m:ctrlPr>
              <w:rPr>
                <w:rFonts w:ascii="Cambria Math" w:hAnsi="Cambria Math"/>
              </w:rPr>
            </m:ctrlPr>
          </m:sub>
          <m:sup>
            <m:r>
              <m:rPr>
                <m:sty m:val="p"/>
              </m:rPr>
              <w:rPr>
                <w:rFonts w:ascii="Cambria Math" w:hAnsi="Cambria Math"/>
              </w:rPr>
              <m:t>−</m:t>
            </m:r>
            <m:ctrlPr>
              <w:rPr>
                <w:rFonts w:ascii="Cambria Math" w:hAnsi="Cambria Math"/>
              </w:rPr>
            </m:ctrlPr>
          </m:sup>
        </m:sSubSup>
        <m:r>
          <m:rPr>
            <m:sty m:val="p"/>
          </m:rPr>
          <w:rPr>
            <w:rFonts w:ascii="Cambria Math" w:hAnsi="Cambria Math"/>
          </w:rPr>
          <m:t>=</m:t>
        </m:r>
        <m:sSub>
          <m:sSubPr>
            <m:ctrlPr>
              <w:rPr>
                <w:rFonts w:ascii="XITS Math" w:hAnsi="XITS Math"/>
              </w:rPr>
            </m:ctrlPr>
          </m:sSubPr>
          <m:e>
            <m:r>
              <m:rPr/>
              <w:rPr>
                <w:rFonts w:ascii="XITS Math" w:hAnsi="XITS Math"/>
              </w:rPr>
              <m:t>α</m:t>
            </m:r>
            <m:ctrlPr>
              <w:rPr>
                <w:rFonts w:ascii="XITS Math" w:hAnsi="XITS Math"/>
              </w:rPr>
            </m:ctrlPr>
          </m:e>
          <m:sub>
            <m:r>
              <m:rPr>
                <m:sty m:val="p"/>
              </m:rPr>
              <w:rPr>
                <w:rFonts w:ascii="XITS Math" w:hAnsi="XITS Math"/>
              </w:rPr>
              <m:t>1</m:t>
            </m:r>
            <m:ctrlPr>
              <w:rPr>
                <w:rFonts w:ascii="XITS Math" w:hAnsi="XITS Math"/>
              </w:rPr>
            </m:ctrlPr>
          </m:sub>
        </m:sSub>
        <m:sSub>
          <m:sSubPr>
            <m:ctrlPr>
              <w:rPr>
                <w:rFonts w:ascii="XITS Math" w:hAnsi="XITS Math"/>
              </w:rPr>
            </m:ctrlPr>
          </m:sSubPr>
          <m:e>
            <m:r>
              <m:rPr/>
              <w:rPr>
                <w:rFonts w:ascii="XITS Math" w:hAnsi="XITS Math"/>
              </w:rPr>
              <m:t>f</m:t>
            </m:r>
            <m:ctrlPr>
              <w:rPr>
                <w:rFonts w:ascii="XITS Math" w:hAnsi="XITS Math"/>
              </w:rPr>
            </m:ctrlPr>
          </m:e>
          <m:sub>
            <m:r>
              <m:rPr/>
              <w:rPr>
                <w:rFonts w:ascii="XITS Math" w:hAnsi="XITS Math"/>
              </w:rPr>
              <m:t>c</m:t>
            </m:r>
            <m:r>
              <m:rPr/>
              <w:rPr>
                <w:rFonts w:ascii="Cambria Math" w:hAnsi="Cambria Math"/>
              </w:rPr>
              <m:t>k</m:t>
            </m:r>
            <m:ctrlPr>
              <w:rPr>
                <w:rFonts w:ascii="XITS Math" w:hAnsi="XITS Math"/>
              </w:rPr>
            </m:ctrlPr>
          </m:sub>
        </m:sSub>
        <m:r>
          <m:rPr/>
          <w:rPr>
            <w:rFonts w:ascii="XITS Math" w:hAnsi="XITS Math"/>
          </w:rPr>
          <m:t>b</m:t>
        </m:r>
        <m:r>
          <m:rPr/>
          <w:rPr>
            <w:rFonts w:ascii="Cambria Math" w:hAnsi="Cambria Math"/>
          </w:rPr>
          <m:t>x</m:t>
        </m:r>
        <m:d>
          <m:dPr>
            <m:ctrlPr>
              <w:rPr>
                <w:rFonts w:ascii="XITS Math" w:hAnsi="XITS Math"/>
              </w:rPr>
            </m:ctrlPr>
          </m:dPr>
          <m:e>
            <m:sSub>
              <m:sSubPr>
                <m:ctrlPr>
                  <w:rPr>
                    <w:rFonts w:ascii="XITS Math" w:hAnsi="XITS Math"/>
                  </w:rPr>
                </m:ctrlPr>
              </m:sSubPr>
              <m:e>
                <m:r>
                  <m:rPr/>
                  <w:rPr>
                    <w:rFonts w:ascii="XITS Math" w:hAnsi="XITS Math"/>
                  </w:rPr>
                  <m:t>ℎ</m:t>
                </m:r>
                <m:ctrlPr>
                  <w:rPr>
                    <w:rFonts w:ascii="XITS Math" w:hAnsi="XITS Math"/>
                  </w:rPr>
                </m:ctrlPr>
              </m:e>
              <m:sub>
                <m:r>
                  <m:rPr>
                    <m:sty m:val="p"/>
                  </m:rPr>
                  <w:rPr>
                    <w:rFonts w:hint="eastAsia" w:ascii="Cambria Math" w:hAnsi="Cambria Math"/>
                  </w:rPr>
                  <m:t>0</m:t>
                </m:r>
                <m:ctrlPr>
                  <w:rPr>
                    <w:rFonts w:ascii="XITS Math" w:hAnsi="XITS Math"/>
                  </w:rPr>
                </m:ctrlPr>
              </m:sub>
            </m:sSub>
            <m:r>
              <m:rPr>
                <m:sty m:val="p"/>
              </m:rPr>
              <w:rPr>
                <w:rFonts w:ascii="XITS Math" w:hAnsi="XITS Math"/>
              </w:rPr>
              <m:t>−</m:t>
            </m:r>
            <m:r>
              <m:rPr>
                <m:sty m:val="p"/>
              </m:rPr>
              <w:rPr>
                <w:rFonts w:ascii="Cambria Math" w:hAnsi="Cambria Math"/>
              </w:rPr>
              <m:t>0.5</m:t>
            </m:r>
            <m:r>
              <m:rPr/>
              <w:rPr>
                <w:rFonts w:ascii="Cambria Math" w:hAnsi="Cambria Math"/>
              </w:rPr>
              <m:t>x</m:t>
            </m:r>
            <m:ctrlPr>
              <w:rPr>
                <w:rFonts w:ascii="XITS Math" w:hAnsi="XITS Math"/>
              </w:rPr>
            </m:ctrlPr>
          </m:e>
        </m:d>
        <m:r>
          <m:rPr>
            <m:sty m:val="p"/>
          </m:rPr>
          <w:rPr>
            <w:rFonts w:ascii="Cambria Math" w:hAnsi="Cambria Math"/>
          </w:rPr>
          <m:t>−</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pe</m:t>
            </m:r>
            <m:ctrlPr>
              <w:rPr>
                <w:rFonts w:ascii="Cambria Math" w:hAnsi="Cambria Math"/>
              </w:rPr>
            </m:ctrlPr>
          </m:sub>
        </m:sSub>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p</m:t>
            </m:r>
            <m:ctrlPr>
              <w:rPr>
                <w:rFonts w:ascii="Cambria Math" w:hAnsi="Cambria Math"/>
                <w:i/>
                <w:iCs/>
              </w:rPr>
            </m:ctrlPr>
          </m:sub>
        </m:sSub>
        <m:d>
          <m:dPr>
            <m:ctrlPr>
              <w:rPr>
                <w:rFonts w:ascii="Cambria Math" w:hAnsi="Cambria Math"/>
                <w:i/>
                <w:iCs/>
              </w:rPr>
            </m:ctrlPr>
          </m:dPr>
          <m:e>
            <m:sSub>
              <m:sSubPr>
                <m:ctrlPr>
                  <w:rPr>
                    <w:rFonts w:ascii="Cambria Math" w:hAnsi="Cambria Math"/>
                    <w:i/>
                    <w:iCs/>
                  </w:rPr>
                </m:ctrlPr>
              </m:sSubPr>
              <m:e>
                <m:r>
                  <m:rPr/>
                  <w:rPr>
                    <w:rFonts w:ascii="Cambria Math" w:hAnsi="Cambria Math"/>
                  </w:rPr>
                  <m:t>ℎ</m:t>
                </m:r>
                <m:ctrlPr>
                  <w:rPr>
                    <w:rFonts w:ascii="Cambria Math" w:hAnsi="Cambria Math"/>
                    <w:i/>
                    <w:iCs/>
                  </w:rPr>
                </m:ctrlPr>
              </m:e>
              <m:sub>
                <m:r>
                  <m:rPr/>
                  <w:rPr>
                    <w:rFonts w:ascii="Cambria Math" w:hAnsi="Cambria Math"/>
                  </w:rPr>
                  <m:t>p</m:t>
                </m:r>
                <m:ctrlPr>
                  <w:rPr>
                    <w:rFonts w:ascii="Cambria Math" w:hAnsi="Cambria Math"/>
                    <w:i/>
                    <w:iCs/>
                  </w:rPr>
                </m:ctrlPr>
              </m:sub>
            </m:sSub>
            <m:r>
              <m:rPr/>
              <w:rPr>
                <w:rFonts w:ascii="Cambria Math" w:hAnsi="Cambria Math"/>
              </w:rPr>
              <m:t>−</m:t>
            </m:r>
            <m:sSub>
              <m:sSubPr>
                <m:ctrlPr>
                  <w:rPr>
                    <w:rFonts w:hint="eastAsia" w:ascii="Cambria Math" w:hAnsi="Cambria Math" w:cs="XITS Math"/>
                    <w:i/>
                  </w:rPr>
                </m:ctrlPr>
              </m:sSubPr>
              <m:e>
                <m:r>
                  <m:rPr/>
                  <w:rPr>
                    <w:rFonts w:hint="eastAsia" w:ascii="Cambria Math" w:hAnsi="Cambria Math" w:cs="XITS Math"/>
                    <w:sz w:val="21"/>
                  </w:rPr>
                  <m:t>a</m:t>
                </m:r>
                <m:ctrlPr>
                  <w:rPr>
                    <w:rFonts w:ascii="Cambria Math" w:hAnsi="Cambria Math" w:cs="XITS Math"/>
                    <w:i/>
                    <w:iCs/>
                  </w:rPr>
                </m:ctrlPr>
              </m:e>
              <m:sub>
                <m:r>
                  <m:rPr/>
                  <w:rPr>
                    <w:rFonts w:ascii="Cambria Math" w:hAnsi="Cambria Math" w:cs="XITS Math"/>
                    <w:sz w:val="21"/>
                  </w:rPr>
                  <m:t>s</m:t>
                </m:r>
                <m:ctrlPr>
                  <w:rPr>
                    <w:rFonts w:ascii="Cambria Math" w:hAnsi="Cambria Math" w:cs="XITS Math"/>
                    <w:i/>
                    <w:iCs/>
                  </w:rPr>
                </m:ctrlPr>
              </m:sub>
            </m:sSub>
            <m:ctrlPr>
              <w:rPr>
                <w:rFonts w:ascii="Cambria Math" w:hAnsi="Cambria Math"/>
                <w:i/>
                <w:iCs/>
              </w:rPr>
            </m:ctrlPr>
          </m:e>
        </m:d>
      </m:oMath>
      <w:r>
        <w:rPr>
          <w:rFonts w:ascii="XITS" w:hAnsi="XITS"/>
        </w:rPr>
        <w:tab/>
      </w:r>
      <w:r>
        <w:rPr>
          <w:rFonts w:hint="eastAsia" w:ascii="XITS" w:hAnsi="XITS"/>
        </w:rPr>
        <w:t>（</w:t>
      </w:r>
      <w:r>
        <w:rPr>
          <w:rFonts w:cs="Times New Roman"/>
        </w:rPr>
        <w:fldChar w:fldCharType="begin"/>
      </w:r>
      <w:r>
        <w:rPr>
          <w:rFonts w:cs="Times New Roman"/>
        </w:rPr>
        <w:instrText xml:space="preserve"> REF _Ref86675141 \r \h </w:instrText>
      </w:r>
      <w:r>
        <w:rPr>
          <w:rFonts w:cs="Times New Roman"/>
        </w:rPr>
        <w:fldChar w:fldCharType="separate"/>
      </w:r>
      <w:r>
        <w:rPr>
          <w:rFonts w:cs="Times New Roman"/>
        </w:rPr>
        <w:t>5. 5. 1</w:t>
      </w:r>
      <w:r>
        <w:rPr>
          <w:rFonts w:cs="Times New Roman"/>
        </w:rPr>
        <w:fldChar w:fldCharType="end"/>
      </w:r>
      <w:r>
        <w:rPr>
          <w:rFonts w:cs="Times New Roman"/>
        </w:rPr>
        <w:t>-</w:t>
      </w:r>
      <w:r>
        <w:rPr>
          <w:rFonts w:hint="eastAsia" w:cs="Times New Roman"/>
        </w:rPr>
        <w:t>1</w:t>
      </w:r>
      <w:r>
        <w:rPr>
          <w:rFonts w:hint="eastAsia" w:ascii="XITS" w:hAnsi="XITS"/>
        </w:rPr>
        <w:t>）</w:t>
      </w:r>
    </w:p>
    <w:p>
      <w:pPr>
        <w:pStyle w:val="5"/>
      </w:pPr>
      <w:r>
        <w:rPr>
          <w:rFonts w:hint="eastAsia"/>
        </w:rPr>
        <w:t>混凝土受压区高度应按下式确定：</w:t>
      </w:r>
    </w:p>
    <w:p>
      <w:pPr>
        <w:pStyle w:val="85"/>
        <w:rPr>
          <w:rFonts w:ascii="XITS" w:hAnsi="XITS"/>
        </w:rPr>
      </w:pPr>
      <w:r>
        <w:tab/>
      </w:r>
      <m:oMath>
        <m:sSub>
          <m:sSubPr>
            <m:ctrlPr>
              <w:rPr>
                <w:rFonts w:ascii="Cambria Math" w:hAnsi="Cambria Math"/>
                <w:i/>
                <w:iCs/>
              </w:rPr>
            </m:ctrlPr>
          </m:sSubPr>
          <m:e>
            <m:r>
              <m:rPr/>
              <w:rPr>
                <w:rFonts w:ascii="Cambria Math" w:hAnsi="Cambria Math"/>
              </w:rPr>
              <m:t>α</m:t>
            </m:r>
            <m:ctrlPr>
              <w:rPr>
                <w:rFonts w:ascii="Cambria Math" w:hAnsi="Cambria Math"/>
                <w:i/>
                <w:iCs/>
              </w:rPr>
            </m:ctrlPr>
          </m:e>
          <m:sub>
            <m:r>
              <m:rPr/>
              <w:rPr>
                <w:rFonts w:ascii="Cambria Math" w:hAnsi="Cambria Math"/>
              </w:rPr>
              <m:t>1</m:t>
            </m:r>
            <m:ctrlPr>
              <w:rPr>
                <w:rFonts w:ascii="Cambria Math" w:hAnsi="Cambria Math"/>
                <w:i/>
                <w:iCs/>
              </w:rPr>
            </m:ctrlPr>
          </m:sub>
        </m:sSub>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ck</m:t>
            </m:r>
            <m:ctrlPr>
              <w:rPr>
                <w:rFonts w:ascii="Cambria Math" w:hAnsi="Cambria Math"/>
                <w:i/>
                <w:iCs/>
              </w:rPr>
            </m:ctrlPr>
          </m:sub>
        </m:sSub>
        <m:r>
          <m:rPr/>
          <w:rPr>
            <w:rFonts w:ascii="Cambria Math" w:hAnsi="Cambria Math"/>
          </w:rPr>
          <m:t>bx=</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yk</m:t>
            </m:r>
            <m:ctrlPr>
              <w:rPr>
                <w:rFonts w:ascii="Cambria Math" w:hAnsi="Cambria Math"/>
                <w:i/>
                <w:iCs/>
              </w:rPr>
            </m:ctrlPr>
          </m:sub>
        </m:sSub>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sn</m:t>
            </m:r>
            <m:ctrlPr>
              <w:rPr>
                <w:rFonts w:ascii="Cambria Math" w:hAnsi="Cambria Math"/>
                <w:i/>
                <w:iCs/>
              </w:rPr>
            </m:ctrlPr>
          </m:sub>
        </m:sSub>
        <m:r>
          <m:rPr/>
          <w:rPr>
            <w:rFonts w:ascii="Cambria Math" w:hAnsi="Cambria Math"/>
          </w:rPr>
          <m:t>+</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pe</m:t>
            </m:r>
            <m:ctrlPr>
              <w:rPr>
                <w:rFonts w:ascii="Cambria Math" w:hAnsi="Cambria Math"/>
              </w:rPr>
            </m:ctrlPr>
          </m:sub>
        </m:sSub>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p</m:t>
            </m:r>
            <m:ctrlPr>
              <w:rPr>
                <w:rFonts w:ascii="Cambria Math" w:hAnsi="Cambria Math"/>
                <w:i/>
                <w:iCs/>
              </w:rPr>
            </m:ctrlPr>
          </m:sub>
        </m:sSub>
      </m:oMath>
      <w:r>
        <w:rPr>
          <w:iCs/>
        </w:rPr>
        <w:tab/>
      </w:r>
      <w:r>
        <w:rPr>
          <w:rFonts w:hint="eastAsia" w:ascii="XITS" w:hAnsi="XITS"/>
        </w:rPr>
        <w:t>（</w:t>
      </w:r>
      <w:r>
        <w:rPr>
          <w:rFonts w:cs="Times New Roman"/>
        </w:rPr>
        <w:fldChar w:fldCharType="begin"/>
      </w:r>
      <w:r>
        <w:rPr>
          <w:rFonts w:cs="Times New Roman"/>
        </w:rPr>
        <w:instrText xml:space="preserve"> REF _Ref86675141 \r \h </w:instrText>
      </w:r>
      <w:r>
        <w:rPr>
          <w:rFonts w:cs="Times New Roman"/>
        </w:rPr>
        <w:fldChar w:fldCharType="separate"/>
      </w:r>
      <w:r>
        <w:rPr>
          <w:rFonts w:cs="Times New Roman"/>
        </w:rPr>
        <w:t>5. 5. 1</w:t>
      </w:r>
      <w:r>
        <w:rPr>
          <w:rFonts w:cs="Times New Roman"/>
        </w:rPr>
        <w:fldChar w:fldCharType="end"/>
      </w:r>
      <w:r>
        <w:rPr>
          <w:rFonts w:cs="Times New Roman"/>
        </w:rPr>
        <w:t>-</w:t>
      </w:r>
      <w:r>
        <w:rPr>
          <w:rFonts w:hint="eastAsia" w:cs="Times New Roman"/>
        </w:rPr>
        <w:t>2</w:t>
      </w:r>
      <w:r>
        <w:rPr>
          <w:rFonts w:hint="eastAsia" w:ascii="XITS" w:hAnsi="XITS"/>
        </w:rPr>
        <w:t>）</w:t>
      </w:r>
    </w:p>
    <w:p>
      <w:pPr>
        <w:pStyle w:val="85"/>
        <w:rPr>
          <w:rFonts w:ascii="XITS" w:hAnsi="XITS"/>
        </w:rPr>
      </w:pPr>
      <w:r>
        <w:rPr>
          <w:rFonts w:hint="eastAsia" w:hAnsi="Cambria Math" w:cs="XITS Math"/>
        </w:rPr>
        <w:t>且</w:t>
      </w:r>
      <w:r>
        <w:rPr>
          <w:rFonts w:hAnsi="Cambria Math" w:cs="XITS Math"/>
        </w:rPr>
        <w:tab/>
      </w:r>
      <m:oMath>
        <m:r>
          <m:rPr/>
          <w:rPr>
            <w:rFonts w:ascii="Cambria Math" w:hAnsi="Cambria Math"/>
          </w:rPr>
          <m:t>x</m:t>
        </m:r>
        <m:r>
          <m:rPr/>
          <w:rPr>
            <w:rFonts w:ascii="Cambria Math" w:hAnsi="Cambria Math" w:cs="XITS Math"/>
          </w:rPr>
          <m:t>≤</m:t>
        </m:r>
        <m:sSub>
          <m:sSubPr>
            <m:ctrlPr>
              <w:rPr>
                <w:rFonts w:ascii="Cambria Math" w:hAnsi="Cambria Math" w:cs="XITS Math"/>
                <w:i/>
              </w:rPr>
            </m:ctrlPr>
          </m:sSubPr>
          <m:e>
            <m:r>
              <m:rPr/>
              <w:rPr>
                <w:rFonts w:ascii="Cambria Math" w:hAnsi="Cambria Math" w:cs="Cambria Math"/>
              </w:rPr>
              <m:t>ξ</m:t>
            </m:r>
            <m:ctrlPr>
              <w:rPr>
                <w:rFonts w:ascii="Cambria Math" w:hAnsi="Cambria Math" w:cs="XITS Math"/>
                <w:i/>
              </w:rPr>
            </m:ctrlPr>
          </m:e>
          <m:sub>
            <m:r>
              <m:rPr/>
              <w:rPr>
                <w:rFonts w:ascii="Cambria Math" w:hAnsi="Cambria Math" w:cs="XITS Math"/>
              </w:rPr>
              <m:t>b</m:t>
            </m:r>
            <m:ctrlPr>
              <w:rPr>
                <w:rFonts w:ascii="Cambria Math" w:hAnsi="Cambria Math" w:cs="XITS Math"/>
                <w:i/>
              </w:rPr>
            </m:ctrlPr>
          </m:sub>
        </m:sSub>
        <m:r>
          <m:rPr/>
          <w:rPr>
            <w:rFonts w:ascii="Cambria Math" w:hAnsi="Cambria Math" w:cs="XITS Math"/>
          </w:rPr>
          <m:t>ℎ</m:t>
        </m:r>
      </m:oMath>
      <w:r>
        <w:rPr>
          <w:rFonts w:hint="eastAsia" w:hAnsi="Cambria Math" w:cs="XITS Math"/>
          <w:vertAlign w:val="subscript"/>
        </w:rPr>
        <w:t>0</w:t>
      </w:r>
      <w:r>
        <w:rPr>
          <w:rFonts w:hAnsi="Cambria Math" w:cs="XITS Math"/>
          <w:vertAlign w:val="subscript"/>
        </w:rPr>
        <w:tab/>
      </w:r>
      <w:r>
        <w:rPr>
          <w:rFonts w:hint="eastAsia" w:ascii="XITS" w:hAnsi="XITS"/>
        </w:rPr>
        <w:t>（</w:t>
      </w:r>
      <w:r>
        <w:fldChar w:fldCharType="begin"/>
      </w:r>
      <w:r>
        <w:instrText xml:space="preserve"> REF _Ref86675141 \r \h </w:instrText>
      </w:r>
      <w:r>
        <w:fldChar w:fldCharType="separate"/>
      </w:r>
      <w:r>
        <w:t>5. 5. 1</w:t>
      </w:r>
      <w:r>
        <w:fldChar w:fldCharType="end"/>
      </w:r>
      <w:r>
        <w:t>-</w:t>
      </w:r>
      <w:r>
        <w:rPr>
          <w:rFonts w:hint="eastAsia"/>
        </w:rPr>
        <w:t>3</w:t>
      </w:r>
      <w:r>
        <w:rPr>
          <w:rFonts w:hint="eastAsia" w:ascii="XITS" w:hAnsi="XITS"/>
        </w:rPr>
        <w:t>）</w:t>
      </w:r>
    </w:p>
    <w:p>
      <w:pPr>
        <w:pStyle w:val="86"/>
      </w:pPr>
      <w:r>
        <w:rPr>
          <w:rFonts w:hint="eastAsia"/>
        </w:rPr>
        <w:t>式中：</w:t>
      </w:r>
      <m:oMath>
        <m:sSubSup>
          <m:sSubSupPr>
            <m:ctrlPr>
              <w:rPr>
                <w:rFonts w:ascii="Cambria Math" w:hAnsi="Cambria Math"/>
              </w:rPr>
            </m:ctrlPr>
          </m:sSubSupPr>
          <m:e>
            <m:r>
              <m:rPr>
                <m:sty m:val="p"/>
              </m:rPr>
              <w:rPr>
                <w:rFonts w:ascii="Cambria Math"/>
              </w:rPr>
              <m:t>M</m:t>
            </m:r>
            <m:ctrlPr>
              <w:rPr>
                <w:rFonts w:ascii="Cambria Math" w:hAnsi="Cambria Math"/>
              </w:rPr>
            </m:ctrlPr>
          </m:e>
          <m:sub>
            <m:r>
              <m:rPr>
                <m:sty m:val="p"/>
              </m:rPr>
              <w:rPr>
                <w:rFonts w:ascii="Cambria Math"/>
              </w:rPr>
              <m:t>R</m:t>
            </m:r>
            <m:r>
              <m:rPr>
                <m:sty m:val="p"/>
              </m:rPr>
              <w:rPr>
                <w:rFonts w:hint="eastAsia" w:ascii="Cambria Math"/>
              </w:rPr>
              <m:t>k</m:t>
            </m:r>
            <m:ctrlPr>
              <w:rPr>
                <w:rFonts w:ascii="Cambria Math" w:hAnsi="Cambria Math"/>
              </w:rPr>
            </m:ctrlPr>
          </m:sub>
          <m:sup>
            <m:r>
              <m:rPr>
                <m:sty m:val="p"/>
              </m:rPr>
              <w:rPr>
                <w:rFonts w:ascii="Cambria Math"/>
              </w:rPr>
              <m:t>−</m:t>
            </m:r>
            <m:ctrlPr>
              <w:rPr>
                <w:rFonts w:ascii="Cambria Math" w:hAnsi="Cambria Math"/>
              </w:rPr>
            </m:ctrlPr>
          </m:sup>
        </m:sSubSup>
      </m:oMath>
      <w:r>
        <w:t>——</w:t>
      </w:r>
      <w:r>
        <w:rPr>
          <w:rFonts w:hint="eastAsia"/>
        </w:rPr>
        <w:t>梁端结合面负弯矩承载力标准值（</w:t>
      </w:r>
      <w:r>
        <w:t>N</w:t>
      </w:r>
      <w:r>
        <w:rPr>
          <w:rFonts w:hint="eastAsia"/>
        </w:rPr>
        <w:t>·</w:t>
      </w:r>
      <w:r>
        <w:t>m</w:t>
      </w:r>
      <w:r>
        <w:rPr>
          <w:rFonts w:hint="eastAsia"/>
        </w:rPr>
        <w:t>m）；</w:t>
      </w:r>
    </w:p>
    <w:p>
      <w:pPr>
        <w:pStyle w:val="86"/>
      </w:pPr>
      <w:r>
        <w:tab/>
      </w:r>
      <m:oMath>
        <m:r>
          <m:rPr/>
          <w:rPr>
            <w:rFonts w:ascii="Cambria Math" w:hAnsi="Cambria Math"/>
          </w:rPr>
          <m:t>x</m:t>
        </m:r>
      </m:oMath>
      <w:r>
        <w:t>——</w:t>
      </w:r>
      <w:r>
        <w:tab/>
      </w:r>
      <w:r>
        <w:rPr>
          <w:rFonts w:hint="eastAsia"/>
        </w:rPr>
        <w:t>等效矩形应力图形的混凝土受压区高度（mm）；</w:t>
      </w:r>
    </w:p>
    <w:p>
      <w:pPr>
        <w:pStyle w:val="86"/>
      </w:pPr>
      <w:r>
        <w:tab/>
      </w:r>
      <m:oMath>
        <m:r>
          <m:rPr/>
          <w:rPr>
            <w:rFonts w:ascii="Cambria Math" w:hAnsi="Cambria Math"/>
          </w:rPr>
          <m:t>b</m:t>
        </m:r>
      </m:oMath>
      <w:r>
        <w:t>——</w:t>
      </w:r>
      <w:r>
        <w:tab/>
      </w:r>
      <w:r>
        <w:rPr>
          <w:rFonts w:hint="eastAsia"/>
        </w:rPr>
        <w:t>混凝土梁宽（mm）；</w:t>
      </w:r>
    </w:p>
    <w:p>
      <w:pPr>
        <w:pStyle w:val="86"/>
      </w:pPr>
      <w:r>
        <w:tab/>
      </w:r>
      <m:oMath>
        <m:sSub>
          <m:sSubPr>
            <m:ctrlPr>
              <w:rPr>
                <w:rFonts w:ascii="Cambria Math" w:hAnsi="Cambria Math" w:cs="宋体"/>
                <w:i/>
              </w:rPr>
            </m:ctrlPr>
          </m:sSubPr>
          <m:e>
            <m:r>
              <m:rPr/>
              <w:rPr>
                <w:rFonts w:ascii="Cambria Math" w:hAnsi="Cambria Math"/>
              </w:rPr>
              <m:t>ℎ</m:t>
            </m:r>
            <m:ctrlPr>
              <w:rPr>
                <w:rFonts w:ascii="Cambria Math" w:hAnsi="Cambria Math" w:cs="宋体"/>
                <w:i/>
              </w:rPr>
            </m:ctrlPr>
          </m:e>
          <m:sub>
            <m:r>
              <m:rPr/>
              <w:rPr>
                <w:rFonts w:ascii="Cambria Math" w:hAnsi="Cambria Math"/>
              </w:rPr>
              <m:t>p</m:t>
            </m:r>
            <m:ctrlPr>
              <w:rPr>
                <w:rFonts w:ascii="Cambria Math" w:hAnsi="Cambria Math" w:cs="宋体"/>
                <w:i/>
              </w:rPr>
            </m:ctrlPr>
          </m:sub>
        </m:sSub>
      </m:oMath>
      <w:r>
        <w:t>——</w:t>
      </w:r>
      <w:r>
        <w:tab/>
      </w:r>
      <w:r>
        <w:rPr>
          <w:rFonts w:hint="eastAsia"/>
        </w:rPr>
        <w:t>预应力钢铰线中心距梁顶面边缘的距离（mm）；</w:t>
      </w:r>
    </w:p>
    <w:p>
      <w:pPr>
        <w:pStyle w:val="86"/>
      </w:pPr>
      <w:r>
        <w:tab/>
      </w:r>
      <m:oMath>
        <m:sSub>
          <m:sSubPr>
            <m:ctrlPr>
              <w:rPr>
                <w:rFonts w:ascii="Cambria Math" w:hAnsi="Cambria Math" w:cs="宋体"/>
                <w:i/>
              </w:rPr>
            </m:ctrlPr>
          </m:sSubPr>
          <m:e>
            <m:r>
              <m:rPr/>
              <w:rPr>
                <w:rFonts w:hint="eastAsia" w:ascii="Cambria Math" w:hAnsi="Cambria Math"/>
              </w:rPr>
              <m:t>A</m:t>
            </m:r>
            <m:ctrlPr>
              <w:rPr>
                <w:rFonts w:ascii="Cambria Math" w:hAnsi="Cambria Math" w:cs="宋体"/>
                <w:i/>
              </w:rPr>
            </m:ctrlPr>
          </m:e>
          <m:sub>
            <m:r>
              <m:rPr/>
              <w:rPr>
                <w:rFonts w:ascii="Cambria Math" w:hAnsi="Cambria Math"/>
              </w:rPr>
              <m:t>p</m:t>
            </m:r>
            <m:ctrlPr>
              <w:rPr>
                <w:rFonts w:ascii="Cambria Math" w:hAnsi="Cambria Math" w:cs="宋体"/>
                <w:i/>
              </w:rPr>
            </m:ctrlPr>
          </m:sub>
        </m:sSub>
      </m:oMath>
      <w:r>
        <w:t>——</w:t>
      </w:r>
      <w:r>
        <w:tab/>
      </w:r>
      <w:r>
        <w:rPr>
          <w:rFonts w:hint="eastAsia"/>
        </w:rPr>
        <w:t>穿过结合面的预应力钢铰线面积（mm</w:t>
      </w:r>
      <w:r>
        <w:rPr>
          <w:vertAlign w:val="superscript"/>
        </w:rPr>
        <w:t>2</w:t>
      </w:r>
      <w:r>
        <w:rPr>
          <w:rFonts w:hint="eastAsia"/>
        </w:rPr>
        <w:t>）；</w:t>
      </w:r>
    </w:p>
    <w:p>
      <w:pPr>
        <w:pStyle w:val="86"/>
      </w:pPr>
      <w:r>
        <w:tab/>
      </w:r>
      <m:oMath>
        <m:sSub>
          <m:sSubPr>
            <m:ctrlPr>
              <w:rPr>
                <w:rFonts w:ascii="Cambria Math" w:hAnsi="Cambria Math" w:cs="宋体"/>
                <w:i/>
              </w:rPr>
            </m:ctrlPr>
          </m:sSubPr>
          <m:e>
            <m:r>
              <m:rPr/>
              <w:rPr>
                <w:rFonts w:hint="eastAsia" w:ascii="Cambria Math" w:hAnsi="Cambria Math"/>
              </w:rPr>
              <m:t>A</m:t>
            </m:r>
            <m:ctrlPr>
              <w:rPr>
                <w:rFonts w:ascii="Cambria Math" w:hAnsi="Cambria Math" w:cs="宋体"/>
                <w:i/>
              </w:rPr>
            </m:ctrlPr>
          </m:e>
          <m:sub>
            <m:r>
              <m:rPr/>
              <w:rPr>
                <w:rFonts w:hint="eastAsia" w:ascii="Cambria Math" w:hAnsi="Cambria Math"/>
              </w:rPr>
              <m:t>s</m:t>
            </m:r>
            <m:r>
              <m:rPr/>
              <w:rPr>
                <w:rFonts w:ascii="Cambria Math" w:hAnsi="Cambria Math"/>
              </w:rPr>
              <m:t>n</m:t>
            </m:r>
            <m:ctrlPr>
              <w:rPr>
                <w:rFonts w:ascii="Cambria Math" w:hAnsi="Cambria Math" w:cs="宋体"/>
                <w:i/>
              </w:rPr>
            </m:ctrlPr>
          </m:sub>
        </m:sSub>
      </m:oMath>
      <w:r>
        <w:t>——</w:t>
      </w:r>
      <w:r>
        <w:tab/>
      </w:r>
      <w:r>
        <w:rPr>
          <w:rFonts w:hint="eastAsia"/>
        </w:rPr>
        <w:t>穿过结合面的上部受拉钢筋净面积（mm</w:t>
      </w:r>
      <w:r>
        <w:rPr>
          <w:vertAlign w:val="superscript"/>
        </w:rPr>
        <w:t>2</w:t>
      </w:r>
      <w:r>
        <w:rPr>
          <w:rFonts w:hint="eastAsia"/>
        </w:rPr>
        <w:t>）；</w:t>
      </w:r>
    </w:p>
    <w:p>
      <w:pPr>
        <w:pStyle w:val="86"/>
      </w:pPr>
      <w:r>
        <w:rPr>
          <w:iCs/>
        </w:rP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pe</m:t>
            </m:r>
            <m:ctrlPr>
              <w:rPr>
                <w:rFonts w:ascii="Cambria Math" w:hAnsi="Cambria Math"/>
                <w:i/>
                <w:iCs/>
              </w:rPr>
            </m:ctrlPr>
          </m:sub>
        </m:sSub>
      </m:oMath>
      <w:r>
        <w:t>——</w:t>
      </w:r>
      <w:r>
        <w:tab/>
      </w:r>
      <w:r>
        <w:t>考虑损失后预应力钢绞线的有效应力</w:t>
      </w:r>
      <w:r>
        <w:rPr>
          <w:rFonts w:hint="eastAsia"/>
        </w:rPr>
        <w:t>（N</w:t>
      </w:r>
      <w:r>
        <w:t>/</w:t>
      </w:r>
      <w:r>
        <w:rPr>
          <w:rFonts w:hint="eastAsia"/>
        </w:rPr>
        <w:t>mm</w:t>
      </w:r>
      <w:r>
        <w:rPr>
          <w:vertAlign w:val="superscript"/>
        </w:rPr>
        <w:t>2</w:t>
      </w:r>
      <w:r>
        <w:rPr>
          <w:rFonts w:hint="eastAsia"/>
        </w:rPr>
        <w:t>）</w:t>
      </w:r>
      <w:r>
        <w:t>；</w:t>
      </w:r>
    </w:p>
    <w:p>
      <w:pPr>
        <w:pStyle w:val="86"/>
        <w:ind w:firstLine="496"/>
      </w:pPr>
      <w:r>
        <w:rPr>
          <w:sz w:val="21"/>
        </w:rPr>
        <w:tab/>
      </w:r>
      <m:oMath>
        <m:sSub>
          <m:sSubPr>
            <m:ctrlPr>
              <w:rPr>
                <w:rFonts w:ascii="XITS Math" w:hAnsi="XITS Math"/>
                <w:i/>
              </w:rPr>
            </m:ctrlPr>
          </m:sSubPr>
          <m:e>
            <m:r>
              <m:rPr/>
              <w:rPr>
                <w:rFonts w:ascii="XITS Math" w:hAnsi="XITS Math"/>
              </w:rPr>
              <m:t>a</m:t>
            </m:r>
            <m:ctrlPr>
              <w:rPr>
                <w:rFonts w:ascii="XITS Math" w:hAnsi="XITS Math"/>
              </w:rPr>
            </m:ctrlPr>
          </m:e>
          <m:sub>
            <m:r>
              <m:rPr/>
              <w:rPr>
                <w:rFonts w:ascii="XITS Math" w:hAnsi="XITS Math"/>
              </w:rPr>
              <m:t>s</m:t>
            </m:r>
            <m:ctrlPr>
              <w:rPr>
                <w:rFonts w:ascii="XITS Math" w:hAnsi="XITS Math"/>
              </w:rPr>
            </m:ctrlPr>
          </m:sub>
        </m:sSub>
      </m:oMath>
      <w:r>
        <w:t>——</w:t>
      </w:r>
      <w:r>
        <w:tab/>
      </w:r>
      <w:r>
        <w:rPr>
          <w:rFonts w:hint="eastAsia"/>
        </w:rPr>
        <w:t>受拉区钢筋合力点至截面受拉边缘的距离（mm）；</w:t>
      </w:r>
    </w:p>
    <w:p>
      <w:pPr>
        <w:pStyle w:val="86"/>
      </w:pPr>
      <w:r>
        <w:tab/>
      </w:r>
      <m:oMath>
        <m:sSub>
          <m:sSubPr>
            <m:ctrlPr>
              <w:rPr>
                <w:rStyle w:val="83"/>
                <w:rFonts w:ascii="Cambria Math" w:hAnsi="Cambria Math"/>
                <w:i/>
                <w:iCs/>
                <w:color w:val="auto"/>
              </w:rPr>
            </m:ctrlPr>
          </m:sSubPr>
          <m:e>
            <m:r>
              <m:rPr/>
              <w:rPr>
                <w:rStyle w:val="83"/>
                <w:rFonts w:ascii="Cambria Math" w:hAnsi="Cambria Math"/>
                <w:color w:val="auto"/>
              </w:rPr>
              <m:t>α</m:t>
            </m:r>
            <m:ctrlPr>
              <w:rPr>
                <w:rStyle w:val="83"/>
                <w:rFonts w:ascii="Cambria Math" w:hAnsi="Cambria Math"/>
                <w:i/>
                <w:iCs/>
                <w:color w:val="auto"/>
              </w:rPr>
            </m:ctrlPr>
          </m:e>
          <m:sub>
            <m:r>
              <m:rPr/>
              <w:rPr>
                <w:rStyle w:val="83"/>
                <w:rFonts w:ascii="Cambria Math" w:hAnsi="Cambria Math"/>
                <w:color w:val="auto"/>
              </w:rPr>
              <m:t>1</m:t>
            </m:r>
            <m:ctrlPr>
              <w:rPr>
                <w:rStyle w:val="83"/>
                <w:rFonts w:ascii="Cambria Math" w:hAnsi="Cambria Math"/>
                <w:i/>
                <w:iCs/>
                <w:color w:val="auto"/>
              </w:rPr>
            </m:ctrlPr>
          </m:sub>
        </m:sSub>
      </m:oMath>
      <w:r>
        <w:t>——</w:t>
      </w:r>
      <w:r>
        <w:tab/>
      </w:r>
      <w:r>
        <w:t>受压区混凝土等效矩形应力图调整系数</w:t>
      </w:r>
      <w:r>
        <w:rPr>
          <w:rFonts w:hint="eastAsia"/>
        </w:rPr>
        <w:t>，</w:t>
      </w:r>
      <w:r>
        <w:t>混凝土强度等级不超过C50时，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取为1.0；混凝土强度等级为C80时，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取为0.94；其间按线性内插法确定；</w:t>
      </w:r>
    </w:p>
    <w:p>
      <w:pPr>
        <w:pStyle w:val="86"/>
      </w:pPr>
      <w:r>
        <w:tab/>
      </w:r>
      <m:oMath>
        <m:sSub>
          <m:sSubPr>
            <m:ctrlPr>
              <w:rPr>
                <w:rFonts w:ascii="Cambria Math" w:hAnsi="Cambria Math" w:cs="XITS Math"/>
                <w:i/>
              </w:rPr>
            </m:ctrlPr>
          </m:sSubPr>
          <m:e>
            <m:r>
              <m:rPr/>
              <w:rPr>
                <w:rFonts w:ascii="Cambria Math" w:hAnsi="Cambria Math" w:cs="Cambria Math"/>
              </w:rPr>
              <m:t>ξ</m:t>
            </m:r>
            <m:ctrlPr>
              <w:rPr>
                <w:rFonts w:ascii="Cambria Math" w:hAnsi="Cambria Math" w:cs="XITS Math"/>
                <w:i/>
              </w:rPr>
            </m:ctrlPr>
          </m:e>
          <m:sub>
            <m:r>
              <m:rPr/>
              <w:rPr>
                <w:rFonts w:ascii="Cambria Math" w:hAnsi="Cambria Math" w:cs="XITS Math"/>
              </w:rPr>
              <m:t>b</m:t>
            </m:r>
            <m:ctrlPr>
              <w:rPr>
                <w:rFonts w:ascii="Cambria Math" w:hAnsi="Cambria Math" w:cs="XITS Math"/>
                <w:i/>
              </w:rPr>
            </m:ctrlPr>
          </m:sub>
        </m:sSub>
      </m:oMath>
      <w:r>
        <w:t>——</w:t>
      </w:r>
      <w:r>
        <w:tab/>
      </w:r>
      <w:r>
        <w:rPr>
          <w:rFonts w:hint="eastAsia"/>
        </w:rPr>
        <w:t>相对界限受压区高度，应符合现行国家标准《混凝土结构设计标准》GB</w:t>
      </w:r>
      <w:r>
        <w:t>/T</w:t>
      </w:r>
      <w:r>
        <w:rPr>
          <w:rFonts w:hint="eastAsia"/>
        </w:rPr>
        <w:t xml:space="preserve"> 50010</w:t>
      </w:r>
      <w:r>
        <w:t xml:space="preserve"> </w:t>
      </w:r>
      <w:r>
        <w:rPr>
          <w:rFonts w:hint="eastAsia"/>
        </w:rPr>
        <w:t>规定。</w:t>
      </w:r>
    </w:p>
    <w:p>
      <w:pPr>
        <w:pStyle w:val="69"/>
      </w:pPr>
      <w:r>
        <w:drawing>
          <wp:inline distT="0" distB="0" distL="0" distR="0">
            <wp:extent cx="2829560" cy="1934210"/>
            <wp:effectExtent l="0" t="0" r="8890" b="889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2835062" cy="1938126"/>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5. 5. 1</w:t>
      </w:r>
      <w:r>
        <w:fldChar w:fldCharType="end"/>
      </w:r>
      <w:r>
        <w:t xml:space="preserve">-1 </w:t>
      </w:r>
      <w:r>
        <w:rPr>
          <w:rFonts w:hint="eastAsia"/>
        </w:rPr>
        <w:t>梁端负弯矩受弯承载力计算简图</w:t>
      </w:r>
    </w:p>
    <w:p>
      <w:pPr>
        <w:pStyle w:val="70"/>
      </w:pPr>
      <w:r>
        <w:rPr>
          <w:rFonts w:hint="eastAsia"/>
          <w:b/>
        </w:rPr>
        <w:t>2</w:t>
      </w:r>
      <w:r>
        <w:tab/>
      </w:r>
      <w:r>
        <w:t>梁端正弯矩作用下</w:t>
      </w:r>
      <w:r>
        <w:rPr>
          <w:rFonts w:hint="eastAsia"/>
        </w:rPr>
        <w:t>结合面</w:t>
      </w:r>
      <w:r>
        <w:t>的受弯承载力</w:t>
      </w:r>
      <w:r>
        <w:rPr>
          <w:rFonts w:hint="eastAsia"/>
        </w:rPr>
        <w:t>应按翼缘位于受压区的T形截面计算，结合面</w:t>
      </w:r>
      <w:r>
        <w:t>受弯承载力</w:t>
      </w:r>
      <w:r>
        <w:rPr>
          <w:rFonts w:hint="eastAsia"/>
        </w:rPr>
        <w:t>应符合下列规定（图</w:t>
      </w:r>
      <w:r>
        <w:fldChar w:fldCharType="begin"/>
      </w:r>
      <w:r>
        <w:instrText xml:space="preserve"> </w:instrText>
      </w:r>
      <w:r>
        <w:rPr>
          <w:rFonts w:hint="eastAsia"/>
        </w:rPr>
        <w:instrText xml:space="preserve">REF _Ref86136417 \n \h</w:instrText>
      </w:r>
      <w:r>
        <w:instrText xml:space="preserve"> </w:instrText>
      </w:r>
      <w:r>
        <w:fldChar w:fldCharType="separate"/>
      </w:r>
      <w:r>
        <w:t>5. 5. 1</w:t>
      </w:r>
      <w:r>
        <w:fldChar w:fldCharType="end"/>
      </w:r>
      <w:r>
        <w:rPr>
          <w:rFonts w:hint="eastAsia"/>
        </w:rPr>
        <w:t>-2）：</w:t>
      </w:r>
      <w:r>
        <w:t xml:space="preserve"> </w:t>
      </w:r>
    </w:p>
    <w:p>
      <w:pPr>
        <w:pStyle w:val="5"/>
        <w:rPr>
          <w:rFonts w:ascii="XITS" w:hAnsi="XITS"/>
        </w:rPr>
      </w:pPr>
      <w:r>
        <w:rPr>
          <w:rFonts w:hint="eastAsia"/>
        </w:rPr>
        <w:t>当混凝土受压区高度</w:t>
      </w:r>
      <m:oMath>
        <m:r>
          <m:rPr/>
          <w:rPr>
            <w:rFonts w:ascii="Cambria Math" w:hAnsi="Cambria Math"/>
          </w:rPr>
          <m:t>x</m:t>
        </m:r>
        <m:r>
          <m:rPr>
            <m:sty m:val="p"/>
          </m:rPr>
          <w:rPr>
            <w:rFonts w:ascii="Cambria Math" w:hAnsi="Cambria Math" w:cs="XITS Math"/>
          </w:rPr>
          <m:t>≤2</m:t>
        </m:r>
        <m:sSubSup>
          <m:sSubSupPr>
            <m:ctrlPr>
              <w:rPr>
                <w:rFonts w:ascii="Cambria Math" w:hAnsi="Cambria Math" w:cs="XITS Math"/>
                <w:i/>
                <w:sz w:val="21"/>
              </w:rPr>
            </m:ctrlPr>
          </m:sSubSupPr>
          <m:e>
            <m:r>
              <m:rPr/>
              <w:rPr>
                <w:rFonts w:hint="eastAsia" w:ascii="Cambria Math" w:hAnsi="Cambria Math" w:cs="XITS Math"/>
                <w:sz w:val="21"/>
              </w:rPr>
              <m:t>a</m:t>
            </m:r>
            <m:ctrlPr>
              <w:rPr>
                <w:rFonts w:ascii="Cambria Math" w:hAnsi="Cambria Math" w:cs="XITS Math"/>
                <w:i/>
              </w:rPr>
            </m:ctrlPr>
          </m:e>
          <m:sub>
            <m:r>
              <m:rPr/>
              <w:rPr>
                <w:rFonts w:ascii="Cambria Math" w:hAnsi="Cambria Math" w:cs="XITS Math"/>
                <w:sz w:val="21"/>
              </w:rPr>
              <m:t>s</m:t>
            </m:r>
            <m:ctrlPr>
              <w:rPr>
                <w:rFonts w:ascii="Cambria Math" w:hAnsi="Cambria Math" w:cs="XITS Math"/>
                <w:i/>
                <w:sz w:val="21"/>
              </w:rPr>
            </m:ctrlPr>
          </m:sub>
          <m:sup>
            <m:r>
              <m:rPr/>
              <w:rPr>
                <w:rFonts w:ascii="Cambria Math" w:hAnsi="Cambria Math" w:cs="XITS Math"/>
                <w:sz w:val="21"/>
              </w:rPr>
              <m:t>'</m:t>
            </m:r>
            <m:ctrlPr>
              <w:rPr>
                <w:rFonts w:ascii="Cambria Math" w:hAnsi="Cambria Math" w:cs="XITS Math"/>
                <w:i/>
                <w:sz w:val="21"/>
              </w:rPr>
            </m:ctrlPr>
          </m:sup>
        </m:sSubSup>
      </m:oMath>
      <w:r>
        <w:rPr>
          <w:rFonts w:hint="eastAsia"/>
        </w:rPr>
        <w:t>时，</w:t>
      </w:r>
      <w:r>
        <w:t>梁端正弯矩作用下</w:t>
      </w:r>
      <w:r>
        <w:rPr>
          <w:rFonts w:hint="eastAsia"/>
        </w:rPr>
        <w:t>结合面受弯承载力应按下式计算：</w:t>
      </w:r>
      <w:r>
        <w:tab/>
      </w:r>
    </w:p>
    <w:p>
      <w:pPr>
        <w:pStyle w:val="85"/>
        <w:rPr>
          <w:rFonts w:ascii="XITS" w:hAnsi="XITS"/>
        </w:rPr>
      </w:pPr>
      <w:r>
        <w:rPr>
          <w:rFonts w:ascii="XITS" w:hAnsi="XITS"/>
          <w:iCs/>
        </w:rPr>
        <w:tab/>
      </w:r>
      <m:oMath>
        <m:sSubSup>
          <m:sSubSupPr>
            <m:ctrlPr>
              <w:rPr>
                <w:rFonts w:ascii="Cambria Math" w:hAnsi="Cambria Math"/>
              </w:rPr>
            </m:ctrlPr>
          </m:sSubSupPr>
          <m:e>
            <m:r>
              <m:rPr>
                <m:sty m:val="p"/>
              </m:rPr>
              <w:rPr>
                <w:rFonts w:ascii="Cambria Math"/>
              </w:rPr>
              <m:t>M</m:t>
            </m:r>
            <m:ctrlPr>
              <w:rPr>
                <w:rFonts w:ascii="Cambria Math" w:hAnsi="Cambria Math"/>
              </w:rPr>
            </m:ctrlPr>
          </m:e>
          <m:sub>
            <m:r>
              <m:rPr>
                <m:sty m:val="p"/>
              </m:rPr>
              <w:rPr>
                <w:rFonts w:ascii="Cambria Math"/>
              </w:rPr>
              <m:t>R</m:t>
            </m:r>
            <m:r>
              <m:rPr>
                <m:sty m:val="p"/>
              </m:rPr>
              <w:rPr>
                <w:rFonts w:hint="eastAsia" w:ascii="Cambria Math"/>
              </w:rPr>
              <m:t>k</m:t>
            </m:r>
            <m:ctrlPr>
              <w:rPr>
                <w:rFonts w:ascii="Cambria Math" w:hAnsi="Cambria Math"/>
              </w:rPr>
            </m:ctrlPr>
          </m:sub>
          <m:sup>
            <m:r>
              <m:rPr>
                <m:sty m:val="p"/>
              </m:rPr>
              <w:rPr>
                <w:rFonts w:ascii="Cambria Math"/>
              </w:rPr>
              <m:t>+</m:t>
            </m:r>
            <m:ctrlPr>
              <w:rPr>
                <w:rFonts w:ascii="Cambria Math" w:hAnsi="Cambria Math"/>
              </w:rPr>
            </m:ctrlPr>
          </m:sup>
        </m:sSubSup>
        <m:r>
          <m:rPr/>
          <w:rPr>
            <w:rFonts w:ascii="Cambria Math" w:hAnsi="Cambria Math"/>
          </w:rPr>
          <m:t>=0.7</m:t>
        </m:r>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sSub>
          <m:sSubPr>
            <m:ctrlPr>
              <w:rPr>
                <w:rFonts w:ascii="XITS Math" w:hAnsi="XITS Math" w:cs="XITS Math"/>
                <w:i/>
              </w:rPr>
            </m:ctrlPr>
          </m:sSubPr>
          <m:e>
            <m:r>
              <m:rPr/>
              <w:rPr>
                <w:rFonts w:hint="eastAsia" w:ascii="XITS Math" w:hAnsi="XITS Math" w:cs="XITS Math"/>
              </w:rPr>
              <m:t>A</m:t>
            </m:r>
            <m:ctrlPr>
              <w:rPr>
                <w:rFonts w:hint="eastAsia" w:ascii="XITS Math" w:hAnsi="XITS Math" w:cs="XITS Math"/>
                <w:i/>
              </w:rPr>
            </m:ctrlPr>
          </m:e>
          <m:sub>
            <m:r>
              <m:rPr/>
              <w:rPr>
                <w:rFonts w:ascii="XITS Math" w:hAnsi="XITS Math" w:cs="XITS Math"/>
              </w:rPr>
              <m:t>p</m:t>
            </m:r>
            <m:ctrlPr>
              <w:rPr>
                <w:rFonts w:ascii="XITS Math" w:hAnsi="XITS Math" w:cs="XITS Math"/>
                <w:i/>
              </w:rPr>
            </m:ctrlPr>
          </m:sub>
        </m:sSub>
        <m:d>
          <m:dPr>
            <m:ctrlPr>
              <w:rPr>
                <w:rFonts w:ascii="XITS Math" w:hAnsi="XITS Math" w:cs="XITS Math"/>
                <w:i/>
                <w:sz w:val="21"/>
              </w:rPr>
            </m:ctrlPr>
          </m:dPr>
          <m:e>
            <m:sSub>
              <m:sSubPr>
                <m:ctrlPr>
                  <w:rPr>
                    <w:rFonts w:ascii="XITS Math" w:hAnsi="XITS Math" w:cs="XITS Math"/>
                    <w:i/>
                    <w:sz w:val="21"/>
                  </w:rPr>
                </m:ctrlPr>
              </m:sSubPr>
              <m:e>
                <m:r>
                  <m:rPr/>
                  <w:rPr>
                    <w:rFonts w:ascii="XITS Math" w:hAnsi="XITS Math" w:cs="XITS Math"/>
                  </w:rPr>
                  <m:t>ℎ</m:t>
                </m:r>
                <m:ctrlPr>
                  <w:rPr>
                    <w:rFonts w:ascii="XITS Math" w:hAnsi="XITS Math" w:cs="XITS Math"/>
                    <w:i/>
                    <w:sz w:val="21"/>
                  </w:rPr>
                </m:ctrlPr>
              </m:e>
              <m:sub>
                <m:r>
                  <m:rPr/>
                  <w:rPr>
                    <w:rFonts w:ascii="XITS Math" w:hAnsi="XITS Math" w:cs="XITS Math"/>
                  </w:rPr>
                  <m:t>p</m:t>
                </m:r>
                <m:ctrlPr>
                  <w:rPr>
                    <w:rFonts w:ascii="XITS Math" w:hAnsi="XITS Math" w:cs="XITS Math"/>
                    <w:i/>
                    <w:sz w:val="21"/>
                  </w:rPr>
                </m:ctrlPr>
              </m:sub>
            </m:sSub>
            <m:r>
              <m:rPr/>
              <w:rPr>
                <w:rFonts w:ascii="XITS Math" w:hAnsi="XITS Math" w:cs="XITS Math"/>
              </w:rPr>
              <m:t>−</m:t>
            </m:r>
            <m:sSubSup>
              <m:sSubSupPr>
                <m:ctrlPr>
                  <w:rPr>
                    <w:rFonts w:ascii="XITS Math" w:hAnsi="XITS Math" w:cs="XITS Math"/>
                    <w:i/>
                    <w:sz w:val="21"/>
                  </w:rPr>
                </m:ctrlPr>
              </m:sSubSupPr>
              <m:e>
                <m:r>
                  <m:rPr/>
                  <w:rPr>
                    <w:rFonts w:hint="eastAsia" w:ascii="XITS Math" w:hAnsi="XITS Math" w:cs="XITS Math"/>
                    <w:sz w:val="21"/>
                  </w:rPr>
                  <m:t>a</m:t>
                </m:r>
                <m:ctrlPr>
                  <w:rPr>
                    <w:rFonts w:ascii="XITS Math" w:hAnsi="XITS Math" w:cs="XITS Math"/>
                    <w:i/>
                  </w:rPr>
                </m:ctrlPr>
              </m:e>
              <m:sub>
                <m:r>
                  <m:rPr/>
                  <w:rPr>
                    <w:rFonts w:ascii="XITS Math" w:hAnsi="XITS Math" w:cs="XITS Math"/>
                    <w:sz w:val="21"/>
                  </w:rPr>
                  <m:t>s</m:t>
                </m:r>
                <m:ctrlPr>
                  <w:rPr>
                    <w:rFonts w:ascii="XITS Math" w:hAnsi="XITS Math" w:cs="XITS Math"/>
                    <w:i/>
                    <w:sz w:val="21"/>
                  </w:rPr>
                </m:ctrlPr>
              </m:sub>
              <m:sup>
                <m:r>
                  <m:rPr/>
                  <w:rPr>
                    <w:rFonts w:ascii="XITS Math" w:hAnsi="XITS Math" w:cs="XITS Math"/>
                    <w:sz w:val="21"/>
                  </w:rPr>
                  <m:t>'</m:t>
                </m:r>
                <m:ctrlPr>
                  <w:rPr>
                    <w:rFonts w:ascii="XITS Math" w:hAnsi="XITS Math" w:cs="XITS Math"/>
                    <w:i/>
                    <w:sz w:val="21"/>
                  </w:rPr>
                </m:ctrlPr>
              </m:sup>
            </m:sSubSup>
            <m:ctrlPr>
              <w:rPr>
                <w:rFonts w:ascii="XITS Math" w:hAnsi="XITS Math" w:cs="XITS Math"/>
                <w:i/>
                <w:sz w:val="21"/>
              </w:rPr>
            </m:ctrlPr>
          </m:e>
        </m:d>
      </m:oMath>
      <w:r>
        <w:rPr>
          <w:sz w:val="21"/>
          <w:szCs w:val="24"/>
        </w:rPr>
        <w:tab/>
      </w:r>
      <w:r>
        <w:rPr>
          <w:rFonts w:hint="eastAsia" w:ascii="XITS" w:hAnsi="XITS"/>
        </w:rPr>
        <w:t>（</w:t>
      </w:r>
      <w:r>
        <w:fldChar w:fldCharType="begin"/>
      </w:r>
      <w:r>
        <w:instrText xml:space="preserve"> REF _Ref86675141 \r \h </w:instrText>
      </w:r>
      <w:r>
        <w:fldChar w:fldCharType="separate"/>
      </w:r>
      <w:r>
        <w:t>5. 5. 1</w:t>
      </w:r>
      <w:r>
        <w:fldChar w:fldCharType="end"/>
      </w:r>
      <w:r>
        <w:t>-</w:t>
      </w:r>
      <w:r>
        <w:rPr>
          <w:rFonts w:hint="eastAsia"/>
        </w:rPr>
        <w:t>4</w:t>
      </w:r>
      <w:r>
        <w:rPr>
          <w:rFonts w:hint="eastAsia" w:ascii="XITS" w:hAnsi="XITS"/>
        </w:rPr>
        <w:t>）</w:t>
      </w:r>
    </w:p>
    <w:p>
      <w:pPr>
        <w:pStyle w:val="5"/>
        <w:rPr>
          <w:rFonts w:ascii="XITS" w:hAnsi="XITS"/>
        </w:rPr>
      </w:pPr>
      <w:r>
        <w:rPr>
          <w:rFonts w:hint="eastAsia"/>
        </w:rPr>
        <w:t>当混凝土受压区高度</w:t>
      </w:r>
      <m:oMath>
        <m:r>
          <m:rPr/>
          <w:rPr>
            <w:rFonts w:ascii="Cambria Math" w:hAnsi="Cambria Math"/>
          </w:rPr>
          <m:t>x</m:t>
        </m:r>
        <m:r>
          <m:rPr>
            <m:sty m:val="p"/>
          </m:rPr>
          <w:rPr>
            <w:rFonts w:ascii="Cambria Math" w:hAnsi="Cambria Math" w:cs="XITS Math"/>
          </w:rPr>
          <m:t>&gt;2</m:t>
        </m:r>
        <m:sSubSup>
          <m:sSubSupPr>
            <m:ctrlPr>
              <w:rPr>
                <w:rFonts w:ascii="Cambria Math" w:hAnsi="Cambria Math" w:cs="XITS Math"/>
                <w:i/>
                <w:sz w:val="21"/>
              </w:rPr>
            </m:ctrlPr>
          </m:sSubSupPr>
          <m:e>
            <m:r>
              <m:rPr/>
              <w:rPr>
                <w:rFonts w:hint="eastAsia" w:ascii="Cambria Math" w:hAnsi="Cambria Math" w:cs="XITS Math"/>
                <w:sz w:val="21"/>
              </w:rPr>
              <m:t>a</m:t>
            </m:r>
            <m:ctrlPr>
              <w:rPr>
                <w:rFonts w:ascii="Cambria Math" w:hAnsi="Cambria Math" w:cs="XITS Math"/>
                <w:i/>
              </w:rPr>
            </m:ctrlPr>
          </m:e>
          <m:sub>
            <m:r>
              <m:rPr/>
              <w:rPr>
                <w:rFonts w:ascii="Cambria Math" w:hAnsi="Cambria Math" w:cs="XITS Math"/>
                <w:sz w:val="21"/>
              </w:rPr>
              <m:t>s</m:t>
            </m:r>
            <m:ctrlPr>
              <w:rPr>
                <w:rFonts w:ascii="Cambria Math" w:hAnsi="Cambria Math" w:cs="XITS Math"/>
                <w:i/>
                <w:sz w:val="21"/>
              </w:rPr>
            </m:ctrlPr>
          </m:sub>
          <m:sup>
            <m:r>
              <m:rPr/>
              <w:rPr>
                <w:rFonts w:ascii="Cambria Math" w:hAnsi="Cambria Math" w:cs="XITS Math"/>
                <w:sz w:val="21"/>
              </w:rPr>
              <m:t>'</m:t>
            </m:r>
            <m:ctrlPr>
              <w:rPr>
                <w:rFonts w:ascii="Cambria Math" w:hAnsi="Cambria Math" w:cs="XITS Math"/>
                <w:i/>
                <w:sz w:val="21"/>
              </w:rPr>
            </m:ctrlPr>
          </m:sup>
        </m:sSubSup>
      </m:oMath>
      <w:r>
        <w:rPr>
          <w:rFonts w:hint="eastAsia"/>
        </w:rPr>
        <w:t>时，</w:t>
      </w:r>
      <w:r>
        <w:t>梁端正弯矩作用下</w:t>
      </w:r>
      <w:r>
        <w:rPr>
          <w:rFonts w:hint="eastAsia"/>
        </w:rPr>
        <w:t>结合面受弯承载力应按下式计算：</w:t>
      </w:r>
    </w:p>
    <w:p>
      <w:pPr>
        <w:pStyle w:val="85"/>
        <w:rPr>
          <w:rFonts w:ascii="XITS" w:hAnsi="XITS"/>
        </w:rPr>
      </w:pPr>
      <w:r>
        <w:tab/>
      </w:r>
      <m:oMath>
        <m:sSubSup>
          <m:sSubSupPr>
            <m:ctrlPr>
              <w:rPr>
                <w:rFonts w:ascii="Cambria Math" w:hAnsi="Cambria Math"/>
              </w:rPr>
            </m:ctrlPr>
          </m:sSubSupPr>
          <m:e>
            <m:r>
              <m:rPr/>
              <w:rPr>
                <w:rFonts w:ascii="Cambria Math" w:hAnsi="Cambria Math"/>
              </w:rPr>
              <m:t>M</m:t>
            </m:r>
            <m:ctrlPr>
              <w:rPr>
                <w:rFonts w:ascii="Cambria Math" w:hAnsi="Cambria Math"/>
              </w:rPr>
            </m:ctrlPr>
          </m:e>
          <m:sub>
            <m:r>
              <m:rPr>
                <m:sty m:val="p"/>
              </m:rPr>
              <w:rPr>
                <w:rFonts w:ascii="Cambria Math" w:hAnsi="Cambria Math"/>
              </w:rPr>
              <m:t>R</m:t>
            </m:r>
            <m:r>
              <m:rPr>
                <m:sty m:val="p"/>
              </m:rPr>
              <w:rPr>
                <w:rFonts w:hint="eastAsia" w:ascii="Cambria Math" w:hAnsi="Cambria Math"/>
              </w:rPr>
              <m:t>k</m:t>
            </m:r>
            <m:ctrlPr>
              <w:rPr>
                <w:rFonts w:ascii="Cambria Math" w:hAnsi="Cambria Math"/>
              </w:rPr>
            </m:ctrlPr>
          </m:sub>
          <m:sup>
            <m:r>
              <m:rPr>
                <m:sty m:val="p"/>
              </m:rPr>
              <w:rPr>
                <w:rFonts w:ascii="Cambria Math" w:hAnsi="Cambria Math"/>
              </w:rPr>
              <m:t>+</m:t>
            </m:r>
            <m:ctrlPr>
              <w:rPr>
                <w:rFonts w:ascii="Cambria Math" w:hAnsi="Cambria Math"/>
              </w:rPr>
            </m:ctrlPr>
          </m:sup>
        </m:sSubSup>
        <m:r>
          <m:rPr>
            <m:sty m:val="p"/>
          </m:rPr>
          <w:rPr>
            <w:rFonts w:ascii="Cambria Math" w:hAnsi="Cambria Math"/>
          </w:rPr>
          <m:t>=</m:t>
        </m:r>
        <m:sSub>
          <m:sSubPr>
            <m:ctrlPr>
              <w:rPr>
                <w:rFonts w:ascii="Cambria Math" w:hAnsi="Cambria Math"/>
                <w:sz w:val="21"/>
              </w:rPr>
            </m:ctrlPr>
          </m:sSubPr>
          <m:e>
            <m:r>
              <m:rPr/>
              <w:rPr>
                <w:rFonts w:ascii="Cambria Math" w:hAnsi="Cambria Math"/>
              </w:rPr>
              <m:t>α</m:t>
            </m:r>
            <m:ctrlPr>
              <w:rPr>
                <w:rFonts w:ascii="Cambria Math" w:hAnsi="Cambria Math"/>
                <w:sz w:val="21"/>
              </w:rPr>
            </m:ctrlPr>
          </m:e>
          <m:sub>
            <m:r>
              <m:rPr>
                <m:sty m:val="p"/>
              </m:rPr>
              <w:rPr>
                <w:rFonts w:ascii="Cambria Math" w:hAnsi="Cambria Math"/>
              </w:rPr>
              <m:t>1</m:t>
            </m:r>
            <m:ctrlPr>
              <w:rPr>
                <w:rFonts w:ascii="Cambria Math" w:hAnsi="Cambria Math"/>
                <w:sz w:val="21"/>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ck</m:t>
            </m:r>
            <m:ctrlPr>
              <w:rPr>
                <w:rFonts w:ascii="Cambria Math" w:hAnsi="Cambria Math"/>
              </w:rPr>
            </m:ctrlPr>
          </m:sub>
        </m:sSub>
        <m:sSubSup>
          <m:sSubSupPr>
            <m:ctrlPr>
              <w:rPr>
                <w:rFonts w:ascii="Cambria Math" w:hAnsi="Cambria Math"/>
                <w:i/>
              </w:rPr>
            </m:ctrlPr>
          </m:sSubSupPr>
          <m:e>
            <m:r>
              <m:rPr/>
              <w:rPr>
                <w:rFonts w:ascii="Cambria Math" w:hAnsi="Cambria Math"/>
              </w:rPr>
              <m:t>b</m:t>
            </m:r>
            <m:ctrlPr>
              <w:rPr>
                <w:rFonts w:ascii="Cambria Math" w:hAnsi="Cambria Math"/>
                <w:i/>
              </w:rPr>
            </m:ctrlPr>
          </m:e>
          <m:sub>
            <m:r>
              <m:rPr/>
              <w:rPr>
                <w:rFonts w:ascii="Cambria Math" w:hAnsi="Cambria Math"/>
              </w:rPr>
              <m:t>f</m:t>
            </m:r>
            <m:ctrlPr>
              <w:rPr>
                <w:rFonts w:ascii="Cambria Math" w:hAnsi="Cambria Math"/>
                <w:i/>
              </w:rPr>
            </m:ctrlPr>
          </m:sub>
          <m:sup>
            <m:r>
              <m:rPr/>
              <w:rPr>
                <w:rFonts w:ascii="Cambria Math" w:hAnsi="Cambria Math"/>
              </w:rPr>
              <m:t>'</m:t>
            </m:r>
            <m:ctrlPr>
              <w:rPr>
                <w:rFonts w:ascii="Cambria Math" w:hAnsi="Cambria Math"/>
                <w:i/>
              </w:rPr>
            </m:ctrlPr>
          </m:sup>
        </m:sSubSup>
        <m:r>
          <m:rPr/>
          <w:rPr>
            <w:rFonts w:ascii="Cambria Math" w:hAnsi="Cambria Math"/>
          </w:rPr>
          <m:t>x</m:t>
        </m:r>
        <m:d>
          <m:dPr>
            <m:ctrlPr>
              <w:rPr>
                <w:rFonts w:ascii="Cambria Math" w:hAnsi="Cambria Math"/>
                <w:sz w:val="21"/>
              </w:rPr>
            </m:ctrlPr>
          </m:dPr>
          <m:e>
            <m:sSub>
              <m:sSubPr>
                <m:ctrlPr>
                  <w:rPr>
                    <w:rFonts w:ascii="Cambria Math" w:hAnsi="Cambria Math"/>
                    <w:sz w:val="21"/>
                  </w:rPr>
                </m:ctrlPr>
              </m:sSubPr>
              <m:e>
                <m:r>
                  <m:rPr/>
                  <w:rPr>
                    <w:rFonts w:ascii="Cambria Math" w:hAnsi="Cambria Math"/>
                  </w:rPr>
                  <m:t>ℎ</m:t>
                </m:r>
                <m:ctrlPr>
                  <w:rPr>
                    <w:rFonts w:ascii="Cambria Math" w:hAnsi="Cambria Math"/>
                    <w:sz w:val="21"/>
                  </w:rPr>
                </m:ctrlPr>
              </m:e>
              <m:sub>
                <m:r>
                  <m:rPr/>
                  <w:rPr>
                    <w:rFonts w:ascii="Cambria Math" w:hAnsi="Cambria Math"/>
                  </w:rPr>
                  <m:t>p</m:t>
                </m:r>
                <m:ctrlPr>
                  <w:rPr>
                    <w:rFonts w:ascii="Cambria Math" w:hAnsi="Cambria Math"/>
                    <w:sz w:val="21"/>
                  </w:rPr>
                </m:ctrlPr>
              </m:sub>
            </m:sSub>
            <m:r>
              <m:rPr>
                <m:sty m:val="p"/>
              </m:rPr>
              <w:rPr>
                <w:rFonts w:ascii="Cambria Math" w:hAnsi="Cambria Math"/>
              </w:rPr>
              <m:t>−0.5</m:t>
            </m:r>
            <m:r>
              <m:rPr/>
              <w:rPr>
                <w:rFonts w:ascii="Cambria Math" w:hAnsi="Cambria Math"/>
              </w:rPr>
              <m:t>x</m:t>
            </m:r>
            <m:ctrlPr>
              <w:rPr>
                <w:rFonts w:ascii="Cambria Math" w:hAnsi="Cambria Math"/>
                <w:sz w:val="21"/>
              </w:rPr>
            </m:ctrlPr>
          </m:e>
        </m:d>
        <m:r>
          <m:rPr>
            <m:sty m:val="p"/>
          </m:rPr>
          <w:rPr>
            <w:rFonts w:ascii="Cambria Math" w:hAnsi="Cambria Math"/>
            <w:sz w:val="21"/>
          </w:rPr>
          <m:t>+</m:t>
        </m:r>
        <m:sSubSup>
          <m:sSubSupPr>
            <m:ctrlPr>
              <w:rPr>
                <w:rFonts w:ascii="Cambria Math" w:hAnsi="Cambria Math"/>
                <w:sz w:val="21"/>
              </w:rPr>
            </m:ctrlPr>
          </m:sSubSupPr>
          <m:e>
            <m:r>
              <m:rPr/>
              <w:rPr>
                <w:rFonts w:ascii="Cambria Math" w:hAnsi="Cambria Math"/>
              </w:rPr>
              <m:t>A</m:t>
            </m:r>
            <m:ctrlPr>
              <w:rPr>
                <w:rFonts w:ascii="Cambria Math" w:hAnsi="Cambria Math"/>
                <w:sz w:val="21"/>
              </w:rPr>
            </m:ctrlPr>
          </m:e>
          <m:sub>
            <m:r>
              <m:rPr/>
              <w:rPr>
                <w:rFonts w:ascii="Cambria Math" w:hAnsi="Cambria Math"/>
              </w:rPr>
              <m:t>s</m:t>
            </m:r>
            <m:r>
              <m:rPr/>
              <w:rPr>
                <w:rFonts w:hint="eastAsia" w:ascii="Cambria Math" w:hAnsi="Cambria Math"/>
              </w:rPr>
              <m:t>n</m:t>
            </m:r>
            <m:ctrlPr>
              <w:rPr>
                <w:rFonts w:ascii="Cambria Math" w:hAnsi="Cambria Math"/>
                <w:sz w:val="21"/>
              </w:rPr>
            </m:ctrlPr>
          </m:sub>
          <m:sup>
            <m:r>
              <m:rPr>
                <m:sty m:val="p"/>
              </m:rPr>
              <w:rPr>
                <w:rFonts w:ascii="Cambria Math" w:hAnsi="Cambria Math"/>
                <w:sz w:val="21"/>
              </w:rPr>
              <m:t>'</m:t>
            </m:r>
            <m:ctrlPr>
              <w:rPr>
                <w:rFonts w:ascii="Cambria Math" w:hAnsi="Cambria Math"/>
                <w:sz w:val="21"/>
              </w:rPr>
            </m:ctrlPr>
          </m:sup>
        </m:sSubSup>
        <m:sSubSup>
          <m:sSubSupPr>
            <m:ctrlPr>
              <w:rPr>
                <w:rFonts w:ascii="Cambria Math" w:hAnsi="Cambria Math"/>
                <w:sz w:val="21"/>
              </w:rPr>
            </m:ctrlPr>
          </m:sSubSupPr>
          <m:e>
            <m:r>
              <m:rPr/>
              <w:rPr>
                <w:rFonts w:ascii="Cambria Math" w:hAnsi="Cambria Math"/>
              </w:rPr>
              <m:t>f</m:t>
            </m:r>
            <m:ctrlPr>
              <w:rPr>
                <w:rFonts w:ascii="Cambria Math" w:hAnsi="Cambria Math"/>
                <w:sz w:val="21"/>
              </w:rPr>
            </m:ctrlPr>
          </m:e>
          <m:sub>
            <m:r>
              <m:rPr/>
              <w:rPr>
                <w:rFonts w:ascii="Cambria Math" w:hAnsi="Cambria Math"/>
              </w:rPr>
              <m:t>yk</m:t>
            </m:r>
            <m:ctrlPr>
              <w:rPr>
                <w:rFonts w:ascii="Cambria Math" w:hAnsi="Cambria Math"/>
                <w:sz w:val="21"/>
              </w:rPr>
            </m:ctrlPr>
          </m:sub>
          <m:sup>
            <m:r>
              <m:rPr>
                <m:sty m:val="p"/>
              </m:rPr>
              <w:rPr>
                <w:rFonts w:ascii="Cambria Math" w:hAnsi="Cambria Math"/>
                <w:sz w:val="21"/>
              </w:rPr>
              <m:t>'</m:t>
            </m:r>
            <m:ctrlPr>
              <w:rPr>
                <w:rFonts w:ascii="Cambria Math" w:hAnsi="Cambria Math"/>
                <w:sz w:val="21"/>
              </w:rPr>
            </m:ctrlPr>
          </m:sup>
        </m:sSubSup>
        <m:d>
          <m:dPr>
            <m:ctrlPr>
              <w:rPr>
                <w:rFonts w:ascii="Cambria Math" w:hAnsi="Cambria Math"/>
                <w:sz w:val="21"/>
              </w:rPr>
            </m:ctrlPr>
          </m:dPr>
          <m:e>
            <m:sSub>
              <m:sSubPr>
                <m:ctrlPr>
                  <w:rPr>
                    <w:rFonts w:ascii="Cambria Math" w:hAnsi="Cambria Math"/>
                    <w:sz w:val="21"/>
                  </w:rPr>
                </m:ctrlPr>
              </m:sSubPr>
              <m:e>
                <m:r>
                  <m:rPr/>
                  <w:rPr>
                    <w:rFonts w:ascii="Cambria Math" w:hAnsi="Cambria Math"/>
                  </w:rPr>
                  <m:t>ℎ</m:t>
                </m:r>
                <m:ctrlPr>
                  <w:rPr>
                    <w:rFonts w:ascii="Cambria Math" w:hAnsi="Cambria Math"/>
                    <w:sz w:val="21"/>
                  </w:rPr>
                </m:ctrlPr>
              </m:e>
              <m:sub>
                <m:r>
                  <m:rPr/>
                  <w:rPr>
                    <w:rFonts w:ascii="Cambria Math" w:hAnsi="Cambria Math"/>
                  </w:rPr>
                  <m:t>p</m:t>
                </m:r>
                <m:ctrlPr>
                  <w:rPr>
                    <w:rFonts w:ascii="Cambria Math" w:hAnsi="Cambria Math"/>
                    <w:sz w:val="21"/>
                  </w:rPr>
                </m:ctrlPr>
              </m:sub>
            </m:sSub>
            <m:r>
              <m:rPr>
                <m:sty m:val="p"/>
              </m:rPr>
              <w:rPr>
                <w:rFonts w:ascii="Cambria Math" w:hAnsi="Cambria Math"/>
              </w:rPr>
              <m:t>−</m:t>
            </m:r>
            <m:sSubSup>
              <m:sSubSupPr>
                <m:ctrlPr>
                  <w:rPr>
                    <w:rFonts w:ascii="Cambria Math" w:hAnsi="Cambria Math"/>
                    <w:sz w:val="21"/>
                  </w:rPr>
                </m:ctrlPr>
              </m:sSubSupPr>
              <m:e>
                <m:r>
                  <m:rPr/>
                  <w:rPr>
                    <w:rFonts w:ascii="Cambria Math" w:hAnsi="Cambria Math"/>
                  </w:rPr>
                  <m:t>a</m:t>
                </m:r>
                <m:ctrlPr>
                  <w:rPr>
                    <w:rFonts w:ascii="Cambria Math" w:hAnsi="Cambria Math"/>
                    <w:sz w:val="21"/>
                  </w:rPr>
                </m:ctrlPr>
              </m:e>
              <m:sub>
                <m:r>
                  <m:rPr/>
                  <w:rPr>
                    <w:rFonts w:ascii="Cambria Math" w:hAnsi="Cambria Math"/>
                  </w:rPr>
                  <m:t>s</m:t>
                </m:r>
                <m:ctrlPr>
                  <w:rPr>
                    <w:rFonts w:ascii="Cambria Math" w:hAnsi="Cambria Math"/>
                    <w:sz w:val="21"/>
                  </w:rPr>
                </m:ctrlPr>
              </m:sub>
              <m:sup>
                <m:r>
                  <m:rPr>
                    <m:sty m:val="p"/>
                  </m:rPr>
                  <w:rPr>
                    <w:rFonts w:ascii="Cambria Math" w:hAnsi="Cambria Math"/>
                  </w:rPr>
                  <m:t>'</m:t>
                </m:r>
                <m:ctrlPr>
                  <w:rPr>
                    <w:rFonts w:ascii="Cambria Math" w:hAnsi="Cambria Math"/>
                    <w:sz w:val="21"/>
                  </w:rPr>
                </m:ctrlPr>
              </m:sup>
            </m:sSubSup>
            <m:ctrlPr>
              <w:rPr>
                <w:rFonts w:ascii="Cambria Math" w:hAnsi="Cambria Math"/>
                <w:sz w:val="21"/>
              </w:rPr>
            </m:ctrlPr>
          </m:e>
        </m:d>
      </m:oMath>
      <w:r>
        <w:rPr>
          <w:sz w:val="21"/>
        </w:rPr>
        <w:tab/>
      </w:r>
      <w:r>
        <w:rPr>
          <w:rFonts w:hint="eastAsia" w:ascii="XITS" w:hAnsi="XITS"/>
        </w:rPr>
        <w:t>（</w:t>
      </w:r>
      <w:r>
        <w:rPr>
          <w:rFonts w:cs="Times New Roman"/>
        </w:rPr>
        <w:fldChar w:fldCharType="begin"/>
      </w:r>
      <w:r>
        <w:rPr>
          <w:rFonts w:cs="Times New Roman"/>
        </w:rPr>
        <w:instrText xml:space="preserve"> REF _Ref86675141 \r \h </w:instrText>
      </w:r>
      <w:r>
        <w:rPr>
          <w:rFonts w:cs="Times New Roman"/>
        </w:rPr>
        <w:fldChar w:fldCharType="separate"/>
      </w:r>
      <w:r>
        <w:rPr>
          <w:rFonts w:cs="Times New Roman"/>
        </w:rPr>
        <w:t>5. 5. 1</w:t>
      </w:r>
      <w:r>
        <w:rPr>
          <w:rFonts w:cs="Times New Roman"/>
        </w:rPr>
        <w:fldChar w:fldCharType="end"/>
      </w:r>
      <w:r>
        <w:rPr>
          <w:rFonts w:cs="Times New Roman"/>
        </w:rPr>
        <w:t>-</w:t>
      </w:r>
      <w:r>
        <w:rPr>
          <w:rFonts w:hint="eastAsia" w:cs="Times New Roman"/>
        </w:rPr>
        <w:t>5</w:t>
      </w:r>
      <w:r>
        <w:rPr>
          <w:rFonts w:hint="eastAsia" w:ascii="XITS" w:hAnsi="XITS"/>
        </w:rPr>
        <w:t>）</w:t>
      </w:r>
    </w:p>
    <w:p>
      <w:pPr>
        <w:pStyle w:val="5"/>
        <w:rPr>
          <w:rFonts w:ascii="XITS" w:hAnsi="XITS"/>
        </w:rPr>
      </w:pPr>
      <w:r>
        <w:rPr>
          <w:rFonts w:hint="eastAsia"/>
        </w:rPr>
        <w:t>混凝土受压区高度应按下式确定：</w:t>
      </w:r>
    </w:p>
    <w:p>
      <w:pPr>
        <w:pStyle w:val="85"/>
        <w:rPr>
          <w:rFonts w:ascii="XITS" w:hAnsi="XITS"/>
        </w:rPr>
      </w:pPr>
      <w:r>
        <w:rPr>
          <w:rFonts w:ascii="XITS" w:hAnsi="XITS" w:cs="Times New Roman"/>
          <w:iCs/>
        </w:rPr>
        <w:tab/>
      </w:r>
      <m:oMath>
        <m:sSub>
          <m:sSubPr>
            <m:ctrlPr>
              <w:rPr>
                <w:rFonts w:ascii="Cambria Math" w:hAnsi="Cambria Math"/>
                <w:iCs/>
              </w:rPr>
            </m:ctrlPr>
          </m:sSubPr>
          <m:e>
            <m:r>
              <m:rPr/>
              <w:rPr>
                <w:rFonts w:ascii="Cambria Math" w:hAnsi="Cambria Math"/>
              </w:rPr>
              <m:t>α</m:t>
            </m:r>
            <m:ctrlPr>
              <w:rPr>
                <w:rFonts w:ascii="Cambria Math" w:hAnsi="Cambria Math"/>
                <w:iCs/>
              </w:rPr>
            </m:ctrlPr>
          </m:e>
          <m:sub>
            <m:r>
              <m:rPr>
                <m:sty m:val="p"/>
              </m:rPr>
              <w:rPr>
                <w:rFonts w:ascii="Cambria Math" w:hAnsi="Cambria Math"/>
              </w:rPr>
              <m:t>1</m:t>
            </m:r>
            <m:ctrlPr>
              <w:rPr>
                <w:rFonts w:ascii="Cambria Math" w:hAnsi="Cambria Math"/>
                <w:iCs/>
              </w:rPr>
            </m:ctrlPr>
          </m:sub>
        </m:sSub>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ck</m:t>
            </m:r>
            <m:ctrlPr>
              <w:rPr>
                <w:rFonts w:ascii="Cambria Math" w:hAnsi="Cambria Math"/>
                <w:iCs/>
              </w:rPr>
            </m:ctrlPr>
          </m:sub>
        </m:sSub>
        <m:sSubSup>
          <m:sSubSupPr>
            <m:ctrlPr>
              <w:rPr>
                <w:rFonts w:ascii="Cambria Math" w:hAnsi="Cambria Math"/>
              </w:rPr>
            </m:ctrlPr>
          </m:sSubSupPr>
          <m:e>
            <m:r>
              <m:rPr/>
              <w:rPr>
                <w:rFonts w:ascii="Cambria Math" w:hAnsi="Cambria Math"/>
              </w:rPr>
              <m:t>b</m:t>
            </m:r>
            <m:ctrlPr>
              <w:rPr>
                <w:rFonts w:ascii="Cambria Math" w:hAnsi="Cambria Math"/>
              </w:rPr>
            </m:ctrlPr>
          </m:e>
          <m:sub>
            <m:r>
              <m:rPr/>
              <w:rPr>
                <w:rFonts w:ascii="Cambria Math" w:hAnsi="Cambria Math"/>
              </w:rPr>
              <m:t>f</m:t>
            </m:r>
            <m:ctrlPr>
              <w:rPr>
                <w:rFonts w:ascii="Cambria Math" w:hAnsi="Cambria Math"/>
              </w:rPr>
            </m:ctrlPr>
          </m:sub>
          <m:sup>
            <m:r>
              <m:rPr>
                <m:sty m:val="p"/>
              </m:rPr>
              <w:rPr>
                <w:rFonts w:ascii="Cambria Math" w:hAnsi="Cambria Math"/>
              </w:rPr>
              <m:t>'</m:t>
            </m:r>
            <m:ctrlPr>
              <w:rPr>
                <w:rFonts w:ascii="Cambria Math" w:hAnsi="Cambria Math"/>
              </w:rPr>
            </m:ctrlPr>
          </m:sup>
        </m:sSubSup>
        <m:r>
          <m:rPr/>
          <w:rPr>
            <w:rFonts w:ascii="Cambria Math" w:hAnsi="Cambria Math"/>
          </w:rPr>
          <m:t>x</m:t>
        </m:r>
        <m:r>
          <m:rPr>
            <m:sty m:val="p"/>
          </m:rPr>
          <w:rPr>
            <w:rFonts w:ascii="Cambria Math" w:hAnsi="Cambria Math"/>
          </w:rPr>
          <m:t>=0.7</m:t>
        </m:r>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ptk</m:t>
            </m:r>
            <m:ctrlPr>
              <w:rPr>
                <w:rFonts w:ascii="Cambria Math" w:hAnsi="Cambria Math"/>
                <w:iCs/>
              </w:rPr>
            </m:ctrlPr>
          </m:sub>
        </m:sSub>
        <m:sSub>
          <m:sSubPr>
            <m:ctrlPr>
              <w:rPr>
                <w:rFonts w:ascii="Cambria Math" w:hAnsi="Cambria Math"/>
                <w:iCs/>
              </w:rPr>
            </m:ctrlPr>
          </m:sSubPr>
          <m:e>
            <m:r>
              <m:rPr/>
              <w:rPr>
                <w:rFonts w:ascii="Cambria Math" w:hAnsi="Cambria Math"/>
              </w:rPr>
              <m:t>A</m:t>
            </m:r>
            <m:ctrlPr>
              <w:rPr>
                <w:rFonts w:ascii="Cambria Math" w:hAnsi="Cambria Math"/>
                <w:iCs/>
              </w:rPr>
            </m:ctrlPr>
          </m:e>
          <m:sub>
            <m:r>
              <m:rPr/>
              <w:rPr>
                <w:rFonts w:ascii="Cambria Math" w:hAnsi="Cambria Math"/>
              </w:rPr>
              <m:t>p</m:t>
            </m:r>
            <m:ctrlPr>
              <w:rPr>
                <w:rFonts w:ascii="Cambria Math" w:hAnsi="Cambria Math"/>
                <w:iCs/>
              </w:rPr>
            </m:ctrlPr>
          </m:sub>
        </m:sSub>
        <m:r>
          <m:rPr>
            <m:sty m:val="p"/>
          </m:rPr>
          <w:rPr>
            <w:rFonts w:ascii="Cambria Math" w:hAnsi="Cambria Math"/>
          </w:rPr>
          <m:t>−</m:t>
        </m:r>
        <m:sSubSup>
          <m:sSubSupPr>
            <m:ctrlPr>
              <w:rPr>
                <w:rFonts w:ascii="Cambria Math" w:hAnsi="Cambria Math"/>
                <w:iCs/>
              </w:rPr>
            </m:ctrlPr>
          </m:sSubSupPr>
          <m:e>
            <m:r>
              <m:rPr/>
              <w:rPr>
                <w:rFonts w:hint="eastAsia" w:ascii="Cambria Math" w:hAnsi="Cambria Math"/>
              </w:rPr>
              <m:t>f</m:t>
            </m:r>
            <m:ctrlPr>
              <w:rPr>
                <w:rFonts w:ascii="Cambria Math" w:hAnsi="Cambria Math"/>
                <w:iCs/>
              </w:rPr>
            </m:ctrlPr>
          </m:e>
          <m:sub>
            <m:r>
              <m:rPr/>
              <w:rPr>
                <w:rFonts w:hint="eastAsia" w:ascii="Cambria Math" w:hAnsi="Cambria Math"/>
              </w:rPr>
              <m:t>y</m:t>
            </m:r>
            <m:r>
              <m:rPr/>
              <w:rPr>
                <w:rFonts w:ascii="Cambria Math" w:hAnsi="Cambria Math"/>
              </w:rPr>
              <m:t>k</m:t>
            </m:r>
            <m:ctrlPr>
              <w:rPr>
                <w:rFonts w:ascii="Cambria Math" w:hAnsi="Cambria Math"/>
                <w:iCs/>
              </w:rPr>
            </m:ctrlPr>
          </m:sub>
          <m:sup>
            <m:r>
              <m:rPr>
                <m:sty m:val="p"/>
              </m:rPr>
              <w:rPr>
                <w:rFonts w:ascii="Cambria Math" w:hAnsi="Cambria Math"/>
              </w:rPr>
              <m:t>'</m:t>
            </m:r>
            <m:ctrlPr>
              <w:rPr>
                <w:rFonts w:ascii="Cambria Math" w:hAnsi="Cambria Math"/>
                <w:iCs/>
              </w:rPr>
            </m:ctrlPr>
          </m:sup>
        </m:sSubSup>
        <m:sSubSup>
          <m:sSubSupPr>
            <m:ctrlPr>
              <w:rPr>
                <w:rFonts w:ascii="Cambria Math" w:hAnsi="Cambria Math"/>
                <w:iCs/>
              </w:rPr>
            </m:ctrlPr>
          </m:sSubSupPr>
          <m:e>
            <m:r>
              <m:rPr/>
              <w:rPr>
                <w:rFonts w:ascii="Cambria Math" w:hAnsi="Cambria Math"/>
              </w:rPr>
              <m:t>A</m:t>
            </m:r>
            <m:ctrlPr>
              <w:rPr>
                <w:rFonts w:ascii="Cambria Math" w:hAnsi="Cambria Math"/>
                <w:iCs/>
              </w:rPr>
            </m:ctrlPr>
          </m:e>
          <m:sub>
            <m:r>
              <m:rPr/>
              <w:rPr>
                <w:rFonts w:ascii="Cambria Math" w:hAnsi="Cambria Math"/>
              </w:rPr>
              <m:t>s</m:t>
            </m:r>
            <m:r>
              <m:rPr/>
              <w:rPr>
                <w:rFonts w:hint="eastAsia" w:ascii="Cambria Math" w:hAnsi="Cambria Math"/>
              </w:rPr>
              <m:t>n</m:t>
            </m:r>
            <m:ctrlPr>
              <w:rPr>
                <w:rFonts w:ascii="Cambria Math" w:hAnsi="Cambria Math"/>
                <w:iCs/>
              </w:rPr>
            </m:ctrlPr>
          </m:sub>
          <m:sup>
            <m:r>
              <m:rPr>
                <m:sty m:val="p"/>
              </m:rPr>
              <w:rPr>
                <w:rFonts w:ascii="Cambria Math" w:hAnsi="Cambria Math"/>
              </w:rPr>
              <m:t>'</m:t>
            </m:r>
            <m:ctrlPr>
              <w:rPr>
                <w:rFonts w:ascii="Cambria Math" w:hAnsi="Cambria Math"/>
                <w:iCs/>
              </w:rPr>
            </m:ctrlPr>
          </m:sup>
        </m:sSubSup>
      </m:oMath>
      <w:r>
        <w:tab/>
      </w:r>
      <w:r>
        <w:rPr>
          <w:rFonts w:hint="eastAsia" w:ascii="XITS" w:hAnsi="XITS"/>
        </w:rPr>
        <w:t>（</w:t>
      </w:r>
      <w:r>
        <w:rPr>
          <w:rFonts w:cs="Times New Roman"/>
        </w:rPr>
        <w:fldChar w:fldCharType="begin"/>
      </w:r>
      <w:r>
        <w:rPr>
          <w:rFonts w:cs="Times New Roman"/>
        </w:rPr>
        <w:instrText xml:space="preserve"> REF _Ref86675141 \r \h </w:instrText>
      </w:r>
      <w:r>
        <w:rPr>
          <w:rFonts w:cs="Times New Roman"/>
        </w:rPr>
        <w:fldChar w:fldCharType="separate"/>
      </w:r>
      <w:r>
        <w:rPr>
          <w:rFonts w:cs="Times New Roman"/>
        </w:rPr>
        <w:t>5. 5. 1</w:t>
      </w:r>
      <w:r>
        <w:rPr>
          <w:rFonts w:cs="Times New Roman"/>
        </w:rPr>
        <w:fldChar w:fldCharType="end"/>
      </w:r>
      <w:r>
        <w:rPr>
          <w:rFonts w:cs="Times New Roman"/>
        </w:rPr>
        <w:t>-</w:t>
      </w:r>
      <w:r>
        <w:rPr>
          <w:rFonts w:hint="eastAsia" w:cs="Times New Roman"/>
        </w:rPr>
        <w:t>6</w:t>
      </w:r>
      <w:r>
        <w:rPr>
          <w:rFonts w:hint="eastAsia" w:ascii="XITS" w:hAnsi="XITS"/>
        </w:rPr>
        <w:t>）</w:t>
      </w:r>
    </w:p>
    <w:p>
      <w:pPr>
        <w:pStyle w:val="86"/>
      </w:pPr>
      <w:r>
        <w:rPr>
          <w:rFonts w:hint="eastAsia"/>
        </w:rPr>
        <w:t>式中：</w:t>
      </w:r>
      <w:r>
        <w:tab/>
      </w:r>
      <w:r>
        <w:rPr>
          <w:rFonts w:hint="eastAsia"/>
        </w:rPr>
        <w:t xml:space="preserve">  </w:t>
      </w:r>
      <m:oMath>
        <m:sSubSup>
          <m:sSubSupPr>
            <m:ctrlPr>
              <w:rPr>
                <w:rFonts w:ascii="Cambria Math" w:hAnsi="Cambria Math"/>
              </w:rPr>
            </m:ctrlPr>
          </m:sSubSupPr>
          <m:e>
            <m:r>
              <m:rPr/>
              <w:rPr>
                <w:rFonts w:ascii="Cambria Math" w:hAnsi="Cambria Math"/>
              </w:rPr>
              <m:t>M</m:t>
            </m:r>
            <m:ctrlPr>
              <w:rPr>
                <w:rFonts w:ascii="Cambria Math" w:hAnsi="Cambria Math"/>
              </w:rPr>
            </m:ctrlPr>
          </m:e>
          <m:sub>
            <m:r>
              <m:rPr>
                <m:sty m:val="p"/>
              </m:rPr>
              <w:rPr>
                <w:rFonts w:ascii="Cambria Math"/>
              </w:rPr>
              <m:t>R</m:t>
            </m:r>
            <m:r>
              <m:rPr>
                <m:sty m:val="p"/>
              </m:rPr>
              <w:rPr>
                <w:rFonts w:hint="eastAsia" w:ascii="Cambria Math"/>
              </w:rPr>
              <m:t>k</m:t>
            </m:r>
            <m:ctrlPr>
              <w:rPr>
                <w:rFonts w:ascii="Cambria Math" w:hAnsi="Cambria Math"/>
              </w:rPr>
            </m:ctrlPr>
          </m:sub>
          <m:sup>
            <m:r>
              <m:rPr>
                <m:sty m:val="p"/>
              </m:rPr>
              <w:rPr>
                <w:rFonts w:ascii="Cambria Math"/>
              </w:rPr>
              <m:t>+</m:t>
            </m:r>
            <m:ctrlPr>
              <w:rPr>
                <w:rFonts w:ascii="Cambria Math" w:hAnsi="Cambria Math"/>
              </w:rPr>
            </m:ctrlPr>
          </m:sup>
        </m:sSubSup>
      </m:oMath>
      <w:r>
        <w:t>——</w:t>
      </w:r>
      <w:r>
        <w:rPr>
          <w:rFonts w:hint="eastAsia"/>
        </w:rPr>
        <w:t>梁端结合面正弯矩承载力标准值（</w:t>
      </w:r>
      <w:r>
        <w:t>N</w:t>
      </w:r>
      <w:r>
        <w:rPr>
          <w:rFonts w:hint="eastAsia"/>
        </w:rPr>
        <w:t>·</w:t>
      </w:r>
      <w:r>
        <w:t>m</w:t>
      </w:r>
      <w:r>
        <w:rPr>
          <w:rFonts w:hint="eastAsia"/>
        </w:rPr>
        <w:t>m）；</w:t>
      </w:r>
    </w:p>
    <w:p>
      <w:pPr>
        <w:pStyle w:val="86"/>
      </w:pPr>
      <w:r>
        <w:tab/>
      </w:r>
      <m:oMath>
        <m:sSubSup>
          <m:sSubSupPr>
            <m:ctrlPr>
              <w:rPr>
                <w:rFonts w:ascii="XITS Math" w:hAnsi="XITS Math"/>
                <w:sz w:val="21"/>
              </w:rPr>
            </m:ctrlPr>
          </m:sSubSupPr>
          <m:e>
            <m:r>
              <m:rPr/>
              <w:rPr>
                <w:rFonts w:ascii="XITS Math" w:hAnsi="XITS Math"/>
              </w:rPr>
              <m:t>a</m:t>
            </m:r>
            <m:ctrlPr>
              <w:rPr>
                <w:rFonts w:ascii="XITS Math" w:hAnsi="XITS Math"/>
                <w:sz w:val="21"/>
              </w:rPr>
            </m:ctrlPr>
          </m:e>
          <m:sub>
            <m:r>
              <m:rPr/>
              <w:rPr>
                <w:rFonts w:ascii="XITS Math" w:hAnsi="XITS Math"/>
              </w:rPr>
              <m:t>s</m:t>
            </m:r>
            <m:ctrlPr>
              <w:rPr>
                <w:rFonts w:ascii="XITS Math" w:hAnsi="XITS Math"/>
                <w:sz w:val="21"/>
              </w:rPr>
            </m:ctrlPr>
          </m:sub>
          <m:sup>
            <m:r>
              <m:rPr>
                <m:sty m:val="p"/>
              </m:rPr>
              <w:rPr>
                <w:rFonts w:ascii="XITS Math" w:hAnsi="XITS Math"/>
              </w:rPr>
              <m:t>'</m:t>
            </m:r>
            <m:ctrlPr>
              <w:rPr>
                <w:rFonts w:ascii="XITS Math" w:hAnsi="XITS Math"/>
                <w:sz w:val="21"/>
              </w:rPr>
            </m:ctrlPr>
          </m:sup>
        </m:sSubSup>
      </m:oMath>
      <w:r>
        <w:t>——</w:t>
      </w:r>
      <w:r>
        <w:tab/>
      </w:r>
      <w:r>
        <w:rPr>
          <w:rFonts w:hint="eastAsia"/>
        </w:rPr>
        <w:t>受压区耗能钢筋合力点至截面受压边缘的距离（mm）；</w:t>
      </w:r>
    </w:p>
    <w:p>
      <w:pPr>
        <w:pStyle w:val="86"/>
      </w:pPr>
      <w:r>
        <w:tab/>
      </w:r>
      <m:oMath>
        <m:sSub>
          <m:sSubPr>
            <m:ctrlPr>
              <w:rPr>
                <w:rFonts w:ascii="Cambria Math" w:hAnsi="Cambria Math" w:cs="宋体"/>
                <w:i/>
              </w:rPr>
            </m:ctrlPr>
          </m:sSubPr>
          <m:e>
            <m:r>
              <m:rPr/>
              <w:rPr>
                <w:rFonts w:ascii="Cambria Math" w:hAnsi="Cambria Math"/>
              </w:rPr>
              <m:t>ℎ</m:t>
            </m:r>
            <m:ctrlPr>
              <w:rPr>
                <w:rFonts w:ascii="Cambria Math" w:hAnsi="Cambria Math" w:cs="宋体"/>
                <w:i/>
              </w:rPr>
            </m:ctrlPr>
          </m:e>
          <m:sub>
            <m:r>
              <m:rPr/>
              <w:rPr>
                <w:rFonts w:ascii="Cambria Math" w:hAnsi="Cambria Math"/>
              </w:rPr>
              <m:t>p</m:t>
            </m:r>
            <m:ctrlPr>
              <w:rPr>
                <w:rFonts w:ascii="Cambria Math" w:hAnsi="Cambria Math" w:cs="宋体"/>
                <w:i/>
              </w:rPr>
            </m:ctrlPr>
          </m:sub>
        </m:sSub>
      </m:oMath>
      <w:r>
        <w:t>——</w:t>
      </w:r>
      <w:r>
        <w:tab/>
      </w:r>
      <w:r>
        <w:rPr>
          <w:rFonts w:hint="eastAsia"/>
        </w:rPr>
        <w:t>预应力钢铰线中心距梁顶面边边缘的距离（mm）；</w:t>
      </w:r>
    </w:p>
    <w:p>
      <w:pPr>
        <w:pStyle w:val="86"/>
      </w:pPr>
      <w:r>
        <w:rPr>
          <w:szCs w:val="20"/>
        </w:rPr>
        <w:tab/>
      </w:r>
      <m:oMath>
        <m:sSubSup>
          <m:sSubSupPr>
            <m:ctrlPr>
              <w:rPr>
                <w:rFonts w:ascii="Cambria Math" w:hAnsi="Cambria Math"/>
                <w:i/>
              </w:rPr>
            </m:ctrlPr>
          </m:sSubSupPr>
          <m:e>
            <m:r>
              <m:rPr/>
              <w:rPr>
                <w:rFonts w:ascii="XITS Math" w:hAnsi="XITS Math"/>
              </w:rPr>
              <m:t>b</m:t>
            </m:r>
            <m:ctrlPr>
              <w:rPr>
                <w:rFonts w:ascii="Cambria Math" w:hAnsi="Cambria Math"/>
                <w:i/>
              </w:rPr>
            </m:ctrlPr>
          </m:e>
          <m:sub>
            <m:r>
              <m:rPr/>
              <w:rPr>
                <w:rFonts w:ascii="XITS Math" w:hAnsi="XITS Math"/>
              </w:rPr>
              <m:t>f</m:t>
            </m:r>
            <m:ctrlPr>
              <w:rPr>
                <w:rFonts w:ascii="Cambria Math" w:hAnsi="Cambria Math"/>
                <w:i/>
              </w:rPr>
            </m:ctrlPr>
          </m:sub>
          <m:sup>
            <m:r>
              <m:rPr/>
              <w:rPr>
                <w:rFonts w:ascii="XITS Math" w:hAnsi="XITS Math"/>
              </w:rPr>
              <m:t>'</m:t>
            </m:r>
            <m:ctrlPr>
              <w:rPr>
                <w:rFonts w:ascii="Cambria Math" w:hAnsi="Cambria Math"/>
                <w:i/>
              </w:rPr>
            </m:ctrlPr>
          </m:sup>
        </m:sSubSup>
      </m:oMath>
      <w:r>
        <w:t>——</w:t>
      </w:r>
      <w:r>
        <w:tab/>
      </w:r>
      <w:r>
        <w:rPr>
          <w:rFonts w:hint="eastAsia"/>
        </w:rPr>
        <w:t>T形截面受压区的计算宽度（mm），按现行国家标准《混凝土结构设计标准》GB</w:t>
      </w:r>
      <w:r>
        <w:t>/T</w:t>
      </w:r>
      <w:r>
        <w:rPr>
          <w:rFonts w:hint="eastAsia"/>
        </w:rPr>
        <w:t xml:space="preserve"> 50010的规定确定；</w:t>
      </w:r>
    </w:p>
    <w:p>
      <w:pPr>
        <w:pStyle w:val="86"/>
      </w:pPr>
      <w:r>
        <w:tab/>
      </w:r>
      <m:oMath>
        <m:r>
          <m:rPr/>
          <w:rPr>
            <w:rFonts w:ascii="Cambria Math" w:hAnsi="Cambria Math"/>
          </w:rPr>
          <m:t>x</m:t>
        </m:r>
      </m:oMath>
      <w:r>
        <w:t>——</w:t>
      </w:r>
      <w:r>
        <w:tab/>
      </w:r>
      <w:r>
        <w:rPr>
          <w:rFonts w:hint="eastAsia"/>
        </w:rPr>
        <w:t>等效矩形应力图形的混凝土受压区高度（mm）；</w:t>
      </w:r>
    </w:p>
    <w:p>
      <w:pPr>
        <w:pStyle w:val="86"/>
      </w:pPr>
      <w:r>
        <w:rPr>
          <w:iCs/>
        </w:rPr>
        <w:tab/>
      </w:r>
      <m:oMath>
        <m:sSubSup>
          <m:sSubSupPr>
            <m:ctrlPr>
              <w:rPr>
                <w:rFonts w:ascii="Cambria Math" w:hAnsi="Cambria Math" w:cs="XITS Math"/>
                <w:i/>
                <w:iCs/>
              </w:rPr>
            </m:ctrlPr>
          </m:sSubSupPr>
          <m:e>
            <m:r>
              <m:rPr/>
              <w:rPr>
                <w:rFonts w:ascii="Cambria Math" w:hAnsi="Cambria Math" w:cs="XITS Math"/>
              </w:rPr>
              <m:t>A</m:t>
            </m:r>
            <m:ctrlPr>
              <w:rPr>
                <w:rFonts w:ascii="Cambria Math" w:hAnsi="Cambria Math" w:cs="XITS Math"/>
                <w:i/>
                <w:iCs/>
              </w:rPr>
            </m:ctrlPr>
          </m:e>
          <m:sub>
            <m:r>
              <m:rPr/>
              <w:rPr>
                <w:rFonts w:ascii="Cambria Math" w:hAnsi="Cambria Math" w:cs="XITS Math"/>
              </w:rPr>
              <m:t>s</m:t>
            </m:r>
            <m:r>
              <m:rPr/>
              <w:rPr>
                <w:rFonts w:hint="eastAsia" w:ascii="Cambria Math" w:hAnsi="Cambria Math" w:cs="XITS Math"/>
              </w:rPr>
              <m:t>n</m:t>
            </m:r>
            <m:ctrlPr>
              <w:rPr>
                <w:rFonts w:ascii="Cambria Math" w:hAnsi="Cambria Math" w:cs="XITS Math"/>
                <w:i/>
                <w:iCs/>
              </w:rPr>
            </m:ctrlPr>
          </m:sub>
          <m:sup>
            <m:r>
              <m:rPr/>
              <w:rPr>
                <w:rFonts w:ascii="Cambria Math" w:hAnsi="Cambria Math" w:cs="XITS Math"/>
              </w:rPr>
              <m:t>'</m:t>
            </m:r>
            <m:ctrlPr>
              <w:rPr>
                <w:rFonts w:ascii="Cambria Math" w:hAnsi="Cambria Math" w:cs="XITS Math"/>
                <w:i/>
                <w:iCs/>
              </w:rPr>
            </m:ctrlPr>
          </m:sup>
        </m:sSubSup>
      </m:oMath>
      <w:r>
        <w:t>——</w:t>
      </w:r>
      <w:r>
        <w:tab/>
      </w:r>
      <w:r>
        <w:rPr>
          <w:rFonts w:hint="eastAsia"/>
        </w:rPr>
        <w:t>穿过结合面的上部受压钢筋净面积（mm</w:t>
      </w:r>
      <w:r>
        <w:rPr>
          <w:vertAlign w:val="superscript"/>
        </w:rPr>
        <w:t>2</w:t>
      </w:r>
      <w:r>
        <w:rPr>
          <w:rFonts w:hint="eastAsia"/>
        </w:rPr>
        <w:t>）。</w:t>
      </w:r>
    </w:p>
    <w:p>
      <w:pPr>
        <w:pStyle w:val="69"/>
      </w:pPr>
      <w:r>
        <w:drawing>
          <wp:inline distT="0" distB="0" distL="0" distR="0">
            <wp:extent cx="3053715" cy="2087245"/>
            <wp:effectExtent l="0" t="0" r="0" b="825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3064053" cy="2094670"/>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5. 5. 1</w:t>
      </w:r>
      <w:r>
        <w:fldChar w:fldCharType="end"/>
      </w:r>
      <w:r>
        <w:t xml:space="preserve">-2 </w:t>
      </w:r>
      <w:r>
        <w:rPr>
          <w:rFonts w:hint="eastAsia"/>
        </w:rPr>
        <w:t>梁端正弯矩受弯承载力计算简图</w:t>
      </w:r>
    </w:p>
    <w:p>
      <w:bookmarkStart w:id="272" w:name="_Ref167178110"/>
    </w:p>
    <w:p>
      <w:pPr>
        <w:pStyle w:val="4"/>
      </w:pPr>
      <w:bookmarkStart w:id="273" w:name="_Ref175687652"/>
      <w:r>
        <w:rPr>
          <w:rFonts w:hint="eastAsia"/>
        </w:rPr>
        <w:t>承载力极限状态下，自复位梁柱节点的梁柱结合面处的受弯承载力可按下列公式计算：</w:t>
      </w:r>
      <w:bookmarkEnd w:id="272"/>
      <w:bookmarkEnd w:id="273"/>
    </w:p>
    <w:p>
      <w:pPr>
        <w:pStyle w:val="85"/>
        <w:rPr>
          <w:rFonts w:cs="Times New Roman"/>
        </w:rPr>
      </w:pPr>
      <w:r>
        <w:rPr>
          <w:iCs/>
        </w:rPr>
        <w:tab/>
      </w: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k</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sk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pk</m:t>
            </m:r>
            <m:ctrlPr>
              <w:rPr>
                <w:rFonts w:ascii="Cambria Math" w:hAnsi="Cambria Math"/>
              </w:rPr>
            </m:ctrlPr>
          </m:sub>
        </m:sSub>
      </m:oMath>
      <w:r>
        <w:tab/>
      </w:r>
      <w:r>
        <w:rPr>
          <w:rFonts w:hint="eastAsia"/>
        </w:rPr>
        <w:t>（</w:t>
      </w:r>
      <w:r>
        <w:rPr>
          <w:rFonts w:cs="Times New Roman"/>
        </w:rPr>
        <w:fldChar w:fldCharType="begin"/>
      </w:r>
      <w:r>
        <w:instrText xml:space="preserve"> </w:instrText>
      </w:r>
      <w:r>
        <w:rPr>
          <w:rFonts w:hint="eastAsia"/>
        </w:rPr>
        <w:instrText xml:space="preserve">REF _Ref175687652 \r \h</w:instrText>
      </w:r>
      <w:r>
        <w:instrText xml:space="preserve"> </w:instrText>
      </w:r>
      <w:r>
        <w:rPr>
          <w:rFonts w:cs="Times New Roman"/>
        </w:rPr>
        <w:fldChar w:fldCharType="separate"/>
      </w:r>
      <w:r>
        <w:t>5. 5. 2</w:t>
      </w:r>
      <w:r>
        <w:rPr>
          <w:rFonts w:cs="Times New Roman"/>
        </w:rPr>
        <w:fldChar w:fldCharType="end"/>
      </w:r>
      <w:r>
        <w:rPr>
          <w:rFonts w:hint="eastAsia"/>
        </w:rPr>
        <w:t>-</w:t>
      </w:r>
      <w:r>
        <w:t>1</w:t>
      </w:r>
      <w:r>
        <w:rPr>
          <w:rFonts w:hint="eastAsia"/>
        </w:rPr>
        <w:t>）</w:t>
      </w:r>
    </w:p>
    <w:p>
      <w:pPr>
        <w:pStyle w:val="85"/>
        <w:rPr>
          <w:rFonts w:cs="Times New Roman"/>
        </w:rPr>
      </w:pPr>
      <w:r>
        <w:rPr>
          <w:iCs/>
        </w:rPr>
        <w:tab/>
      </w:r>
      <m:oMath>
        <m:sSub>
          <m:sSubPr>
            <m:ctrlPr>
              <w:rPr>
                <w:rFonts w:ascii="Cambria Math" w:hAnsi="Cambria Math"/>
                <w:iCs/>
              </w:rPr>
            </m:ctrlPr>
          </m:sSubPr>
          <m:e>
            <m:r>
              <m:rPr/>
              <w:rPr>
                <w:rFonts w:ascii="Cambria Math" w:hAnsi="Cambria Math"/>
              </w:rPr>
              <m:t>M</m:t>
            </m:r>
            <m:ctrlPr>
              <w:rPr>
                <w:rFonts w:ascii="Cambria Math" w:hAnsi="Cambria Math"/>
                <w:iCs/>
              </w:rPr>
            </m:ctrlPr>
          </m:e>
          <m:sub>
            <m:r>
              <m:rPr/>
              <w:rPr>
                <w:rFonts w:ascii="Cambria Math" w:hAnsi="Cambria Math"/>
              </w:rPr>
              <m:t>sk</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w:rPr>
                <w:rFonts w:ascii="Cambria Math" w:hAnsi="Cambria Math"/>
              </w:rPr>
              <m:t>A</m:t>
            </m:r>
            <m:ctrlPr>
              <w:rPr>
                <w:rFonts w:ascii="Cambria Math" w:hAnsi="Cambria Math"/>
                <w:iCs/>
              </w:rPr>
            </m:ctrlPr>
          </m:e>
          <m:sub>
            <m:r>
              <m:rPr/>
              <w:rPr>
                <w:rFonts w:ascii="Cambria Math" w:hAnsi="Cambria Math"/>
              </w:rPr>
              <m:t>s</m:t>
            </m:r>
            <m:ctrlPr>
              <w:rPr>
                <w:rFonts w:ascii="Cambria Math" w:hAnsi="Cambria Math"/>
                <w:iCs/>
              </w:rPr>
            </m:ctrlPr>
          </m:sub>
        </m:sSub>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yk</m:t>
            </m:r>
            <m:ctrlPr>
              <w:rPr>
                <w:rFonts w:ascii="Cambria Math" w:hAnsi="Cambria Math"/>
                <w:iCs/>
              </w:rPr>
            </m:ctrlPr>
          </m:sub>
        </m:sSub>
        <m:d>
          <m:dPr>
            <m:ctrlPr>
              <w:rPr>
                <w:rFonts w:ascii="Cambria Math" w:hAnsi="Cambria Math"/>
                <w:iCs/>
              </w:rPr>
            </m:ctrlPr>
          </m:dPr>
          <m:e>
            <m:sSub>
              <m:sSubPr>
                <m:ctrlPr>
                  <w:rPr>
                    <w:rFonts w:ascii="Cambria Math" w:hAnsi="Cambria Math"/>
                    <w:iCs/>
                  </w:rPr>
                </m:ctrlPr>
              </m:sSubPr>
              <m:e>
                <m:r>
                  <m:rPr/>
                  <w:rPr>
                    <w:rFonts w:ascii="Cambria Math" w:hAnsi="Cambria Math"/>
                  </w:rPr>
                  <m:t>ℎ</m:t>
                </m:r>
                <m:ctrlPr>
                  <w:rPr>
                    <w:rFonts w:ascii="Cambria Math" w:hAnsi="Cambria Math"/>
                    <w:iCs/>
                  </w:rPr>
                </m:ctrlPr>
              </m:e>
              <m:sub>
                <m:r>
                  <m:rPr>
                    <m:sty m:val="p"/>
                  </m:rPr>
                  <w:rPr>
                    <w:rFonts w:ascii="Cambria Math" w:hAnsi="Cambria Math"/>
                  </w:rPr>
                  <m:t>0</m:t>
                </m:r>
                <m:ctrlPr>
                  <w:rPr>
                    <w:rFonts w:ascii="Cambria Math" w:hAnsi="Cambria Math"/>
                    <w:iCs/>
                  </w:rPr>
                </m:ctrlPr>
              </m:sub>
            </m:sSub>
            <m:r>
              <m:rPr>
                <m:sty m:val="p"/>
              </m:rPr>
              <w:rPr>
                <w:rFonts w:ascii="Cambria Math" w:hAnsi="Cambria Math"/>
              </w:rPr>
              <m:t>−0.5</m:t>
            </m:r>
            <m:r>
              <m:rPr/>
              <w:rPr>
                <w:rFonts w:ascii="Cambria Math" w:hAnsi="Cambria Math"/>
              </w:rPr>
              <m:t>x</m:t>
            </m:r>
            <m:ctrlPr>
              <w:rPr>
                <w:rFonts w:ascii="Cambria Math" w:hAnsi="Cambria Math"/>
                <w:iCs/>
              </w:rPr>
            </m:ctrlPr>
          </m:e>
        </m:d>
        <m:r>
          <m:rPr>
            <m:sty m:val="p"/>
          </m:rPr>
          <w:rPr>
            <w:rFonts w:ascii="Cambria Math" w:hAnsi="Cambria Math"/>
          </w:rPr>
          <m:t>−</m:t>
        </m:r>
        <m:sSub>
          <m:sSubPr>
            <m:ctrlPr>
              <w:rPr>
                <w:rFonts w:ascii="Cambria Math" w:hAnsi="Cambria Math"/>
                <w:iCs/>
              </w:rPr>
            </m:ctrlPr>
          </m:sSubPr>
          <m:e>
            <m:r>
              <m:rPr/>
              <w:rPr>
                <w:rFonts w:ascii="Cambria Math" w:hAnsi="Cambria Math"/>
              </w:rPr>
              <m:t>A</m:t>
            </m:r>
            <m:ctrlPr>
              <w:rPr>
                <w:rFonts w:ascii="Cambria Math" w:hAnsi="Cambria Math"/>
                <w:iCs/>
              </w:rPr>
            </m:ctrlPr>
          </m:e>
          <m:sub>
            <m:r>
              <m:rPr/>
              <w:rPr>
                <w:rFonts w:ascii="Cambria Math" w:hAnsi="Cambria Math"/>
              </w:rPr>
              <m:t>s</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w:rPr>
                <w:rFonts w:ascii="Cambria Math" w:hAnsi="Cambria Math"/>
              </w:rPr>
              <m:t>f</m:t>
            </m:r>
            <m:ctrlPr>
              <w:rPr>
                <w:rFonts w:ascii="Cambria Math" w:hAnsi="Cambria Math"/>
                <w:iCs/>
              </w:rPr>
            </m:ctrlPr>
          </m:e>
          <m:sub>
            <m:r>
              <m:rPr/>
              <w:rPr>
                <w:rFonts w:ascii="Cambria Math" w:hAnsi="Cambria Math"/>
              </w:rPr>
              <m:t>yk</m:t>
            </m:r>
            <m:ctrlPr>
              <w:rPr>
                <w:rFonts w:ascii="Cambria Math" w:hAnsi="Cambria Math"/>
                <w:iCs/>
              </w:rPr>
            </m:ctrlP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w:rPr>
                    <w:rFonts w:ascii="Cambria Math" w:hAnsi="Cambria Math"/>
                  </w:rPr>
                  <m:t>a</m:t>
                </m:r>
                <m:ctrlPr>
                  <w:rPr>
                    <w:rFonts w:ascii="Cambria Math" w:hAnsi="Cambria Math"/>
                    <w:iCs/>
                  </w:rPr>
                </m:ctrlPr>
              </m:e>
              <m:sub>
                <m:r>
                  <m:rPr/>
                  <w:rPr>
                    <w:rFonts w:ascii="Cambria Math" w:hAnsi="Cambria Math"/>
                  </w:rPr>
                  <m:t>s</m:t>
                </m:r>
                <m:ctrlPr>
                  <w:rPr>
                    <w:rFonts w:ascii="Cambria Math" w:hAnsi="Cambria Math"/>
                    <w:iCs/>
                  </w:rPr>
                </m:ctrlPr>
              </m:sub>
            </m:sSub>
            <m:r>
              <m:rPr>
                <m:sty m:val="p"/>
              </m:rPr>
              <w:rPr>
                <w:rFonts w:ascii="Cambria Math" w:hAnsi="Cambria Math"/>
              </w:rPr>
              <m:t>'−0.5</m:t>
            </m:r>
            <m:r>
              <m:rPr/>
              <w:rPr>
                <w:rFonts w:ascii="Cambria Math" w:hAnsi="Cambria Math"/>
              </w:rPr>
              <m:t>x</m:t>
            </m:r>
            <m:ctrlPr>
              <w:rPr>
                <w:rFonts w:ascii="Cambria Math" w:hAnsi="Cambria Math"/>
                <w:iCs/>
              </w:rPr>
            </m:ctrlPr>
          </m:e>
        </m:d>
      </m:oMath>
      <w:r>
        <w:rPr>
          <w:rFonts w:cs="Times New Roman"/>
        </w:rPr>
        <w:tab/>
      </w:r>
      <w:r>
        <w:rPr>
          <w:rFonts w:hint="eastAsia" w:cs="Times New Roman"/>
        </w:rPr>
        <w:t>（</w:t>
      </w:r>
      <w:r>
        <w:rPr>
          <w:rFonts w:cs="Times New Roman"/>
        </w:rPr>
        <w:fldChar w:fldCharType="begin"/>
      </w:r>
      <w:r>
        <w:instrText xml:space="preserve"> </w:instrText>
      </w:r>
      <w:r>
        <w:rPr>
          <w:rFonts w:hint="eastAsia"/>
        </w:rPr>
        <w:instrText xml:space="preserve">REF _Ref175687652 \r \h</w:instrText>
      </w:r>
      <w:r>
        <w:instrText xml:space="preserve"> </w:instrText>
      </w:r>
      <w:r>
        <w:rPr>
          <w:rFonts w:cs="Times New Roman"/>
        </w:rPr>
        <w:fldChar w:fldCharType="separate"/>
      </w:r>
      <w:r>
        <w:t>5. 5. 2</w:t>
      </w:r>
      <w:r>
        <w:rPr>
          <w:rFonts w:cs="Times New Roman"/>
        </w:rPr>
        <w:fldChar w:fldCharType="end"/>
      </w:r>
      <w:r>
        <w:rPr>
          <w:rFonts w:hint="eastAsia" w:cs="Times New Roman"/>
        </w:rPr>
        <w:t>-</w:t>
      </w:r>
      <w:r>
        <w:rPr>
          <w:rFonts w:cs="Times New Roman"/>
        </w:rPr>
        <w:t>2</w:t>
      </w:r>
      <w:r>
        <w:rPr>
          <w:rFonts w:hint="eastAsia" w:cs="Times New Roman"/>
        </w:rPr>
        <w:t>）</w:t>
      </w:r>
    </w:p>
    <w:p>
      <w:pPr>
        <w:pStyle w:val="85"/>
        <w:rPr>
          <w:rFonts w:cs="Times New Roman"/>
        </w:rPr>
      </w:pPr>
      <w:r>
        <w:rPr>
          <w:iCs/>
        </w:rPr>
        <w:tab/>
      </w:r>
      <m:oMath>
        <m:sSub>
          <m:sSubPr>
            <m:ctrlPr>
              <w:rPr>
                <w:rFonts w:ascii="Cambria Math" w:hAnsi="Cambria Math"/>
                <w:i/>
                <w:iCs/>
              </w:rPr>
            </m:ctrlPr>
          </m:sSubPr>
          <m:e>
            <m:r>
              <m:rPr/>
              <w:rPr>
                <w:rFonts w:ascii="Cambria Math" w:hAnsi="Cambria Math"/>
              </w:rPr>
              <m:t>M</m:t>
            </m:r>
            <m:ctrlPr>
              <w:rPr>
                <w:rFonts w:ascii="Cambria Math" w:hAnsi="Cambria Math"/>
                <w:i/>
                <w:iCs/>
              </w:rPr>
            </m:ctrlPr>
          </m:e>
          <m:sub>
            <m:r>
              <m:rPr/>
              <w:rPr>
                <w:rFonts w:ascii="Cambria Math" w:hAnsi="Cambria Math"/>
              </w:rPr>
              <m:t>pk</m:t>
            </m:r>
            <m:ctrlPr>
              <w:rPr>
                <w:rFonts w:ascii="Cambria Math" w:hAnsi="Cambria Math"/>
                <w:i/>
                <w:iCs/>
              </w:rPr>
            </m:ctrlPr>
          </m:sub>
        </m:sSub>
        <m:r>
          <m:rPr/>
          <w:rPr>
            <w:rFonts w:ascii="Cambria Math" w:hAnsi="Cambria Math"/>
          </w:rPr>
          <m:t>=0.7</m:t>
        </m:r>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p</m:t>
            </m:r>
            <m:ctrlPr>
              <w:rPr>
                <w:rFonts w:ascii="Cambria Math" w:hAnsi="Cambria Math"/>
                <w:i/>
                <w:iCs/>
              </w:rPr>
            </m:ctrlPr>
          </m:sub>
        </m:sSub>
        <m:d>
          <m:dPr>
            <m:ctrlPr>
              <w:rPr>
                <w:rFonts w:ascii="Cambria Math" w:hAnsi="Cambria Math"/>
                <w:iCs/>
              </w:rPr>
            </m:ctrlPr>
          </m:dPr>
          <m:e>
            <m:f>
              <m:fPr>
                <m:ctrlPr>
                  <w:rPr>
                    <w:rFonts w:ascii="Cambria Math" w:hAnsi="Cambria Math"/>
                    <w:iCs/>
                  </w:rPr>
                </m:ctrlPr>
              </m:fPr>
              <m:num>
                <m:r>
                  <m:rPr/>
                  <w:rPr>
                    <w:rFonts w:ascii="Cambria Math" w:hAnsi="Cambria Math"/>
                  </w:rPr>
                  <m:t>ℎ−x</m:t>
                </m:r>
                <m:ctrlPr>
                  <w:rPr>
                    <w:rFonts w:ascii="Cambria Math" w:hAnsi="Cambria Math"/>
                    <w:i/>
                    <w:iCs/>
                  </w:rPr>
                </m:ctrlPr>
              </m:num>
              <m:den>
                <m:r>
                  <m:rPr/>
                  <w:rPr>
                    <w:rFonts w:ascii="Cambria Math" w:hAnsi="Cambria Math"/>
                  </w:rPr>
                  <m:t>2</m:t>
                </m:r>
                <m:ctrlPr>
                  <w:rPr>
                    <w:rFonts w:ascii="Cambria Math" w:hAnsi="Cambria Math"/>
                    <w:i/>
                    <w:iCs/>
                  </w:rPr>
                </m:ctrlPr>
              </m:den>
            </m:f>
            <m:ctrlPr>
              <w:rPr>
                <w:rFonts w:ascii="Cambria Math" w:hAnsi="Cambria Math"/>
                <w:i/>
                <w:iCs/>
              </w:rPr>
            </m:ctrlPr>
          </m:e>
        </m:d>
      </m:oMath>
      <w:r>
        <w:tab/>
      </w:r>
      <w:r>
        <w:rPr>
          <w:rFonts w:hint="eastAsia"/>
        </w:rPr>
        <w:t>（</w:t>
      </w:r>
      <w:r>
        <w:rPr>
          <w:rFonts w:cs="Times New Roman"/>
        </w:rPr>
        <w:fldChar w:fldCharType="begin"/>
      </w:r>
      <w:r>
        <w:instrText xml:space="preserve"> </w:instrText>
      </w:r>
      <w:r>
        <w:rPr>
          <w:rFonts w:hint="eastAsia"/>
        </w:rPr>
        <w:instrText xml:space="preserve">REF _Ref175687652 \r \h</w:instrText>
      </w:r>
      <w:r>
        <w:instrText xml:space="preserve"> </w:instrText>
      </w:r>
      <w:r>
        <w:rPr>
          <w:rFonts w:cs="Times New Roman"/>
        </w:rPr>
        <w:fldChar w:fldCharType="separate"/>
      </w:r>
      <w:r>
        <w:t>5. 5. 2</w:t>
      </w:r>
      <w:r>
        <w:rPr>
          <w:rFonts w:cs="Times New Roman"/>
        </w:rPr>
        <w:fldChar w:fldCharType="end"/>
      </w:r>
      <w:r>
        <w:rPr>
          <w:rFonts w:hint="eastAsia"/>
        </w:rPr>
        <w:t>-</w:t>
      </w:r>
      <w:r>
        <w:t>3</w:t>
      </w:r>
      <w:r>
        <w:rPr>
          <w:rFonts w:hint="eastAsia"/>
        </w:rPr>
        <w:t>）</w:t>
      </w:r>
    </w:p>
    <w:p>
      <w:pPr>
        <w:pStyle w:val="85"/>
        <w:rPr>
          <w:rFonts w:cs="Times New Roman"/>
        </w:rPr>
      </w:pPr>
      <w:r>
        <w:rPr>
          <w:rFonts w:cs="Times New Roman"/>
        </w:rPr>
        <w:tab/>
      </w:r>
      <m:oMath>
        <m:r>
          <m:rPr/>
          <w:rPr>
            <w:rFonts w:ascii="XITS Math" w:hAnsi="XITS Math"/>
          </w:rPr>
          <m:t>x</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0.7</m:t>
                </m:r>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r>
              <m:rPr>
                <m:sty m:val="p"/>
              </m:rPr>
              <w:rPr>
                <w:rFonts w:ascii="Cambria Math" w:hAnsi="Cambria Math"/>
              </w:rPr>
              <m:t>'</m:t>
            </m:r>
            <m:ctrlPr>
              <w:rPr>
                <w:rFonts w:ascii="Cambria Math" w:hAnsi="Cambria Math"/>
              </w:rPr>
            </m:ctrlPr>
          </m:num>
          <m:den>
            <m:r>
              <m:rPr/>
              <w:rPr>
                <w:rFonts w:ascii="Cambria Math" w:hAnsi="Cambria Math"/>
              </w:rPr>
              <m:t>b</m:t>
            </m:r>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1</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ck</m:t>
                </m:r>
                <m:ctrlPr>
                  <w:rPr>
                    <w:rFonts w:ascii="Cambria Math" w:hAnsi="Cambria Math"/>
                  </w:rPr>
                </m:ctrlPr>
              </m:sub>
            </m:sSub>
            <m:ctrlPr>
              <w:rPr>
                <w:rFonts w:ascii="Cambria Math" w:hAnsi="Cambria Math"/>
              </w:rPr>
            </m:ctrlPr>
          </m:den>
        </m:f>
      </m:oMath>
      <w:r>
        <w:tab/>
      </w:r>
      <w:r>
        <w:rPr>
          <w:rFonts w:hint="eastAsia" w:cs="Times New Roman"/>
        </w:rPr>
        <w:t>（</w:t>
      </w:r>
      <w:r>
        <w:rPr>
          <w:rFonts w:cs="Times New Roman"/>
        </w:rPr>
        <w:fldChar w:fldCharType="begin"/>
      </w:r>
      <w:r>
        <w:instrText xml:space="preserve"> </w:instrText>
      </w:r>
      <w:r>
        <w:rPr>
          <w:rFonts w:hint="eastAsia"/>
        </w:rPr>
        <w:instrText xml:space="preserve">REF _Ref175687652 \r \h</w:instrText>
      </w:r>
      <w:r>
        <w:instrText xml:space="preserve"> </w:instrText>
      </w:r>
      <w:r>
        <w:rPr>
          <w:rFonts w:cs="Times New Roman"/>
        </w:rPr>
        <w:fldChar w:fldCharType="separate"/>
      </w:r>
      <w:r>
        <w:t>5. 5. 2</w:t>
      </w:r>
      <w:r>
        <w:rPr>
          <w:rFonts w:cs="Times New Roman"/>
        </w:rPr>
        <w:fldChar w:fldCharType="end"/>
      </w:r>
      <w:r>
        <w:rPr>
          <w:rFonts w:hint="eastAsia" w:cs="Times New Roman"/>
        </w:rPr>
        <w:t>-</w:t>
      </w:r>
      <w:r>
        <w:rPr>
          <w:rFonts w:cs="Times New Roman"/>
        </w:rPr>
        <w:t>4</w:t>
      </w:r>
      <w:r>
        <w:rPr>
          <w:rFonts w:hint="eastAsia" w:cs="Times New Roman"/>
        </w:rPr>
        <w:t>）</w:t>
      </w:r>
    </w:p>
    <w:p>
      <w:pPr>
        <w:pStyle w:val="86"/>
      </w:pPr>
      <w:r>
        <w:rPr>
          <w:rFonts w:hint="eastAsia"/>
        </w:rPr>
        <w:t xml:space="preserve">式中： </w:t>
      </w: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k</m:t>
            </m:r>
            <m:ctrlPr>
              <w:rPr>
                <w:rFonts w:ascii="Cambria Math" w:hAnsi="Cambria Math"/>
              </w:rPr>
            </m:ctrlPr>
          </m:sub>
        </m:sSub>
      </m:oMath>
      <w:r>
        <w:t>——</w:t>
      </w:r>
      <w:r>
        <w:rPr>
          <w:rFonts w:hint="eastAsia"/>
        </w:rPr>
        <w:t>梁端结合面受弯承载力标准值（N·mm）；</w:t>
      </w:r>
    </w:p>
    <w:p>
      <w:pPr>
        <w:pStyle w:val="86"/>
      </w:pPr>
      <w:r>
        <w:rPr>
          <w:iCs/>
        </w:rPr>
        <w:tab/>
      </w:r>
      <m:oMath>
        <m:sSub>
          <m:sSubPr>
            <m:ctrlPr>
              <w:rPr>
                <w:rFonts w:ascii="Cambria Math" w:hAnsi="Cambria Math"/>
                <w:i/>
                <w:iCs/>
              </w:rPr>
            </m:ctrlPr>
          </m:sSubPr>
          <m:e>
            <m:r>
              <m:rPr/>
              <w:rPr>
                <w:rFonts w:ascii="Cambria Math" w:hAnsi="Cambria Math"/>
              </w:rPr>
              <m:t>M</m:t>
            </m:r>
            <m:ctrlPr>
              <w:rPr>
                <w:rFonts w:ascii="Cambria Math" w:hAnsi="Cambria Math"/>
                <w:i/>
                <w:iCs/>
              </w:rPr>
            </m:ctrlPr>
          </m:e>
          <m:sub>
            <m:r>
              <m:rPr/>
              <w:rPr>
                <w:rFonts w:ascii="Cambria Math" w:hAnsi="Cambria Math"/>
              </w:rPr>
              <m:t>sk</m:t>
            </m:r>
            <m:ctrlPr>
              <w:rPr>
                <w:rFonts w:ascii="Cambria Math" w:hAnsi="Cambria Math"/>
                <w:i/>
                <w:iCs/>
              </w:rPr>
            </m:ctrlPr>
          </m:sub>
        </m:sSub>
      </m:oMath>
      <w:r>
        <w:t>——</w:t>
      </w:r>
      <w:r>
        <w:tab/>
      </w:r>
      <w:r>
        <w:rPr>
          <w:rFonts w:hint="eastAsia"/>
        </w:rPr>
        <w:t>耗能钢筋在结合面处贡献的受弯承载力标准值（N·mm）；</w:t>
      </w:r>
    </w:p>
    <w:p>
      <w:pPr>
        <w:pStyle w:val="86"/>
      </w:pPr>
      <w:r>
        <w:rPr>
          <w:iCs/>
        </w:rPr>
        <w:tab/>
      </w:r>
      <m:oMath>
        <m:sSub>
          <m:sSubPr>
            <m:ctrlPr>
              <w:rPr>
                <w:rFonts w:ascii="Cambria Math" w:hAnsi="Cambria Math"/>
                <w:i/>
                <w:iCs/>
              </w:rPr>
            </m:ctrlPr>
          </m:sSubPr>
          <m:e>
            <m:r>
              <m:rPr/>
              <w:rPr>
                <w:rFonts w:ascii="Cambria Math" w:hAnsi="Cambria Math"/>
              </w:rPr>
              <m:t>M</m:t>
            </m:r>
            <m:ctrlPr>
              <w:rPr>
                <w:rFonts w:ascii="Cambria Math" w:hAnsi="Cambria Math"/>
                <w:i/>
                <w:iCs/>
              </w:rPr>
            </m:ctrlPr>
          </m:e>
          <m:sub>
            <m:r>
              <m:rPr/>
              <w:rPr>
                <w:rFonts w:ascii="Cambria Math" w:hAnsi="Cambria Math"/>
              </w:rPr>
              <m:t>pk</m:t>
            </m:r>
            <m:ctrlPr>
              <w:rPr>
                <w:rFonts w:ascii="Cambria Math" w:hAnsi="Cambria Math"/>
                <w:i/>
                <w:iCs/>
              </w:rPr>
            </m:ctrlPr>
          </m:sub>
        </m:sSub>
      </m:oMath>
      <w:r>
        <w:t>——</w:t>
      </w:r>
      <w:r>
        <w:tab/>
      </w:r>
      <w:r>
        <w:rPr>
          <w:rFonts w:hint="eastAsia"/>
        </w:rPr>
        <w:t>无粘接预应力筋在结合面处贡献的受弯承载力标准值（N·mm）;</w:t>
      </w:r>
    </w:p>
    <w:p>
      <w:pPr>
        <w:pStyle w:val="86"/>
      </w:pPr>
      <w:r>
        <w:tab/>
      </w:r>
      <m:oMath>
        <m:r>
          <m:rPr/>
          <w:rPr>
            <w:rFonts w:ascii="Cambria Math" w:hAnsi="Cambria Math"/>
          </w:rPr>
          <m:t>x</m:t>
        </m:r>
      </m:oMath>
      <w:r>
        <w:t>——</w:t>
      </w:r>
      <w:r>
        <w:tab/>
      </w:r>
      <w:r>
        <w:rPr>
          <w:rFonts w:hint="eastAsia"/>
        </w:rPr>
        <w:t>等效矩形应力图形的混凝土受压区高度（mm），小于</w:t>
      </w:r>
      <m:oMath>
        <m:r>
          <m:rPr>
            <m:sty m:val="p"/>
          </m:rPr>
          <w:rPr>
            <w:rFonts w:ascii="Cambria Math" w:hAnsi="Cambria Math"/>
          </w:rPr>
          <m:t>2</m:t>
        </m:r>
        <m:sSub>
          <m:sSubPr>
            <m:ctrlPr>
              <w:rPr>
                <w:rFonts w:ascii="Cambria Math" w:hAnsi="Cambria Math"/>
                <w:iCs/>
              </w:rPr>
            </m:ctrlPr>
          </m:sSubPr>
          <m:e>
            <m:r>
              <m:rPr/>
              <w:rPr>
                <w:rFonts w:ascii="Cambria Math" w:hAnsi="Cambria Math"/>
              </w:rPr>
              <m:t>a</m:t>
            </m:r>
            <m:ctrlPr>
              <w:rPr>
                <w:rFonts w:ascii="Cambria Math" w:hAnsi="Cambria Math"/>
                <w:iCs/>
              </w:rPr>
            </m:ctrlPr>
          </m:e>
          <m:sub>
            <m:r>
              <m:rPr>
                <m:sty m:val="p"/>
              </m:rPr>
              <w:rPr>
                <w:rFonts w:ascii="Cambria Math" w:hAnsi="Cambria Math"/>
              </w:rPr>
              <m:t>s</m:t>
            </m:r>
            <m:ctrlPr>
              <w:rPr>
                <w:rFonts w:ascii="Cambria Math" w:hAnsi="Cambria Math"/>
                <w:iCs/>
              </w:rPr>
            </m:ctrlPr>
          </m:sub>
        </m:sSub>
        <m:r>
          <m:rPr>
            <m:sty m:val="p"/>
          </m:rPr>
          <w:rPr>
            <w:rFonts w:ascii="Cambria Math" w:hAnsi="Cambria Math"/>
          </w:rPr>
          <m:t>'</m:t>
        </m:r>
      </m:oMath>
      <w:r>
        <w:rPr>
          <w:rFonts w:hint="eastAsia"/>
        </w:rPr>
        <w:t>时，应取为</w:t>
      </w:r>
      <m:oMath>
        <m:r>
          <m:rPr>
            <m:sty m:val="p"/>
          </m:rPr>
          <w:rPr>
            <w:rFonts w:ascii="Cambria Math" w:hAnsi="Cambria Math"/>
          </w:rPr>
          <m:t>2</m:t>
        </m:r>
        <m:sSub>
          <m:sSubPr>
            <m:ctrlPr>
              <w:rPr>
                <w:rFonts w:ascii="Cambria Math" w:hAnsi="Cambria Math"/>
                <w:iCs/>
              </w:rPr>
            </m:ctrlPr>
          </m:sSubPr>
          <m:e>
            <m:r>
              <m:rPr/>
              <w:rPr>
                <w:rFonts w:ascii="Cambria Math" w:hAnsi="Cambria Math"/>
              </w:rPr>
              <m:t>a</m:t>
            </m:r>
            <m:ctrlPr>
              <w:rPr>
                <w:rFonts w:ascii="Cambria Math" w:hAnsi="Cambria Math"/>
                <w:iCs/>
              </w:rPr>
            </m:ctrlPr>
          </m:e>
          <m:sub>
            <m:r>
              <m:rPr>
                <m:sty m:val="p"/>
              </m:rPr>
              <w:rPr>
                <w:rFonts w:ascii="Cambria Math" w:hAnsi="Cambria Math"/>
              </w:rPr>
              <m:t>s</m:t>
            </m:r>
            <m:ctrlPr>
              <w:rPr>
                <w:rFonts w:ascii="Cambria Math" w:hAnsi="Cambria Math"/>
                <w:iCs/>
              </w:rPr>
            </m:ctrlPr>
          </m:sub>
        </m:sSub>
        <m:r>
          <m:rPr>
            <m:sty m:val="p"/>
          </m:rPr>
          <w:rPr>
            <w:rFonts w:ascii="Cambria Math" w:hAnsi="Cambria Math"/>
          </w:rPr>
          <m:t>'</m:t>
        </m:r>
      </m:oMath>
      <w:r>
        <w:rPr>
          <w:rFonts w:hint="eastAsia"/>
        </w:rPr>
        <w:t>；</w:t>
      </w:r>
    </w:p>
    <w:p>
      <w:pPr>
        <w:pStyle w:val="86"/>
      </w:pPr>
      <w:r>
        <w:tab/>
      </w:r>
      <m:oMath>
        <m:r>
          <m:rPr/>
          <w:rPr>
            <w:rFonts w:ascii="Cambria Math" w:hAnsi="Cambria Math"/>
          </w:rPr>
          <m:t>b</m:t>
        </m:r>
      </m:oMath>
      <w:r>
        <w:t>——</w:t>
      </w:r>
      <w:r>
        <w:tab/>
      </w:r>
      <w:r>
        <w:rPr>
          <w:rFonts w:hint="eastAsia"/>
        </w:rPr>
        <w:t>预制混凝土梁截面宽度（mm）;</w:t>
      </w:r>
    </w:p>
    <w:p>
      <w:pPr>
        <w:pStyle w:val="86"/>
      </w:pPr>
      <w:r>
        <w:tab/>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m:rPr/>
              <w:rPr>
                <w:rFonts w:ascii="Cambria Math" w:hAnsi="Cambria Math"/>
              </w:rPr>
              <m:t>1</m:t>
            </m:r>
            <m:ctrlPr>
              <w:rPr>
                <w:rFonts w:ascii="Cambria Math" w:hAnsi="Cambria Math"/>
                <w:i/>
              </w:rPr>
            </m:ctrlPr>
          </m:sub>
        </m:sSub>
      </m:oMath>
      <w:r>
        <w:t>——</w:t>
      </w:r>
      <w:r>
        <w:tab/>
      </w:r>
      <w:r>
        <w:rPr>
          <w:rFonts w:hint="eastAsia"/>
        </w:rPr>
        <w:t>系数，按现行国家标准《混凝土结构设计标准》GB</w:t>
      </w:r>
      <w:r>
        <w:t>/T 50010</w:t>
      </w:r>
      <w:r>
        <w:rPr>
          <w:rFonts w:hint="eastAsia"/>
        </w:rPr>
        <w:t>的规定取值;</w:t>
      </w:r>
    </w:p>
    <w:p>
      <w:pPr>
        <w:pStyle w:val="86"/>
      </w:pPr>
      <w:r>
        <w:tab/>
      </w:r>
      <m:oMath>
        <m:sSubSup>
          <m:sSubSupPr>
            <m:ctrlPr>
              <w:rPr>
                <w:rFonts w:ascii="Cambria Math" w:hAnsi="Cambria Math"/>
                <w:i/>
              </w:rPr>
            </m:ctrlPr>
          </m:sSubSupPr>
          <m:e>
            <m:r>
              <m:rPr/>
              <w:rPr>
                <w:rFonts w:ascii="Cambria Math" w:hAnsi="Cambria Math"/>
              </w:rPr>
              <m:t>α</m:t>
            </m:r>
            <m:ctrlPr>
              <w:rPr>
                <w:rFonts w:ascii="Cambria Math" w:hAnsi="Cambria Math"/>
              </w:rPr>
            </m:ctrlPr>
          </m:e>
          <m:sub>
            <m:r>
              <m:rPr/>
              <w:rPr>
                <w:rFonts w:ascii="Cambria Math" w:hAnsi="Cambria Math"/>
              </w:rPr>
              <m:t>s</m:t>
            </m:r>
            <m:ctrlPr>
              <w:rPr>
                <w:rFonts w:ascii="Cambria Math" w:hAnsi="Cambria Math"/>
                <w:i/>
              </w:rPr>
            </m:ctrlPr>
          </m:sub>
          <m:sup>
            <m:r>
              <m:rPr/>
              <w:rPr>
                <w:rFonts w:ascii="Cambria Math" w:hAnsi="Cambria Math"/>
              </w:rPr>
              <m:t>'</m:t>
            </m:r>
            <m:ctrlPr>
              <w:rPr>
                <w:rFonts w:ascii="Cambria Math" w:hAnsi="Cambria Math"/>
                <w:i/>
              </w:rPr>
            </m:ctrlPr>
          </m:sup>
        </m:sSubSup>
      </m:oMath>
      <w:r>
        <w:t>——</w:t>
      </w:r>
      <w:r>
        <w:tab/>
      </w:r>
      <w:r>
        <w:rPr>
          <w:rFonts w:hint="eastAsia"/>
        </w:rPr>
        <w:t>受压耗能钢筋到梁截面受压边缘的距离（mm）;</w:t>
      </w:r>
    </w:p>
    <w:p>
      <w:pPr>
        <w:pStyle w:val="86"/>
      </w:pPr>
      <w:r>
        <w:tab/>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t>——</w:t>
      </w:r>
      <w:r>
        <w:tab/>
      </w:r>
      <w:r>
        <w:rPr>
          <w:rFonts w:hint="eastAsia"/>
        </w:rPr>
        <w:t>预制构件混凝土轴心抗压强度设计值（N</w:t>
      </w:r>
      <w:r>
        <w:t>/</w:t>
      </w:r>
      <w:r>
        <w:rPr>
          <w:rFonts w:hint="eastAsia"/>
        </w:rPr>
        <w:t>mm</w:t>
      </w:r>
      <w:r>
        <w:rPr>
          <w:vertAlign w:val="superscript"/>
        </w:rPr>
        <w:t>2</w:t>
      </w:r>
      <w:r>
        <w:rPr>
          <w:rFonts w:hint="eastAsia"/>
        </w:rPr>
        <w:t>）;</w:t>
      </w:r>
    </w:p>
    <w:p>
      <w:pPr>
        <w:pStyle w:val="86"/>
      </w:pPr>
      <w:r>
        <w:tab/>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s</m:t>
            </m:r>
            <m:ctrlPr>
              <w:rPr>
                <w:rFonts w:ascii="Cambria Math" w:hAnsi="Cambria Math"/>
                <w:i/>
              </w:rPr>
            </m:ctrlPr>
          </m:sub>
        </m:sSub>
      </m:oMath>
      <w:r>
        <w:t>——</w:t>
      </w:r>
      <w:r>
        <w:tab/>
      </w:r>
      <w:r>
        <w:rPr>
          <w:rFonts w:hint="eastAsia"/>
        </w:rPr>
        <w:t>穿过结合面的受拉耗能钢筋面积（mm</w:t>
      </w:r>
      <w:r>
        <w:rPr>
          <w:vertAlign w:val="superscript"/>
        </w:rPr>
        <w:t>2</w:t>
      </w:r>
      <w:r>
        <w:rPr>
          <w:rFonts w:hint="eastAsia"/>
        </w:rPr>
        <w:t>）;</w:t>
      </w:r>
    </w:p>
    <w:p>
      <w:pPr>
        <w:pStyle w:val="86"/>
      </w:pPr>
      <w:r>
        <w:tab/>
      </w:r>
      <m:oMath>
        <m:sSubSup>
          <m:sSubSupPr>
            <m:ctrlPr>
              <w:rPr>
                <w:rFonts w:ascii="Cambria Math" w:hAnsi="Cambria Math"/>
                <w:i/>
              </w:rPr>
            </m:ctrlPr>
          </m:sSubSupPr>
          <m:e>
            <m:r>
              <m:rPr/>
              <w:rPr>
                <w:rFonts w:ascii="Cambria Math" w:hAnsi="Cambria Math"/>
              </w:rPr>
              <m:t>A</m:t>
            </m:r>
            <m:ctrlPr>
              <w:rPr>
                <w:rFonts w:ascii="Cambria Math" w:hAnsi="Cambria Math"/>
                <w:i/>
              </w:rPr>
            </m:ctrlPr>
          </m:e>
          <m:sub>
            <m:r>
              <m:rPr/>
              <w:rPr>
                <w:rFonts w:ascii="Cambria Math" w:hAnsi="Cambria Math"/>
              </w:rPr>
              <m:t>s</m:t>
            </m:r>
            <m:ctrlPr>
              <w:rPr>
                <w:rFonts w:ascii="Cambria Math" w:hAnsi="Cambria Math"/>
                <w:i/>
              </w:rPr>
            </m:ctrlPr>
          </m:sub>
          <m:sup>
            <m:r>
              <m:rPr/>
              <w:rPr>
                <w:rFonts w:ascii="Cambria Math" w:hAnsi="Cambria Math"/>
              </w:rPr>
              <m:t>'</m:t>
            </m:r>
            <m:ctrlPr>
              <w:rPr>
                <w:rFonts w:ascii="Cambria Math" w:hAnsi="Cambria Math"/>
                <w:i/>
              </w:rPr>
            </m:ctrlPr>
          </m:sup>
        </m:sSubSup>
      </m:oMath>
      <w:r>
        <w:t>——</w:t>
      </w:r>
      <w:r>
        <w:tab/>
      </w:r>
      <w:r>
        <w:rPr>
          <w:rFonts w:hint="eastAsia"/>
        </w:rPr>
        <w:t>穿过结合面的受压耗能钢筋面积（mm</w:t>
      </w:r>
      <w:r>
        <w:rPr>
          <w:vertAlign w:val="superscript"/>
        </w:rPr>
        <w:t>2</w:t>
      </w:r>
      <w:r>
        <w:rPr>
          <w:rFonts w:hint="eastAsia"/>
        </w:rPr>
        <w:t>）;</w:t>
      </w:r>
    </w:p>
    <w:p>
      <w:pPr>
        <w:pStyle w:val="86"/>
      </w:pPr>
      <w:r>
        <w:tab/>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yk</m:t>
            </m:r>
            <m:ctrlPr>
              <w:rPr>
                <w:rFonts w:ascii="Cambria Math" w:hAnsi="Cambria Math"/>
                <w:i/>
              </w:rPr>
            </m:ctrlPr>
          </m:sub>
        </m:sSub>
      </m:oMath>
      <w:r>
        <w:t>——</w:t>
      </w:r>
      <w:r>
        <w:tab/>
      </w:r>
      <w:r>
        <w:rPr>
          <w:rFonts w:hint="eastAsia"/>
        </w:rPr>
        <w:t>穿过结合面的耗能钢筋抗拉强度标准值（N</w:t>
      </w:r>
      <w:r>
        <w:t>/</w:t>
      </w:r>
      <w:r>
        <w:rPr>
          <w:rFonts w:hint="eastAsia"/>
        </w:rPr>
        <w:t>mm</w:t>
      </w:r>
      <w:r>
        <w:rPr>
          <w:vertAlign w:val="superscript"/>
        </w:rPr>
        <w:t>2</w:t>
      </w:r>
      <w:r>
        <w:rPr>
          <w:rFonts w:hint="eastAsia"/>
        </w:rPr>
        <w:t>）;</w:t>
      </w:r>
    </w:p>
    <w:p>
      <w:pPr>
        <w:pStyle w:val="86"/>
      </w:pPr>
      <w:r>
        <w:tab/>
      </w:r>
      <m:oMath>
        <m:sSubSup>
          <m:sSubSupPr>
            <m:ctrlPr>
              <w:rPr>
                <w:rFonts w:ascii="Cambria Math" w:hAnsi="Cambria Math"/>
                <w:i/>
              </w:rPr>
            </m:ctrlPr>
          </m:sSubSupPr>
          <m:e>
            <m:r>
              <m:rPr/>
              <w:rPr>
                <w:rFonts w:ascii="Cambria Math" w:hAnsi="Cambria Math"/>
              </w:rPr>
              <m:t>f</m:t>
            </m:r>
            <m:ctrlPr>
              <w:rPr>
                <w:rFonts w:ascii="Cambria Math" w:hAnsi="Cambria Math"/>
                <w:i/>
              </w:rPr>
            </m:ctrlPr>
          </m:e>
          <m:sub>
            <m:r>
              <m:rPr/>
              <w:rPr>
                <w:rFonts w:ascii="Cambria Math" w:hAnsi="Cambria Math"/>
              </w:rPr>
              <m:t>y</m:t>
            </m:r>
            <m:r>
              <m:rPr/>
              <w:rPr>
                <w:rFonts w:hint="eastAsia" w:ascii="Cambria Math" w:hAnsi="Cambria Math"/>
              </w:rPr>
              <m:t>k</m:t>
            </m:r>
            <m:ctrlPr>
              <w:rPr>
                <w:rFonts w:ascii="Cambria Math" w:hAnsi="Cambria Math"/>
                <w:i/>
              </w:rPr>
            </m:ctrlPr>
          </m:sub>
          <m:sup>
            <m:r>
              <m:rPr/>
              <w:rPr>
                <w:rFonts w:ascii="Cambria Math" w:hAnsi="Cambria Math"/>
              </w:rPr>
              <m:t>'</m:t>
            </m:r>
            <m:ctrlPr>
              <w:rPr>
                <w:rFonts w:ascii="Cambria Math" w:hAnsi="Cambria Math"/>
                <w:i/>
              </w:rPr>
            </m:ctrlPr>
          </m:sup>
        </m:sSubSup>
      </m:oMath>
      <w:r>
        <w:t>——</w:t>
      </w:r>
      <w:r>
        <w:tab/>
      </w:r>
      <w:r>
        <w:rPr>
          <w:rFonts w:hint="eastAsia"/>
        </w:rPr>
        <w:t>穿过结合面的耗能钢筋抗压强度标准值（N</w:t>
      </w:r>
      <w:r>
        <w:t>/</w:t>
      </w:r>
      <w:r>
        <w:rPr>
          <w:rFonts w:hint="eastAsia"/>
        </w:rPr>
        <w:t>mm</w:t>
      </w:r>
      <w:r>
        <w:rPr>
          <w:vertAlign w:val="superscript"/>
        </w:rPr>
        <w:t>2</w:t>
      </w:r>
      <w:r>
        <w:rPr>
          <w:rFonts w:hint="eastAsia"/>
        </w:rPr>
        <w:t>）。</w:t>
      </w:r>
    </w:p>
    <w:p>
      <w:pPr>
        <w:pStyle w:val="69"/>
      </w:pPr>
      <w:r>
        <w:drawing>
          <wp:inline distT="0" distB="0" distL="0" distR="0">
            <wp:extent cx="3234055" cy="2216150"/>
            <wp:effectExtent l="0" t="0" r="4445"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3243531" cy="2222268"/>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5. 5. 2</w:t>
      </w:r>
      <w:r>
        <w:fldChar w:fldCharType="end"/>
      </w:r>
      <w:r>
        <w:t xml:space="preserve"> </w:t>
      </w:r>
      <w:r>
        <w:rPr>
          <w:rFonts w:hint="eastAsia"/>
        </w:rPr>
        <w:t>自复位梁柱节点结合面受弯承载力计算示意</w:t>
      </w:r>
    </w:p>
    <w:p>
      <w:pPr>
        <w:pStyle w:val="4"/>
      </w:pPr>
      <w:bookmarkStart w:id="274" w:name="_Ref167182077"/>
      <w:r>
        <w:rPr>
          <w:rFonts w:hint="eastAsia"/>
        </w:rPr>
        <w:t>自复位梁柱节点框架梁柱结合面处的耗能钢筋贡献的受弯承载力与受弯总承载力之比应符合下列规定：</w:t>
      </w:r>
      <w:bookmarkEnd w:id="274"/>
    </w:p>
    <w:p>
      <w:pPr>
        <w:pStyle w:val="85"/>
      </w:pPr>
      <w:r>
        <w:tab/>
      </w:r>
      <m:oMath>
        <m:r>
          <m:rPr/>
          <w:rPr>
            <w:rFonts w:ascii="Cambria Math" w:hAnsi="Cambria Math"/>
          </w:rPr>
          <m:t>0.3</m:t>
        </m:r>
        <m:r>
          <m:rPr>
            <m:sty m:val="p"/>
          </m:rPr>
          <w:rPr>
            <w:rFonts w:hint="eastAsia" w:ascii="Cambria Math" w:hAnsi="Cambria Math"/>
          </w:rPr>
          <m:t>≤</m:t>
        </m:r>
        <m:f>
          <m:fPr>
            <m:ctrlPr>
              <w:rPr>
                <w:rFonts w:ascii="Cambria Math" w:hAnsi="Cambria Math"/>
              </w:rPr>
            </m:ctrlPr>
          </m:fPr>
          <m:num>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s</m:t>
                </m:r>
                <m:r>
                  <m:rPr/>
                  <w:rPr>
                    <w:rFonts w:ascii="Cambria Math" w:hAnsi="Cambria Math"/>
                    <w:lang w:eastAsia="zh"/>
                  </w:rPr>
                  <m:t>k</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cs="Cambria Math"/>
                    <w:szCs w:val="24"/>
                    <w:lang w:eastAsia="zh"/>
                  </w:rPr>
                  <m:t>k</m:t>
                </m:r>
                <m:ctrlPr>
                  <w:rPr>
                    <w:rFonts w:ascii="Cambria Math" w:hAnsi="Cambria Math"/>
                    <w:i/>
                  </w:rPr>
                </m:ctrlPr>
              </m:sub>
            </m:sSub>
            <m:ctrlPr>
              <w:rPr>
                <w:rFonts w:ascii="Cambria Math" w:hAnsi="Cambria Math"/>
                <w:i/>
              </w:rPr>
            </m:ctrlPr>
          </m:den>
        </m:f>
        <m:r>
          <m:rPr>
            <m:sty m:val="p"/>
          </m:rPr>
          <w:rPr>
            <w:rFonts w:hint="eastAsia" w:ascii="Cambria Math" w:hAnsi="Cambria Math"/>
          </w:rPr>
          <m:t>≤</m:t>
        </m:r>
        <m:r>
          <m:rPr/>
          <w:rPr>
            <w:rFonts w:ascii="Cambria Math" w:hAnsi="Cambria Math"/>
          </w:rPr>
          <m:t>0.5</m:t>
        </m:r>
      </m:oMath>
      <w:r>
        <w:tab/>
      </w:r>
      <w:r>
        <w:rPr>
          <w:rFonts w:hint="eastAsia"/>
        </w:rPr>
        <w:t>（</w:t>
      </w:r>
      <w:r>
        <w:fldChar w:fldCharType="begin"/>
      </w:r>
      <w:r>
        <w:instrText xml:space="preserve"> </w:instrText>
      </w:r>
      <w:r>
        <w:rPr>
          <w:rFonts w:hint="eastAsia"/>
        </w:rPr>
        <w:instrText xml:space="preserve">REF _Ref167182077 \r \h</w:instrText>
      </w:r>
      <w:r>
        <w:instrText xml:space="preserve"> </w:instrText>
      </w:r>
      <w:r>
        <w:fldChar w:fldCharType="separate"/>
      </w:r>
      <w:r>
        <w:t>5. 5. 3</w:t>
      </w:r>
      <w:r>
        <w:fldChar w:fldCharType="end"/>
      </w:r>
      <w:r>
        <w:rPr>
          <w:rFonts w:hint="eastAsia"/>
        </w:rPr>
        <w:t>）</w:t>
      </w:r>
    </w:p>
    <w:p>
      <w:pPr>
        <w:pStyle w:val="86"/>
        <w:rPr>
          <w:lang w:eastAsia="zh"/>
        </w:rPr>
      </w:pPr>
      <w:r>
        <w:rPr>
          <w:rFonts w:hint="eastAsia"/>
        </w:rPr>
        <w:t>其中：</w:t>
      </w:r>
      <m:oMath>
        <m:r>
          <m:rPr>
            <m:sty m:val="p"/>
          </m:rPr>
          <w:rPr>
            <w:rFonts w:ascii="Cambria Math" w:hAnsi="Cambria Math" w:cs="Cambria Math"/>
            <w:lang w:eastAsia="zh"/>
          </w:rPr>
          <m:t xml:space="preserve"> </m:t>
        </m:r>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cs="Cambria Math"/>
                <w:lang w:eastAsia="zh"/>
              </w:rPr>
              <m:t>sk</m:t>
            </m:r>
            <m:ctrlPr>
              <w:rPr>
                <w:rFonts w:ascii="Cambria Math" w:hAnsi="Cambria Math"/>
              </w:rPr>
            </m:ctrlPr>
          </m:sub>
        </m:sSub>
      </m:oMath>
      <w:r>
        <w:rPr>
          <w:rFonts w:hint="eastAsia"/>
          <w:lang w:eastAsia="zh"/>
        </w:rPr>
        <w:t>和</w:t>
      </w: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cs="Cambria Math"/>
                <w:lang w:eastAsia="zh"/>
              </w:rPr>
              <m:t>sk</m:t>
            </m:r>
            <m:ctrlPr>
              <w:rPr>
                <w:rFonts w:ascii="Cambria Math" w:hAnsi="Cambria Math"/>
              </w:rPr>
            </m:ctrlPr>
          </m:sub>
        </m:sSub>
      </m:oMath>
      <w:r>
        <w:rPr>
          <w:rFonts w:hint="eastAsia"/>
          <w:lang w:eastAsia="zh"/>
        </w:rPr>
        <w:t>由</w:t>
      </w:r>
      <w:r>
        <w:rPr>
          <w:lang w:eastAsia="zh"/>
        </w:rPr>
        <w:fldChar w:fldCharType="begin"/>
      </w:r>
      <w:r>
        <w:rPr>
          <w:lang w:eastAsia="zh"/>
        </w:rPr>
        <w:instrText xml:space="preserve"> </w:instrText>
      </w:r>
      <w:r>
        <w:rPr>
          <w:rFonts w:hint="eastAsia"/>
          <w:lang w:eastAsia="zh"/>
        </w:rPr>
        <w:instrText xml:space="preserve">REF _Ref175687652 \r \h</w:instrText>
      </w:r>
      <w:r>
        <w:rPr>
          <w:lang w:eastAsia="zh"/>
        </w:rPr>
        <w:instrText xml:space="preserve"> </w:instrText>
      </w:r>
      <w:r>
        <w:rPr>
          <w:lang w:eastAsia="zh"/>
        </w:rPr>
        <w:fldChar w:fldCharType="separate"/>
      </w:r>
      <w:r>
        <w:rPr>
          <w:lang w:eastAsia="zh"/>
        </w:rPr>
        <w:t>5. 5. 2</w:t>
      </w:r>
      <w:r>
        <w:rPr>
          <w:lang w:eastAsia="zh"/>
        </w:rPr>
        <w:fldChar w:fldCharType="end"/>
      </w:r>
      <w:r>
        <w:rPr>
          <w:rFonts w:hint="eastAsia"/>
          <w:lang w:eastAsia="zh"/>
        </w:rPr>
        <w:t>条确定</w:t>
      </w:r>
    </w:p>
    <w:p>
      <w:pPr>
        <w:pStyle w:val="4"/>
      </w:pPr>
      <w:bookmarkStart w:id="275" w:name="_Ref86136732"/>
      <w:bookmarkStart w:id="276" w:name="_Ref86136317"/>
      <w:bookmarkStart w:id="277" w:name="_Ref87343201"/>
      <w:bookmarkStart w:id="278" w:name="_Toc86067893"/>
      <w:r>
        <w:rPr>
          <w:rFonts w:hint="eastAsia"/>
        </w:rPr>
        <w:t>当梁板柱复合梁柱节点不设置承担梁端竖向剪力的永久牛腿时，</w:t>
      </w:r>
      <w:r>
        <w:t>框架梁端结合面竖向受剪承载力应</w:t>
      </w:r>
      <w:r>
        <w:rPr>
          <w:rFonts w:hint="eastAsia"/>
        </w:rPr>
        <w:t>符合下列规定（图</w:t>
      </w:r>
      <w:r>
        <w:fldChar w:fldCharType="begin"/>
      </w:r>
      <w:r>
        <w:instrText xml:space="preserve"> </w:instrText>
      </w:r>
      <w:r>
        <w:rPr>
          <w:rFonts w:hint="eastAsia"/>
        </w:rPr>
        <w:instrText xml:space="preserve">REF _Ref86136317 \n \h</w:instrText>
      </w:r>
      <w:r>
        <w:instrText xml:space="preserve"> </w:instrText>
      </w:r>
      <w:r>
        <w:fldChar w:fldCharType="separate"/>
      </w:r>
      <w:r>
        <w:t>5. 5. 4</w:t>
      </w:r>
      <w:r>
        <w:fldChar w:fldCharType="end"/>
      </w:r>
      <w:r>
        <w:rPr>
          <w:rFonts w:hint="eastAsia"/>
        </w:rPr>
        <w:t>）</w:t>
      </w:r>
      <w:r>
        <w:t>：</w:t>
      </w:r>
      <w:bookmarkEnd w:id="275"/>
      <w:bookmarkEnd w:id="276"/>
      <w:bookmarkEnd w:id="277"/>
      <w:bookmarkEnd w:id="278"/>
    </w:p>
    <w:p>
      <w:pPr>
        <w:pStyle w:val="70"/>
      </w:pPr>
      <w:r>
        <w:rPr>
          <w:rFonts w:hint="eastAsia"/>
          <w:b/>
        </w:rPr>
        <w:t>1</w:t>
      </w:r>
      <w:r>
        <w:tab/>
      </w:r>
      <w:r>
        <w:t xml:space="preserve">非地震作用组合状况： </w:t>
      </w:r>
    </w:p>
    <w:p>
      <w:pPr>
        <w:pStyle w:val="85"/>
        <w:jc w:val="both"/>
      </w:pPr>
      <w:r>
        <w:rPr>
          <w:rFonts w:cs="Times New Roman"/>
        </w:rPr>
        <w:tab/>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u</m:t>
            </m:r>
            <m:ctrlPr>
              <w:rPr>
                <w:rFonts w:ascii="Cambria Math" w:hAnsi="Cambria Math"/>
              </w:rPr>
            </m:ctrlPr>
          </m:sub>
        </m:sSub>
        <m:r>
          <m:rPr>
            <m:sty m:val="p"/>
          </m:rPr>
          <w:rPr>
            <w:rFonts w:ascii="Cambria Math" w:hAnsi="Cambria Math"/>
          </w:rPr>
          <m:t>≤</m:t>
        </m:r>
        <m:r>
          <m:rPr/>
          <w:rPr>
            <w:rFonts w:ascii="Cambria Math" w:hAnsi="Cambria Math"/>
          </w:rPr>
          <m:t>μψ</m:t>
        </m:r>
        <m:sSub>
          <m:sSubPr>
            <m:ctrlPr>
              <w:rPr>
                <w:rFonts w:ascii="Cambria Math" w:hAnsi="Cambria Math"/>
              </w:rPr>
            </m:ctrlPr>
          </m:sSub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r>
              <m:rPr/>
              <w:rPr>
                <w:rFonts w:ascii="Cambria Math" w:hAnsi="Cambria Math"/>
              </w:rPr>
              <m:t>σ</m:t>
            </m:r>
            <m:ctrlPr>
              <w:rPr>
                <w:rFonts w:ascii="Cambria Math" w:hAnsi="Cambria Math"/>
              </w:rPr>
            </m:ctrlPr>
          </m:e>
          <m:sub>
            <m:r>
              <m:rPr/>
              <w:rPr>
                <w:rFonts w:ascii="Cambria Math" w:hAnsi="Cambria Math"/>
              </w:rPr>
              <m:t>pe</m:t>
            </m:r>
            <m:ctrlPr>
              <w:rPr>
                <w:rFonts w:ascii="Cambria Math" w:hAnsi="Cambria Math"/>
              </w:rPr>
            </m:ctrlPr>
          </m:sub>
        </m:sSub>
        <m:r>
          <m:rPr>
            <m:sty m:val="p"/>
          </m:rPr>
          <w:rPr>
            <w:rFonts w:ascii="Cambria Math" w:hAnsi="Cambria Math"/>
          </w:rPr>
          <m:t>+0.07</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c</m:t>
            </m:r>
            <m:r>
              <m:rPr>
                <m:sty m:val="p"/>
              </m:rPr>
              <w:rPr>
                <w:rFonts w:ascii="Cambria Math" w:hAnsi="Cambria Math"/>
              </w:rPr>
              <m:t>1</m:t>
            </m:r>
            <m:ctrlPr>
              <w:rPr>
                <w:rFonts w:ascii="Cambria Math" w:hAnsi="Cambria Math"/>
              </w:rPr>
            </m:ctrlPr>
          </m:sub>
        </m:sSub>
        <m:r>
          <m:rPr>
            <m:sty m:val="p"/>
          </m:rPr>
          <w:rPr>
            <w:rFonts w:ascii="Cambria Math" w:hAnsi="Cambria Math"/>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e>
        </m:rad>
        <m:r>
          <m:rPr>
            <m:sty m:val="p"/>
          </m:rPr>
          <w:rPr>
            <w:rFonts w:ascii="Cambria Math" w:hAnsi="Cambria Math"/>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m:t>
                </m:r>
                <m:ctrlPr>
                  <w:rPr>
                    <w:rFonts w:ascii="Cambria Math" w:hAnsi="Cambria Math"/>
                  </w:rPr>
                </m:ctrlPr>
              </m:sub>
            </m:sSub>
            <m:ctrlPr>
              <w:rPr>
                <w:rFonts w:ascii="Cambria Math" w:hAnsi="Cambria Math"/>
              </w:rPr>
            </m:ctrlPr>
          </m:e>
        </m:rad>
      </m:oMath>
      <w:r>
        <w:tab/>
      </w:r>
      <w:r>
        <w:t>（</w:t>
      </w:r>
      <w:r>
        <w:fldChar w:fldCharType="begin"/>
      </w:r>
      <w:r>
        <w:instrText xml:space="preserve"> STYLEREF 3 \s </w:instrText>
      </w:r>
      <w:r>
        <w:fldChar w:fldCharType="separate"/>
      </w:r>
      <w:r>
        <w:t>5. 5. 4</w:t>
      </w:r>
      <w:r>
        <w:fldChar w:fldCharType="end"/>
      </w:r>
      <w:r>
        <w:noBreakHyphen/>
      </w:r>
      <w:r>
        <w:t>1）</w:t>
      </w:r>
    </w:p>
    <w:p>
      <w:pPr>
        <w:pStyle w:val="70"/>
      </w:pPr>
      <w:r>
        <w:rPr>
          <w:rFonts w:hint="eastAsia"/>
          <w:b/>
        </w:rPr>
        <w:t>2</w:t>
      </w:r>
      <w:r>
        <w:tab/>
      </w:r>
      <w:r>
        <w:t xml:space="preserve">多遇地震作用组合状况： </w:t>
      </w:r>
    </w:p>
    <w:p>
      <w:pPr>
        <w:pStyle w:val="85"/>
        <w:jc w:val="both"/>
      </w:pPr>
      <w:r>
        <w:rPr>
          <w:rFonts w:cs="Times New Roman"/>
        </w:rPr>
        <w:tab/>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uE</m:t>
            </m:r>
            <m:ctrlPr>
              <w:rPr>
                <w:rFonts w:ascii="Cambria Math" w:hAnsi="Cambria Math"/>
              </w:rPr>
            </m:ctrlPr>
          </m:sub>
        </m:sSub>
        <m:r>
          <m:rPr/>
          <w:rPr>
            <w:rFonts w:ascii="Cambria Math" w:hAnsi="Cambria Math"/>
          </w:rPr>
          <m:t>≤μψ</m:t>
        </m:r>
        <m:sSub>
          <m:sSubPr>
            <m:ctrlPr>
              <w:rPr>
                <w:rFonts w:ascii="Cambria Math" w:hAnsi="Cambria Math"/>
              </w:rPr>
            </m:ctrlPr>
          </m:sSub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r>
              <m:rPr/>
              <w:rPr>
                <w:rFonts w:ascii="Cambria Math" w:hAnsi="Cambria Math"/>
              </w:rPr>
              <m:t>σ</m:t>
            </m:r>
            <m:ctrlPr>
              <w:rPr>
                <w:rFonts w:ascii="Cambria Math" w:hAnsi="Cambria Math"/>
              </w:rPr>
            </m:ctrlPr>
          </m:e>
          <m:sub>
            <m:r>
              <m:rPr/>
              <w:rPr>
                <w:rFonts w:ascii="Cambria Math" w:hAnsi="Cambria Math"/>
              </w:rPr>
              <m:t>pe</m:t>
            </m:r>
            <m:ctrlPr>
              <w:rPr>
                <w:rFonts w:ascii="Cambria Math" w:hAnsi="Cambria Math"/>
              </w:rPr>
            </m:ctrlPr>
          </m:sub>
        </m:sSub>
        <m:r>
          <m:rPr>
            <m:sty m:val="p"/>
          </m:rPr>
          <w:rPr>
            <w:rFonts w:ascii="Cambria Math" w:hAnsi="Cambria Math"/>
          </w:rPr>
          <m:t>+</m:t>
        </m:r>
        <m:r>
          <m:rPr/>
          <w:rPr>
            <w:rFonts w:ascii="Cambria Math" w:hAnsi="Cambria Math" w:cs="Times New Roman"/>
          </w:rPr>
          <m:t>0.0</m:t>
        </m:r>
        <m:r>
          <m:rPr/>
          <w:rPr>
            <w:rFonts w:hint="eastAsia" w:ascii="Cambria Math" w:hAnsi="Cambria Math" w:cs="Times New Roman"/>
          </w:rPr>
          <m:t>4</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c</m:t>
            </m:r>
            <m:r>
              <m:rPr>
                <m:sty m:val="p"/>
              </m:rPr>
              <w:rPr>
                <w:rFonts w:ascii="Cambria Math" w:hAnsi="Cambria Math"/>
              </w:rPr>
              <m:t>1</m:t>
            </m:r>
            <m:ctrlPr>
              <w:rPr>
                <w:rFonts w:ascii="Cambria Math" w:hAnsi="Cambria Math"/>
              </w:rPr>
            </m:ctrlPr>
          </m:sub>
        </m:sSub>
        <m:r>
          <m:rPr>
            <m:sty m:val="p"/>
          </m:rPr>
          <w:rPr>
            <w:rFonts w:ascii="Cambria Math" w:hAnsi="Cambria Math"/>
          </w:rPr>
          <m:t>+</m:t>
        </m:r>
        <m:r>
          <m:rPr/>
          <w:rPr>
            <w:rFonts w:ascii="Cambria Math" w:hAnsi="Cambria Math" w:cs="Times New Roman"/>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e>
        </m:rad>
        <m:r>
          <m:rPr>
            <m:sty m:val="p"/>
          </m:rPr>
          <w:rPr>
            <w:rFonts w:ascii="Cambria Math" w:hAnsi="Cambria Math"/>
          </w:rPr>
          <m:t>+</m:t>
        </m:r>
        <m:r>
          <m:rPr/>
          <w:rPr>
            <w:rFonts w:ascii="Cambria Math" w:hAnsi="Cambria Math" w:cs="Times New Roman"/>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m:t>
                </m:r>
                <m:ctrlPr>
                  <w:rPr>
                    <w:rFonts w:ascii="Cambria Math" w:hAnsi="Cambria Math"/>
                  </w:rPr>
                </m:ctrlPr>
              </m:sub>
            </m:sSub>
            <m:ctrlPr>
              <w:rPr>
                <w:rFonts w:ascii="Cambria Math" w:hAnsi="Cambria Math"/>
              </w:rPr>
            </m:ctrlPr>
          </m:e>
        </m:rad>
      </m:oMath>
      <w:r>
        <w:tab/>
      </w:r>
      <w:r>
        <w:t>（</w:t>
      </w:r>
      <w:r>
        <w:rPr>
          <w:rFonts w:cs="Times New Roman"/>
        </w:rPr>
        <w:fldChar w:fldCharType="begin"/>
      </w:r>
      <w:r>
        <w:rPr>
          <w:rFonts w:cs="Times New Roman"/>
        </w:rPr>
        <w:instrText xml:space="preserve"> STYLEREF 3 \s </w:instrText>
      </w:r>
      <w:r>
        <w:rPr>
          <w:rFonts w:cs="Times New Roman"/>
        </w:rPr>
        <w:fldChar w:fldCharType="separate"/>
      </w:r>
      <w:r>
        <w:rPr>
          <w:rFonts w:cs="Times New Roman"/>
        </w:rPr>
        <w:t>5. 5. 4</w:t>
      </w:r>
      <w:r>
        <w:rPr>
          <w:rFonts w:cs="Times New Roman"/>
        </w:rPr>
        <w:fldChar w:fldCharType="end"/>
      </w:r>
      <w:r>
        <w:noBreakHyphen/>
      </w:r>
      <w:r>
        <w:t>2）</w:t>
      </w:r>
    </w:p>
    <w:p>
      <w:pPr>
        <w:pStyle w:val="70"/>
      </w:pPr>
      <w:r>
        <w:rPr>
          <w:rFonts w:hint="eastAsia"/>
          <w:b/>
        </w:rPr>
        <w:t>3</w:t>
      </w:r>
      <w:r>
        <w:tab/>
      </w:r>
      <w:r>
        <w:t>罕遇地震作用状况：</w:t>
      </w:r>
    </w:p>
    <w:p>
      <w:pPr>
        <w:pStyle w:val="70"/>
        <w:ind w:firstLine="480"/>
      </w:pPr>
      <w:r>
        <w:t>梁端正弯矩作用下：</w:t>
      </w:r>
    </w:p>
    <w:p>
      <w:pPr>
        <w:pStyle w:val="85"/>
        <w:jc w:val="both"/>
      </w:pPr>
      <w:r>
        <w:rPr>
          <w:rFonts w:cs="Times New Roman"/>
        </w:rP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r>
          <m:rPr>
            <m:sty m:val="p"/>
          </m:rPr>
          <w:rPr>
            <w:rFonts w:ascii="Cambria Math" w:hAnsi="Cambria Math"/>
          </w:rPr>
          <m:t>≤</m:t>
        </m:r>
        <m:r>
          <m:rPr/>
          <w:rPr>
            <w:rFonts w:ascii="Cambria Math" w:hAnsi="Cambria Math"/>
          </w:rPr>
          <m:t>μψ</m:t>
        </m:r>
        <m:d>
          <m:dPr>
            <m:ctrlPr>
              <w:rPr>
                <w:rFonts w:ascii="Cambria Math" w:hAnsi="Cambria Math"/>
                <w:i/>
              </w:rPr>
            </m:ctrlPr>
          </m:d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sSub>
              <m:sSubPr>
                <m:ctrlPr>
                  <w:rPr>
                    <w:rFonts w:ascii="Cambria Math" w:hAnsi="Cambria Math"/>
                  </w:rPr>
                </m:ctrlPr>
              </m:sSubPr>
              <m:e>
                <m:r>
                  <m:rPr/>
                  <w:rPr>
                    <w:rFonts w:ascii="XITS Math" w:hAnsi="XITS Math" w:cs="XITS Math"/>
                  </w:rPr>
                  <m:t>σ</m:t>
                </m:r>
                <m:ctrlPr>
                  <w:rPr>
                    <w:rFonts w:ascii="Cambria Math" w:hAnsi="Cambria Math"/>
                  </w:rPr>
                </m:ctrlPr>
              </m:e>
              <m:sub>
                <m:r>
                  <m:rPr/>
                  <w:rPr>
                    <w:rFonts w:ascii="Cambria Math" w:hAnsi="Cambria Math"/>
                  </w:rPr>
                  <m:t>p</m:t>
                </m:r>
                <m:ctrlPr>
                  <w:rPr>
                    <w:rFonts w:ascii="Cambria Math" w:hAnsi="Cambria Math"/>
                  </w:rPr>
                </m:ctrlPr>
              </m:sub>
            </m:sSub>
            <m:r>
              <m:rPr/>
              <w:rPr>
                <w:rFonts w:ascii="XITS Math" w:hAnsi="XITS Math" w:cs="XITS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XITS Math" w:hAnsi="XITS Math" w:cs="XITS Math"/>
                  </w:rPr>
                  <m:t>f</m:t>
                </m:r>
                <m:ctrlPr>
                  <w:rPr>
                    <w:rFonts w:ascii="Cambria Math" w:hAnsi="Cambria Math"/>
                  </w:rPr>
                </m:ctrlPr>
              </m:e>
              <m:sub>
                <m:r>
                  <m:rPr/>
                  <w:rPr>
                    <w:rFonts w:ascii="Cambria Math" w:hAnsi="Cambria Math"/>
                  </w:rPr>
                  <m:t>yk</m:t>
                </m:r>
                <m:ctrlPr>
                  <w:rPr>
                    <w:rFonts w:ascii="Cambria Math" w:hAnsi="Cambria Math"/>
                  </w:rPr>
                </m:ctrlPr>
              </m:sub>
            </m:sSub>
            <m:ctrlPr>
              <w:rPr>
                <w:rFonts w:ascii="Cambria Math" w:hAnsi="Cambria Math"/>
                <w:i/>
              </w:rPr>
            </m:ctrlPr>
          </m:e>
        </m:d>
      </m:oMath>
      <w:r>
        <w:t>+</w:t>
      </w:r>
      <m:oMath>
        <m:r>
          <m:rPr>
            <m:sty m:val="p"/>
          </m:rPr>
          <w:rPr>
            <w:rFonts w:ascii="Cambria Math" w:hAnsi="Cambria Math"/>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r>
                  <m:rPr/>
                  <w:rPr>
                    <w:rFonts w:hint="eastAsia" w:ascii="Cambria Math" w:hAnsi="Cambria Math"/>
                  </w:rPr>
                  <m:t>k</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ctrlPr>
              <w:rPr>
                <w:rFonts w:ascii="Cambria Math" w:hAnsi="Cambria Math"/>
              </w:rPr>
            </m:ctrlPr>
          </m:e>
        </m:rad>
      </m:oMath>
      <w:r>
        <w:t>+</w:t>
      </w:r>
      <m:oMath>
        <m:r>
          <m:rPr>
            <m:sty m:val="p"/>
          </m:rPr>
          <w:rPr>
            <w:rFonts w:ascii="Cambria Math" w:hAnsi="Cambria Math"/>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ck</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vyk</m:t>
                </m:r>
                <m:ctrlPr>
                  <w:rPr>
                    <w:rFonts w:ascii="Cambria Math" w:hAnsi="Cambria Math"/>
                  </w:rPr>
                </m:ctrlPr>
              </m:sub>
            </m:sSub>
            <m:ctrlPr>
              <w:rPr>
                <w:rFonts w:ascii="Cambria Math" w:hAnsi="Cambria Math"/>
              </w:rPr>
            </m:ctrlPr>
          </m:e>
        </m:rad>
      </m:oMath>
      <w:r>
        <w:tab/>
      </w:r>
      <w:r>
        <w:t>（</w:t>
      </w:r>
      <w:r>
        <w:fldChar w:fldCharType="begin"/>
      </w:r>
      <w:r>
        <w:instrText xml:space="preserve"> STYLEREF 3 \s </w:instrText>
      </w:r>
      <w:r>
        <w:fldChar w:fldCharType="separate"/>
      </w:r>
      <w:r>
        <w:t>5. 5. 4</w:t>
      </w:r>
      <w:r>
        <w:fldChar w:fldCharType="end"/>
      </w:r>
      <w:r>
        <w:noBreakHyphen/>
      </w:r>
      <w:r>
        <w:rPr>
          <w:rFonts w:hint="eastAsia"/>
        </w:rPr>
        <w:t>3</w:t>
      </w:r>
      <w:r>
        <w:t>）</w:t>
      </w:r>
    </w:p>
    <w:p>
      <w:pPr>
        <w:pStyle w:val="70"/>
        <w:ind w:firstLine="480"/>
      </w:pPr>
      <w:r>
        <w:t>梁端负弯矩作用下：</w:t>
      </w:r>
    </w:p>
    <w:p>
      <w:pPr>
        <w:pStyle w:val="85"/>
        <w:jc w:val="both"/>
      </w:pPr>
      <w: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r>
          <m:rPr>
            <m:sty m:val="p"/>
          </m:rPr>
          <w:rPr>
            <w:rFonts w:ascii="Cambria Math" w:hAnsi="Cambria Math"/>
          </w:rPr>
          <m:t>≤</m:t>
        </m:r>
        <m:r>
          <m:rPr/>
          <w:rPr>
            <w:rFonts w:ascii="Cambria Math" w:hAnsi="Cambria Math"/>
          </w:rPr>
          <m:t>μψ</m:t>
        </m:r>
        <m:d>
          <m:dPr>
            <m:ctrlPr>
              <w:rPr>
                <w:rFonts w:ascii="Cambria Math" w:hAnsi="Cambria Math"/>
                <w:i/>
              </w:rPr>
            </m:ctrlPr>
          </m:d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sSub>
              <m:sSubPr>
                <m:ctrlPr>
                  <w:rPr>
                    <w:rFonts w:ascii="Cambria Math" w:hAnsi="Cambria Math"/>
                  </w:rPr>
                </m:ctrlPr>
              </m:sSubPr>
              <m:e>
                <m:r>
                  <m:rPr/>
                  <w:rPr>
                    <w:rFonts w:ascii="XITS Math" w:hAnsi="XITS Math" w:cs="XITS Math"/>
                  </w:rPr>
                  <m:t>σ</m:t>
                </m:r>
                <m:ctrlPr>
                  <w:rPr>
                    <w:rFonts w:ascii="Cambria Math" w:hAnsi="Cambria Math"/>
                  </w:rPr>
                </m:ctrlPr>
              </m:e>
              <m:sub>
                <m:r>
                  <m:rPr/>
                  <w:rPr>
                    <w:rFonts w:ascii="Cambria Math" w:hAnsi="Cambria Math"/>
                  </w:rPr>
                  <m:t>p</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XITS Math" w:hAnsi="XITS Math" w:cs="XITS Math"/>
                  </w:rPr>
                  <m:t>f</m:t>
                </m:r>
                <m:ctrlPr>
                  <w:rPr>
                    <w:rFonts w:ascii="Cambria Math" w:hAnsi="Cambria Math"/>
                  </w:rPr>
                </m:ctrlPr>
              </m:e>
              <m:sub>
                <m:r>
                  <m:rPr/>
                  <w:rPr>
                    <w:rFonts w:ascii="Cambria Math" w:hAnsi="Cambria Math"/>
                  </w:rPr>
                  <m:t>yk</m:t>
                </m:r>
                <m:ctrlPr>
                  <w:rPr>
                    <w:rFonts w:ascii="Cambria Math" w:hAnsi="Cambria Math"/>
                  </w:rPr>
                </m:ctrlPr>
              </m:sub>
            </m:sSub>
            <m:ctrlPr>
              <w:rPr>
                <w:rFonts w:ascii="Cambria Math" w:hAnsi="Cambria Math"/>
                <w:i/>
              </w:rPr>
            </m:ctrlPr>
          </m:e>
        </m:d>
      </m:oMath>
      <w:r>
        <w:t>+</w:t>
      </w:r>
      <m:oMath>
        <m:r>
          <m:rPr>
            <m:sty m:val="p"/>
          </m:rPr>
          <w:rPr>
            <w:rFonts w:ascii="Cambria Math" w:hAnsi="Cambria Math"/>
          </w:rPr>
          <m:t>1.32</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ck</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vyk</m:t>
                </m:r>
                <m:ctrlPr>
                  <w:rPr>
                    <w:rFonts w:ascii="Cambria Math" w:hAnsi="Cambria Math"/>
                  </w:rPr>
                </m:ctrlPr>
              </m:sub>
            </m:sSub>
            <m:ctrlPr>
              <w:rPr>
                <w:rFonts w:ascii="Cambria Math" w:hAnsi="Cambria Math"/>
              </w:rPr>
            </m:ctrlPr>
          </m:e>
        </m:rad>
      </m:oMath>
      <w:r>
        <w:tab/>
      </w:r>
      <w:r>
        <w:t>（</w:t>
      </w:r>
      <w:r>
        <w:fldChar w:fldCharType="begin"/>
      </w:r>
      <w:r>
        <w:instrText xml:space="preserve"> STYLEREF 3 \s </w:instrText>
      </w:r>
      <w:r>
        <w:fldChar w:fldCharType="separate"/>
      </w:r>
      <w:r>
        <w:t>5. 5. 4</w:t>
      </w:r>
      <w:r>
        <w:fldChar w:fldCharType="end"/>
      </w:r>
      <w:r>
        <w:noBreakHyphen/>
      </w:r>
      <w:r>
        <w:rPr>
          <w:rFonts w:hint="eastAsia"/>
        </w:rPr>
        <w:t>4</w:t>
      </w:r>
      <w:r>
        <w:t>）</w:t>
      </w:r>
    </w:p>
    <w:p>
      <w:pPr>
        <w:pStyle w:val="86"/>
      </w:pPr>
      <w:r>
        <w:t>式中：</w:t>
      </w:r>
      <w:r>
        <w:tab/>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u</m:t>
            </m:r>
            <m:ctrlPr>
              <w:rPr>
                <w:rFonts w:ascii="Cambria Math" w:hAnsi="Cambria Math"/>
                <w:i/>
              </w:rPr>
            </m:ctrlPr>
          </m:sub>
        </m:sSub>
      </m:oMath>
      <w:r>
        <w:rPr>
          <w:i/>
          <w:iCs/>
          <w:vertAlign w:val="subscript"/>
        </w:rPr>
        <w:t xml:space="preserve"> </w:t>
      </w:r>
      <w:r>
        <w:t>——</w:t>
      </w:r>
      <w:r>
        <w:tab/>
      </w:r>
      <w:r>
        <w:t>非地震作用组合</w:t>
      </w:r>
      <w:r>
        <w:rPr>
          <w:rFonts w:hint="eastAsia"/>
        </w:rPr>
        <w:t>下梁端最大剪力设计值（N）；</w:t>
      </w:r>
    </w:p>
    <w:p>
      <w:pPr>
        <w:pStyle w:val="86"/>
      </w:pPr>
      <w:r>
        <w:tab/>
      </w:r>
      <m:oMath>
        <m:sSub>
          <m:sSubPr>
            <m:ctrlPr>
              <w:rPr>
                <w:rFonts w:ascii="XITS Math" w:hAnsi="XITS Math"/>
              </w:rPr>
            </m:ctrlPr>
          </m:sSubPr>
          <m:e>
            <m:r>
              <m:rPr/>
              <w:rPr>
                <w:rFonts w:ascii="XITS Math" w:hAnsi="XITS Math"/>
              </w:rPr>
              <m:t>V</m:t>
            </m:r>
            <m:ctrlPr>
              <w:rPr>
                <w:rFonts w:ascii="XITS Math" w:hAnsi="XITS Math"/>
              </w:rPr>
            </m:ctrlPr>
          </m:e>
          <m:sub>
            <m:r>
              <m:rPr/>
              <w:rPr>
                <w:rFonts w:ascii="XITS Math" w:hAnsi="XITS Math"/>
              </w:rPr>
              <m:t>uE</m:t>
            </m:r>
            <m:ctrlPr>
              <w:rPr>
                <w:rFonts w:ascii="XITS Math" w:hAnsi="XITS Math"/>
              </w:rPr>
            </m:ctrlPr>
          </m:sub>
        </m:sSub>
      </m:oMath>
      <w:r>
        <w:t>——</w:t>
      </w:r>
      <w:r>
        <w:tab/>
      </w:r>
      <w:r>
        <w:t>多遇地震作用组合</w:t>
      </w:r>
      <w:r>
        <w:rPr>
          <w:rFonts w:hint="eastAsia"/>
        </w:rPr>
        <w:t>下梁端最大剪力设计值（N）；</w:t>
      </w:r>
    </w:p>
    <w:p>
      <w:pPr>
        <w:pStyle w:val="86"/>
      </w:pPr>
      <w:r>
        <w:rPr>
          <w:rFonts w:hAnsi="Cambria Math"/>
        </w:rP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t>——</w:t>
      </w:r>
      <w:r>
        <w:tab/>
      </w:r>
      <w:r>
        <w:rPr>
          <w:rFonts w:hint="eastAsia"/>
        </w:rPr>
        <w:t>罕</w:t>
      </w:r>
      <w:r>
        <w:t>遇地震</w:t>
      </w:r>
      <w:r>
        <w:rPr>
          <w:rFonts w:hint="eastAsia"/>
        </w:rPr>
        <w:t>作用下梁端向下剪力标准值（N）；</w:t>
      </w:r>
    </w:p>
    <w:p>
      <w:pPr>
        <w:pStyle w:val="86"/>
      </w:pPr>
      <w:r>
        <w:rPr>
          <w:rFonts w:hAnsi="Cambria Math"/>
        </w:rPr>
        <w:tab/>
      </w:r>
      <m:oMath>
        <m:sSubSup>
          <m:sSubSupPr>
            <m:ctrlPr>
              <w:rPr>
                <w:rFonts w:ascii="Cambria Math" w:hAnsi="Cambria Math"/>
              </w:rPr>
            </m:ctrlPr>
          </m:sSubSup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t>——</w:t>
      </w:r>
      <w:r>
        <w:tab/>
      </w:r>
      <w:r>
        <w:rPr>
          <w:rFonts w:hint="eastAsia"/>
        </w:rPr>
        <w:t>罕</w:t>
      </w:r>
      <w:r>
        <w:t>遇地震</w:t>
      </w:r>
      <w:r>
        <w:rPr>
          <w:rFonts w:hint="eastAsia"/>
        </w:rPr>
        <w:t>作用下梁端向上剪力标准值（N）；</w:t>
      </w:r>
    </w:p>
    <w:p>
      <w:pPr>
        <w:pStyle w:val="86"/>
      </w:pPr>
      <w:r>
        <w:tab/>
      </w:r>
      <w:r>
        <w:rPr>
          <w:i/>
          <w:iCs/>
        </w:rPr>
        <w:t>A</w:t>
      </w:r>
      <w:r>
        <w:rPr>
          <w:i/>
          <w:iCs/>
          <w:vertAlign w:val="subscript"/>
        </w:rPr>
        <w:t xml:space="preserve">c1 </w:t>
      </w:r>
      <w:r>
        <w:t>——</w:t>
      </w:r>
      <w:r>
        <w:tab/>
      </w:r>
      <w:r>
        <w:t>叠合梁端截面后浇混凝土叠合层截面面积</w:t>
      </w:r>
      <w:r>
        <w:rPr>
          <w:rFonts w:hint="eastAsia"/>
        </w:rPr>
        <w:t>（mm）</w:t>
      </w:r>
      <w:r>
        <w:t>；</w:t>
      </w:r>
    </w:p>
    <w:p>
      <w:pPr>
        <w:pStyle w:val="86"/>
      </w:pPr>
      <w:r>
        <w:rPr>
          <w:i/>
          <w:iCs/>
        </w:rPr>
        <w:tab/>
      </w:r>
      <w:r>
        <w:rPr>
          <w:i/>
          <w:iCs/>
        </w:rPr>
        <w:t>f</w:t>
      </w:r>
      <w:r>
        <w:rPr>
          <w:i/>
          <w:iCs/>
          <w:vertAlign w:val="subscript"/>
        </w:rPr>
        <w:t xml:space="preserve">c </w:t>
      </w:r>
      <w:r>
        <w:t>——</w:t>
      </w:r>
      <w:r>
        <w:tab/>
      </w:r>
      <w:r>
        <w:t>混凝土轴心抗压强度设计值（N/mm</w:t>
      </w:r>
      <w:r>
        <w:rPr>
          <w:vertAlign w:val="superscript"/>
        </w:rPr>
        <w:t>2</w:t>
      </w:r>
      <w:r>
        <w:t>）</w:t>
      </w:r>
      <w:r>
        <w:rPr>
          <w:rFonts w:hint="eastAsia"/>
        </w:rPr>
        <w:t>，此处可取</w:t>
      </w:r>
      <w:r>
        <w:t>预制构件或后浇</w:t>
      </w:r>
      <w:r>
        <w:rPr>
          <w:rFonts w:hint="eastAsia"/>
        </w:rPr>
        <w:t>混凝土两者的</w:t>
      </w:r>
      <w:r>
        <w:t>较低值；</w:t>
      </w:r>
    </w:p>
    <w:p>
      <w:pPr>
        <w:pStyle w:val="86"/>
      </w:pPr>
      <w:r>
        <w:rPr>
          <w:i/>
          <w:iCs/>
        </w:rPr>
        <w:tab/>
      </w:r>
      <w:r>
        <w:rPr>
          <w:i/>
          <w:iCs/>
        </w:rPr>
        <w:t>f</w:t>
      </w:r>
      <w:r>
        <w:rPr>
          <w:i/>
          <w:iCs/>
          <w:vertAlign w:val="subscript"/>
        </w:rPr>
        <w:t xml:space="preserve">y </w:t>
      </w:r>
      <w:r>
        <w:t>——</w:t>
      </w:r>
      <w:r>
        <w:tab/>
      </w:r>
      <w:r>
        <w:t>垂直穿过结合面耗能钢筋的</w:t>
      </w:r>
      <w:r>
        <w:rPr>
          <w:rFonts w:hint="eastAsia"/>
        </w:rPr>
        <w:t>抗拉</w:t>
      </w:r>
      <w:r>
        <w:t>强度设计值（N/mm</w:t>
      </w:r>
      <w:r>
        <w:rPr>
          <w:vertAlign w:val="superscript"/>
        </w:rPr>
        <w:t>2</w:t>
      </w:r>
      <w:r>
        <w:t>）</w:t>
      </w:r>
      <w:r>
        <w:rPr>
          <w:rFonts w:hint="eastAsia"/>
        </w:rPr>
        <w:t>，其数值大于3</w:t>
      </w:r>
      <w:r>
        <w:t>60 N/mm</w:t>
      </w:r>
      <w:r>
        <w:rPr>
          <w:vertAlign w:val="superscript"/>
        </w:rPr>
        <w:t>2</w:t>
      </w:r>
      <w:r>
        <w:rPr>
          <w:rFonts w:hint="eastAsia"/>
        </w:rPr>
        <w:t>时应取3</w:t>
      </w:r>
      <w:r>
        <w:t>60 N/mm</w:t>
      </w:r>
      <w:r>
        <w:rPr>
          <w:vertAlign w:val="superscript"/>
        </w:rPr>
        <w:t>2</w:t>
      </w:r>
      <w:r>
        <w:t>；</w:t>
      </w:r>
    </w:p>
    <w:p>
      <w:pPr>
        <w:pStyle w:val="86"/>
      </w:pPr>
      <w:r>
        <w:rPr>
          <w:i/>
          <w:iCs/>
        </w:rPr>
        <w:tab/>
      </w:r>
      <w:r>
        <w:rPr>
          <w:i/>
          <w:iCs/>
        </w:rPr>
        <w:t>f</w:t>
      </w:r>
      <w:r>
        <w:rPr>
          <w:i/>
          <w:iCs/>
          <w:vertAlign w:val="subscript"/>
        </w:rPr>
        <w:t xml:space="preserve">vy </w:t>
      </w:r>
      <w:r>
        <w:t>——</w:t>
      </w:r>
      <w:r>
        <w:tab/>
      </w:r>
      <w:r>
        <w:t>垂直穿过结合面抗剪钢筋的</w:t>
      </w:r>
      <w:r>
        <w:rPr>
          <w:rFonts w:hint="eastAsia"/>
        </w:rPr>
        <w:t>抗拉</w:t>
      </w:r>
      <w:r>
        <w:t>强度设计值（N/mm</w:t>
      </w:r>
      <w:r>
        <w:rPr>
          <w:vertAlign w:val="superscript"/>
        </w:rPr>
        <w:t>2</w:t>
      </w:r>
      <w:r>
        <w:t>）</w:t>
      </w:r>
      <w:r>
        <w:rPr>
          <w:rFonts w:hint="eastAsia"/>
        </w:rPr>
        <w:t>，其数值大于3</w:t>
      </w:r>
      <w:r>
        <w:t>60 N/mm</w:t>
      </w:r>
      <w:r>
        <w:rPr>
          <w:vertAlign w:val="superscript"/>
        </w:rPr>
        <w:t>2</w:t>
      </w:r>
      <w:r>
        <w:rPr>
          <w:rFonts w:hint="eastAsia"/>
        </w:rPr>
        <w:t>时应取3</w:t>
      </w:r>
      <w:r>
        <w:t>60 N/mm</w:t>
      </w:r>
      <w:r>
        <w:rPr>
          <w:vertAlign w:val="superscript"/>
        </w:rPr>
        <w:t>2</w:t>
      </w:r>
      <w:r>
        <w:t>；</w:t>
      </w:r>
    </w:p>
    <w:p>
      <w:pPr>
        <w:pStyle w:val="86"/>
      </w:pPr>
      <w:r>
        <w:rPr>
          <w:i/>
          <w:iCs/>
        </w:rPr>
        <w:tab/>
      </w:r>
      <w:r>
        <w:rPr>
          <w:i/>
          <w:iCs/>
        </w:rPr>
        <w:t>f</w:t>
      </w:r>
      <w:r>
        <w:rPr>
          <w:i/>
          <w:iCs/>
          <w:vertAlign w:val="subscript"/>
        </w:rPr>
        <w:t xml:space="preserve">yk </w:t>
      </w:r>
      <w:r>
        <w:t>——</w:t>
      </w:r>
      <w:r>
        <w:tab/>
      </w:r>
      <w:r>
        <w:t>垂直穿过结合面耗能钢筋的</w:t>
      </w:r>
      <w:r>
        <w:rPr>
          <w:rFonts w:hint="eastAsia"/>
        </w:rPr>
        <w:t>抗拉</w:t>
      </w:r>
      <w:r>
        <w:t>强度标准值（N/mm</w:t>
      </w:r>
      <w:r>
        <w:rPr>
          <w:vertAlign w:val="superscript"/>
        </w:rPr>
        <w:t>2</w:t>
      </w:r>
      <w:r>
        <w:t>）；</w:t>
      </w:r>
    </w:p>
    <w:p>
      <w:pPr>
        <w:pStyle w:val="86"/>
      </w:pPr>
      <w:r>
        <w:rPr>
          <w:i/>
          <w:iCs/>
        </w:rPr>
        <w:tab/>
      </w:r>
      <w:r>
        <w:rPr>
          <w:i/>
          <w:iCs/>
        </w:rPr>
        <w:t>f</w:t>
      </w:r>
      <w:r>
        <w:rPr>
          <w:i/>
          <w:iCs/>
          <w:vertAlign w:val="subscript"/>
        </w:rPr>
        <w:t xml:space="preserve">vyk </w:t>
      </w:r>
      <w:r>
        <w:t>——</w:t>
      </w:r>
      <w:r>
        <w:tab/>
      </w:r>
      <w:r>
        <w:t>垂直穿过结合面抗剪钢筋的</w:t>
      </w:r>
      <w:r>
        <w:rPr>
          <w:rFonts w:hint="eastAsia"/>
        </w:rPr>
        <w:t>抗拉</w:t>
      </w:r>
      <w:r>
        <w:t>强度标准值（N/mm</w:t>
      </w:r>
      <w:r>
        <w:rPr>
          <w:vertAlign w:val="superscript"/>
        </w:rPr>
        <w:t>2</w:t>
      </w:r>
      <w:r>
        <w:t>）；</w:t>
      </w:r>
    </w:p>
    <w:p>
      <w:pPr>
        <w:pStyle w:val="86"/>
      </w:pPr>
      <w:r>
        <w:rPr>
          <w:i/>
          <w:iCs/>
        </w:rPr>
        <w:tab/>
      </w:r>
      <w:r>
        <w:rPr>
          <w:i/>
          <w:iCs/>
        </w:rPr>
        <w:t>A</w:t>
      </w:r>
      <w:r>
        <w:rPr>
          <w:i/>
          <w:iCs/>
          <w:vertAlign w:val="subscript"/>
        </w:rPr>
        <w:t>s</w:t>
      </w:r>
      <w:r>
        <w:t>——</w:t>
      </w:r>
      <w:r>
        <w:tab/>
      </w:r>
      <w:r>
        <w:t>垂直穿过结合面的耗能钢筋的毛截面面积（mm</w:t>
      </w:r>
      <w:r>
        <w:rPr>
          <w:vertAlign w:val="superscript"/>
        </w:rPr>
        <w:t>2</w:t>
      </w:r>
      <w:r>
        <w:t>）；</w:t>
      </w:r>
    </w:p>
    <w:p>
      <w:pPr>
        <w:pStyle w:val="86"/>
      </w:pPr>
      <w:r>
        <w:rPr>
          <w:i/>
          <w:iCs/>
        </w:rPr>
        <w:tab/>
      </w:r>
      <w:r>
        <w:rPr>
          <w:i/>
          <w:iCs/>
        </w:rPr>
        <w:t>A</w:t>
      </w:r>
      <w:r>
        <w:rPr>
          <w:i/>
          <w:iCs/>
          <w:vertAlign w:val="subscript"/>
        </w:rPr>
        <w:t>sv</w:t>
      </w:r>
      <w:r>
        <w:t>——</w:t>
      </w:r>
      <w:r>
        <w:tab/>
      </w:r>
      <w:r>
        <w:t>垂直穿过结合面的抗剪钢筋的截面面积（mm</w:t>
      </w:r>
      <w:r>
        <w:rPr>
          <w:vertAlign w:val="superscript"/>
        </w:rPr>
        <w:t>2</w:t>
      </w:r>
      <w:r>
        <w:t>）；</w:t>
      </w:r>
    </w:p>
    <w:p>
      <w:pPr>
        <w:pStyle w:val="86"/>
      </w:pPr>
      <w:r>
        <w:rPr>
          <w:i/>
          <w:iCs/>
        </w:rPr>
        <w:tab/>
      </w:r>
      <w:r>
        <w:rPr>
          <w:i/>
          <w:iCs/>
        </w:rPr>
        <w:t>σ</w:t>
      </w:r>
      <w:r>
        <w:rPr>
          <w:i/>
          <w:iCs/>
          <w:vertAlign w:val="subscript"/>
        </w:rPr>
        <w:t xml:space="preserve">p </w:t>
      </w:r>
      <w:r>
        <w:t>——</w:t>
      </w:r>
      <w:r>
        <w:tab/>
      </w:r>
      <w:r>
        <w:t>节点处预应力钢绞线的应力（N/mm</w:t>
      </w:r>
      <w:r>
        <w:rPr>
          <w:vertAlign w:val="superscript"/>
        </w:rPr>
        <w:t>2</w:t>
      </w:r>
      <w:r>
        <w:t>）</w:t>
      </w:r>
      <w:r>
        <w:rPr>
          <w:rFonts w:hint="eastAsia"/>
        </w:rPr>
        <w:t>，根据本规程附录A计算</w:t>
      </w:r>
      <w:r>
        <w:t>;</w:t>
      </w:r>
    </w:p>
    <w:p>
      <w:pPr>
        <w:pStyle w:val="86"/>
      </w:pPr>
      <w:r>
        <w:tab/>
      </w:r>
      <m:oMath>
        <m:r>
          <m:rPr/>
          <w:rPr>
            <w:rFonts w:ascii="Cambria Math" w:hAnsi="Cambria Math"/>
          </w:rPr>
          <m:t>μ</m:t>
        </m:r>
      </m:oMath>
      <w:r>
        <w:t>——</w:t>
      </w:r>
      <w:r>
        <w:tab/>
      </w:r>
      <w:r>
        <w:t>摩擦系数，取0.6；</w:t>
      </w:r>
    </w:p>
    <w:p>
      <w:pPr>
        <w:pStyle w:val="86"/>
      </w:pPr>
      <w:r>
        <w:tab/>
      </w:r>
      <m:oMath>
        <m:r>
          <m:rPr/>
          <w:rPr>
            <w:rFonts w:ascii="Cambria Math" w:hAnsi="Cambria Math"/>
          </w:rPr>
          <m:t>ψ</m:t>
        </m:r>
      </m:oMath>
      <w:r>
        <w:t>——</w:t>
      </w:r>
      <w:r>
        <w:tab/>
      </w:r>
      <w:r>
        <w:t>抗剪折减系数，取0.75。</w:t>
      </w:r>
    </w:p>
    <w:p>
      <w:pPr>
        <w:pStyle w:val="69"/>
      </w:pPr>
      <w:r>
        <w:drawing>
          <wp:inline distT="0" distB="0" distL="0" distR="0">
            <wp:extent cx="3195955" cy="2187575"/>
            <wp:effectExtent l="0" t="0" r="4445" b="317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3206313" cy="2194898"/>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5. 5. 4</w:t>
      </w:r>
      <w:r>
        <w:fldChar w:fldCharType="end"/>
      </w:r>
      <w:r>
        <w:t xml:space="preserve"> 梁端</w:t>
      </w:r>
      <w:r>
        <w:rPr>
          <w:rFonts w:hint="eastAsia"/>
        </w:rPr>
        <w:t>抗剪构造</w:t>
      </w:r>
    </w:p>
    <w:p>
      <w:pPr>
        <w:pStyle w:val="69"/>
      </w:pPr>
      <w:r>
        <w:t>1—后浇混凝土叠合层；2—预制梁；3—纤维高强灌浆料；4—耗能钢筋；5—附加抗剪钢筋；6—预应力钢绞线</w:t>
      </w:r>
    </w:p>
    <w:p>
      <w:pPr>
        <w:pStyle w:val="4"/>
      </w:pPr>
      <w:bookmarkStart w:id="279" w:name="_Toc86067889"/>
      <w:bookmarkStart w:id="280" w:name="_Ref86136308"/>
      <w:bookmarkStart w:id="281" w:name="_Ref88040346"/>
      <w:bookmarkStart w:id="282" w:name="_Ref86136217"/>
      <w:r>
        <w:rPr>
          <w:rFonts w:hint="eastAsia"/>
        </w:rPr>
        <w:t>当梁板柱复合梁柱节点不设置承担梁端竖向剪力的永久牛腿时，</w:t>
      </w:r>
      <w:r>
        <w:t>框架梁端叠合层内梁端耗能钢筋和附加抗剪钢筋总面积应满足下式要求：</w:t>
      </w:r>
      <w:bookmarkEnd w:id="279"/>
      <w:bookmarkEnd w:id="280"/>
      <w:bookmarkEnd w:id="281"/>
      <w:bookmarkEnd w:id="282"/>
    </w:p>
    <w:p>
      <w:pPr>
        <w:pStyle w:val="85"/>
        <w:rPr>
          <w:highlight w:val="yellow"/>
        </w:rPr>
      </w:pPr>
      <w:r>
        <w:rPr>
          <w:rFonts w:cs="Times New Roman"/>
        </w:rPr>
        <w:tab/>
      </w:r>
      <m:oMath>
        <m:r>
          <m:rPr>
            <m:sty m:val="p"/>
          </m:rPr>
          <w:rPr>
            <w:rFonts w:hint="eastAsia" w:ascii="Cambria Math" w:hAnsi="Cambria Math" w:cs="Times New Roman"/>
          </w:rPr>
          <m:t>0</m:t>
        </m:r>
        <m:r>
          <m:rPr>
            <m:sty m:val="p"/>
          </m:rPr>
          <w:rPr>
            <w:rFonts w:ascii="Cambria Math" w:hAnsi="Cambria Math" w:cs="Times New Roman"/>
          </w:rPr>
          <m:t>.</m:t>
        </m:r>
        <m:r>
          <m:rPr>
            <m:sty m:val="p"/>
          </m:rPr>
          <w:rPr>
            <w:rFonts w:hint="eastAsia" w:ascii="Cambria Math" w:hAnsi="Cambria Math" w:cs="Times New Roman"/>
          </w:rPr>
          <m:t>49</m:t>
        </m:r>
        <m:d>
          <m:dPr>
            <m:ctrlPr>
              <w:rPr>
                <w:rFonts w:ascii="Cambria Math" w:hAnsi="Cambria Math"/>
              </w:rPr>
            </m:ctrlPr>
          </m:d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vyk</m:t>
                </m:r>
                <m:ctrlPr>
                  <w:rPr>
                    <w:rFonts w:ascii="Cambria Math" w:hAnsi="Cambria Math"/>
                  </w:rPr>
                </m:ctrlPr>
              </m:sub>
            </m:sSub>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Gk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Qk</m:t>
            </m:r>
            <m:ctrlPr>
              <w:rPr>
                <w:rFonts w:ascii="Cambria Math" w:hAnsi="Cambria Math"/>
              </w:rPr>
            </m:ctrlPr>
          </m:sub>
        </m:sSub>
      </m:oMath>
      <w:r>
        <w:rPr>
          <w:rFonts w:cs="Times New Roman"/>
        </w:rPr>
        <w:tab/>
      </w:r>
      <w:r>
        <w:rPr>
          <w:rFonts w:cs="Times New Roman"/>
        </w:rPr>
        <w:t>（</w:t>
      </w:r>
      <w:r>
        <w:rPr>
          <w:rFonts w:cs="Times New Roman"/>
        </w:rPr>
        <w:fldChar w:fldCharType="begin"/>
      </w:r>
      <w:r>
        <w:rPr>
          <w:rFonts w:cs="Times New Roman"/>
        </w:rPr>
        <w:instrText xml:space="preserve"> STYLEREF 3 \s </w:instrText>
      </w:r>
      <w:r>
        <w:rPr>
          <w:rFonts w:cs="Times New Roman"/>
        </w:rPr>
        <w:fldChar w:fldCharType="separate"/>
      </w:r>
      <w:r>
        <w:rPr>
          <w:rFonts w:cs="Times New Roman"/>
        </w:rPr>
        <w:t>5. 5. 5</w:t>
      </w:r>
      <w:r>
        <w:rPr>
          <w:rFonts w:cs="Times New Roman"/>
        </w:rPr>
        <w:fldChar w:fldCharType="end"/>
      </w:r>
      <w:r>
        <w:rPr>
          <w:rFonts w:cs="Times New Roman"/>
        </w:rPr>
        <w:t>）</w:t>
      </w:r>
    </w:p>
    <w:p>
      <w:pPr>
        <w:pStyle w:val="86"/>
      </w:pPr>
      <w:r>
        <w:t>式中：</w:t>
      </w: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oMath>
      <w:r>
        <w:t>——</w:t>
      </w:r>
      <w:r>
        <w:tab/>
      </w:r>
      <w:r>
        <w:t>梁端耗能钢筋毛截面</w:t>
      </w:r>
      <w:r>
        <w:rPr>
          <w:rFonts w:hint="eastAsia"/>
        </w:rPr>
        <w:t>面</w:t>
      </w:r>
      <w:r>
        <w:t>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sv</m:t>
            </m:r>
            <m:ctrlPr>
              <w:rPr>
                <w:rFonts w:ascii="Cambria Math" w:hAnsi="Cambria Math"/>
              </w:rPr>
            </m:ctrlPr>
          </m:sub>
        </m:sSub>
      </m:oMath>
      <w:r>
        <w:t>——</w:t>
      </w:r>
      <w:r>
        <w:tab/>
      </w:r>
      <w:r>
        <w:rPr>
          <w:rFonts w:hint="eastAsia"/>
        </w:rPr>
        <w:t>附加</w:t>
      </w:r>
      <w:r>
        <w:t>抗剪钢筋面积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w:t>
      </w:r>
      <w:r>
        <w:tab/>
      </w:r>
      <w:r>
        <w:t>梁端耗能钢筋屈服强度标准值</w:t>
      </w:r>
      <w:r>
        <w:rPr>
          <w:rFonts w:hint="eastAsia"/>
        </w:rPr>
        <w:t>（</w:t>
      </w:r>
      <w:r>
        <w:t>N/</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vyk</m:t>
            </m:r>
            <m:ctrlPr>
              <w:rPr>
                <w:rFonts w:ascii="Cambria Math" w:hAnsi="Cambria Math"/>
              </w:rPr>
            </m:ctrlPr>
          </m:sub>
        </m:sSub>
      </m:oMath>
      <w:r>
        <w:t>——</w:t>
      </w:r>
      <w:r>
        <w:tab/>
      </w:r>
      <w:r>
        <w:t>附加抗剪钢筋屈服强度标准值</w:t>
      </w:r>
      <w:r>
        <w:rPr>
          <w:rFonts w:hint="eastAsia"/>
        </w:rPr>
        <w:t>（N</w:t>
      </w:r>
      <w:r>
        <w:t>/</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Gk</m:t>
            </m:r>
            <m:ctrlPr>
              <w:rPr>
                <w:rFonts w:ascii="Cambria Math" w:hAnsi="Cambria Math"/>
              </w:rPr>
            </m:ctrlPr>
          </m:sub>
        </m:sSub>
      </m:oMath>
      <w:r>
        <w:t>——</w:t>
      </w:r>
      <w:r>
        <w:tab/>
      </w:r>
      <w:r>
        <w:t>永久荷载标准值在结合面产生的剪力</w:t>
      </w:r>
      <w:r>
        <w:rPr>
          <w:rFonts w:hint="eastAsia"/>
        </w:rPr>
        <w:t>（</w:t>
      </w:r>
      <w:r>
        <w:t>N</w:t>
      </w:r>
      <w:r>
        <w:rPr>
          <w:rFonts w:hint="eastAsia"/>
        </w:rPr>
        <w:t>）</w:t>
      </w:r>
      <w:r>
        <w:t>；</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Qk</m:t>
            </m:r>
            <m:ctrlPr>
              <w:rPr>
                <w:rFonts w:ascii="Cambria Math" w:hAnsi="Cambria Math"/>
              </w:rPr>
            </m:ctrlPr>
          </m:sub>
        </m:sSub>
      </m:oMath>
      <w:r>
        <w:t>——</w:t>
      </w:r>
      <w:r>
        <w:tab/>
      </w:r>
      <w:r>
        <w:t>可变荷载标准值在结合面产生的剪力</w:t>
      </w:r>
      <w:r>
        <w:rPr>
          <w:rFonts w:hint="eastAsia"/>
        </w:rPr>
        <w:t>（</w:t>
      </w:r>
      <w:r>
        <w:t>N</w:t>
      </w:r>
      <w:r>
        <w:rPr>
          <w:rFonts w:hint="eastAsia"/>
        </w:rPr>
        <w:t>）。</w:t>
      </w:r>
    </w:p>
    <w:p>
      <w:pPr>
        <w:pStyle w:val="4"/>
      </w:pPr>
      <w:bookmarkStart w:id="283" w:name="_Ref86671219"/>
      <w:bookmarkStart w:id="284" w:name="_Ref86136276"/>
      <w:bookmarkStart w:id="285" w:name="_Toc86067890"/>
      <w:r>
        <w:rPr>
          <w:rFonts w:hint="eastAsia"/>
        </w:rPr>
        <w:t>穿过梁板柱复合梁柱节点的</w:t>
      </w:r>
      <w:r>
        <w:t>预应力钢绞线的最小面积</w:t>
      </w:r>
      <w:r>
        <w:rPr>
          <w:rFonts w:hint="eastAsia"/>
        </w:rPr>
        <w:t>应满足下式要求：</w:t>
      </w:r>
      <w:bookmarkEnd w:id="283"/>
    </w:p>
    <w:p>
      <w:pPr>
        <w:pStyle w:val="85"/>
      </w:pPr>
      <w:r>
        <w:rPr>
          <w:iCs/>
        </w:rPr>
        <w:tab/>
      </w:r>
      <m:oMath>
        <m:sSub>
          <m:sSubPr>
            <m:ctrlPr>
              <w:rPr>
                <w:rFonts w:ascii="Cambria Math" w:hAnsi="Cambria Math"/>
                <w:iCs/>
              </w:rPr>
            </m:ctrlPr>
          </m:sSubPr>
          <m:e>
            <m:r>
              <m:rPr/>
              <w:rPr>
                <w:rFonts w:ascii="Cambria Math" w:hAnsi="Cambria Math"/>
              </w:rPr>
              <m:t>A</m:t>
            </m:r>
            <m:ctrlPr>
              <w:rPr>
                <w:rFonts w:ascii="Cambria Math" w:hAnsi="Cambria Math"/>
                <w:iCs/>
              </w:rPr>
            </m:ctrlPr>
          </m:e>
          <m:sub>
            <m:r>
              <m:rPr>
                <m:sty m:val="p"/>
              </m:rPr>
              <w:rPr>
                <w:rFonts w:ascii="Cambria Math" w:hAnsi="Cambria Math"/>
              </w:rPr>
              <m:t>p</m:t>
            </m:r>
            <m:ctrlPr>
              <w:rPr>
                <w:rFonts w:ascii="Cambria Math" w:hAnsi="Cambria Math"/>
                <w:iCs/>
              </w:rPr>
            </m:ctrlPr>
          </m:sub>
        </m:sSub>
        <m:sSub>
          <m:sSubPr>
            <m:ctrlPr>
              <w:rPr>
                <w:rFonts w:ascii="Cambria Math" w:hAnsi="Cambria Math"/>
                <w:iCs/>
              </w:rPr>
            </m:ctrlPr>
          </m:sSubPr>
          <m:e>
            <m:r>
              <m:rPr/>
              <w:rPr>
                <w:rFonts w:ascii="Cambria Math" w:hAnsi="Cambria Math"/>
              </w:rPr>
              <m:t>σ</m:t>
            </m:r>
            <m:ctrlPr>
              <w:rPr>
                <w:rFonts w:ascii="Cambria Math" w:hAnsi="Cambria Math"/>
                <w:iCs/>
              </w:rPr>
            </m:ctrlPr>
          </m:e>
          <m:sub>
            <m:r>
              <m:rPr>
                <m:sty m:val="p"/>
              </m:rPr>
              <w:rPr>
                <w:rFonts w:ascii="Cambria Math" w:hAnsi="Cambria Math"/>
              </w:rPr>
              <m:t>pe</m:t>
            </m:r>
            <m:ctrlPr>
              <w:rPr>
                <w:rFonts w:ascii="Cambria Math" w:hAnsi="Cambria Math"/>
                <w:iCs/>
              </w:rPr>
            </m:ctrlPr>
          </m:sub>
        </m:sSub>
        <m:r>
          <m:rPr>
            <m:sty m:val="p"/>
          </m:rPr>
          <w:rPr>
            <w:rFonts w:ascii="Cambria Math" w:hAnsi="Cambria Math"/>
          </w:rPr>
          <m:t>≥</m:t>
        </m:r>
        <m:r>
          <m:rPr/>
          <w:rPr>
            <w:rFonts w:ascii="XITS Math" w:hAnsi="XITS Math" w:eastAsia="微软雅黑" w:cs="XITS Math"/>
          </w:rPr>
          <m:t>Ω</m:t>
        </m:r>
        <m:sSub>
          <m:sSubPr>
            <m:ctrlPr>
              <w:rPr>
                <w:rFonts w:ascii="Cambria Math" w:hAnsi="Cambria Math"/>
                <w:iCs/>
              </w:rPr>
            </m:ctrlPr>
          </m:sSubPr>
          <m:e>
            <m:r>
              <m:rPr/>
              <w:rPr>
                <w:rFonts w:ascii="Cambria Math" w:hAnsi="Cambria Math"/>
              </w:rPr>
              <m:t>A</m:t>
            </m:r>
            <m:ctrlPr>
              <w:rPr>
                <w:rFonts w:ascii="Cambria Math" w:hAnsi="Cambria Math"/>
                <w:iCs/>
              </w:rPr>
            </m:ctrlPr>
          </m:e>
          <m:sub>
            <m:r>
              <m:rPr>
                <m:sty m:val="p"/>
              </m:rPr>
              <w:rPr>
                <w:rFonts w:ascii="Cambria Math" w:hAnsi="Cambria Math"/>
              </w:rPr>
              <m:t>s</m:t>
            </m:r>
            <m:ctrlPr>
              <w:rPr>
                <w:rFonts w:ascii="Cambria Math" w:hAnsi="Cambria Math"/>
                <w:iCs/>
              </w:rPr>
            </m:ctrlPr>
          </m:sub>
        </m:sSub>
        <m:sSub>
          <m:sSubPr>
            <m:ctrlPr>
              <w:rPr>
                <w:rFonts w:ascii="Cambria Math" w:hAnsi="Cambria Math"/>
                <w:iCs/>
              </w:rPr>
            </m:ctrlPr>
          </m:sSubPr>
          <m:e>
            <m:r>
              <m:rPr/>
              <w:rPr>
                <w:rFonts w:ascii="Cambria Math" w:hAnsi="Cambria Math"/>
              </w:rPr>
              <m:t>f</m:t>
            </m:r>
            <m:ctrlPr>
              <w:rPr>
                <w:rFonts w:ascii="Cambria Math" w:hAnsi="Cambria Math"/>
                <w:iCs/>
              </w:rPr>
            </m:ctrlPr>
          </m:e>
          <m:sub>
            <m:r>
              <m:rPr>
                <m:sty m:val="p"/>
              </m:rPr>
              <w:rPr>
                <w:rFonts w:ascii="Cambria Math" w:hAnsi="Cambria Math"/>
              </w:rPr>
              <m:t>yk</m:t>
            </m:r>
            <m:ctrlPr>
              <w:rPr>
                <w:rFonts w:ascii="Cambria Math" w:hAnsi="Cambria Math"/>
                <w:iCs/>
              </w:rPr>
            </m:ctrlPr>
          </m:sub>
        </m:sSub>
      </m:oMath>
      <w:r>
        <w:rPr>
          <w:i/>
          <w:iCs/>
          <w:vertAlign w:val="subscript"/>
        </w:rPr>
        <w:t xml:space="preserve">  </w:t>
      </w:r>
      <w:r>
        <w:rPr>
          <w:i/>
          <w:iCs/>
          <w:vertAlign w:val="subscript"/>
        </w:rPr>
        <w:tab/>
      </w:r>
      <w:r>
        <w:t>（</w:t>
      </w:r>
      <w:r>
        <w:fldChar w:fldCharType="begin"/>
      </w:r>
      <w:r>
        <w:instrText xml:space="preserve"> STYLEREF 3 \s </w:instrText>
      </w:r>
      <w:r>
        <w:fldChar w:fldCharType="separate"/>
      </w:r>
      <w:r>
        <w:t>5. 5. 6</w:t>
      </w:r>
      <w:r>
        <w:fldChar w:fldCharType="end"/>
      </w:r>
      <w:r>
        <w:rPr>
          <w:rFonts w:hint="eastAsia"/>
        </w:rPr>
        <w:t>）</w:t>
      </w:r>
    </w:p>
    <w:p>
      <w:pPr>
        <w:pStyle w:val="86"/>
      </w:pPr>
      <w:r>
        <w:t>式中：</w:t>
      </w:r>
      <w:r>
        <w:tab/>
      </w:r>
      <m:oMath>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p</m:t>
            </m:r>
            <m:ctrlPr>
              <w:rPr>
                <w:rFonts w:ascii="Cambria Math" w:hAnsi="Cambria Math"/>
                <w:i/>
                <w:iCs/>
              </w:rPr>
            </m:ctrlPr>
          </m:sub>
        </m:sSub>
      </m:oMath>
      <w:r>
        <w:t>——</w:t>
      </w:r>
      <w:r>
        <w:tab/>
      </w:r>
      <w:r>
        <w:t>预应力钢绞线面积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pe</m:t>
            </m:r>
            <m:ctrlPr>
              <w:rPr>
                <w:rFonts w:ascii="Cambria Math" w:hAnsi="Cambria Math"/>
                <w:i/>
                <w:iCs/>
              </w:rPr>
            </m:ctrlPr>
          </m:sub>
        </m:sSub>
      </m:oMath>
      <w:r>
        <w:t>——</w:t>
      </w:r>
      <w:r>
        <w:tab/>
      </w:r>
      <w:r>
        <w:t>考虑损失后预应力钢绞线的有效应力</w:t>
      </w:r>
      <w:r>
        <w:rPr>
          <w:rFonts w:hint="eastAsia"/>
        </w:rPr>
        <w:t>（N</w:t>
      </w:r>
      <w:r>
        <w:t>/</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oMath>
      <w:r>
        <w:t>——</w:t>
      </w:r>
      <w:r>
        <w:tab/>
      </w:r>
      <w:r>
        <w:t>梁端耗能钢筋毛截面积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w:t>
      </w:r>
      <w:r>
        <w:tab/>
      </w:r>
      <w:r>
        <w:t>梁端耗能钢筋屈服强度标准值</w:t>
      </w:r>
      <w:r>
        <w:rPr>
          <w:rFonts w:hint="eastAsia"/>
        </w:rPr>
        <w:t>（</w:t>
      </w:r>
      <w:r>
        <w:t>N/</w:t>
      </w:r>
      <w:r>
        <w:rPr>
          <w:rFonts w:hint="eastAsia"/>
        </w:rPr>
        <w:t>mm</w:t>
      </w:r>
      <w:r>
        <w:rPr>
          <w:vertAlign w:val="superscript"/>
        </w:rPr>
        <w:t>2</w:t>
      </w:r>
      <w:r>
        <w:rPr>
          <w:rFonts w:hint="eastAsia"/>
        </w:rPr>
        <w:t>）</w:t>
      </w:r>
      <w:r>
        <w:t>；</w:t>
      </w:r>
    </w:p>
    <w:p>
      <w:pPr>
        <w:pStyle w:val="86"/>
      </w:pPr>
      <w:r>
        <w:tab/>
      </w:r>
      <m:oMath>
        <m:r>
          <m:rPr/>
          <w:rPr>
            <w:rFonts w:ascii="XITS Math" w:hAnsi="XITS Math" w:cs="XITS Math"/>
          </w:rPr>
          <m:t>Ω</m:t>
        </m:r>
      </m:oMath>
      <w:r>
        <w:t>——</w:t>
      </w:r>
      <w:r>
        <w:tab/>
      </w:r>
      <w:r>
        <w:rPr>
          <w:rFonts w:hint="eastAsia"/>
        </w:rPr>
        <w:t>与</w:t>
      </w:r>
      <w:r>
        <w:t>抗震等级</w:t>
      </w:r>
      <w:r>
        <w:rPr>
          <w:rFonts w:hint="eastAsia"/>
        </w:rPr>
        <w:t>有关的</w:t>
      </w:r>
      <w:r>
        <w:t>系数</w:t>
      </w:r>
      <w:r>
        <w:rPr>
          <w:rFonts w:hint="eastAsia"/>
        </w:rPr>
        <w:t>，一、二、三、四级时可分别取0.5、0.3、0.3、0.2。</w:t>
      </w:r>
      <w:bookmarkEnd w:id="284"/>
      <w:bookmarkEnd w:id="285"/>
    </w:p>
    <w:p>
      <w:pPr>
        <w:pStyle w:val="4"/>
      </w:pPr>
      <w:bookmarkStart w:id="286" w:name="_Ref198039186"/>
      <w:bookmarkStart w:id="287" w:name="_Ref88040471"/>
      <w:r>
        <w:rPr>
          <w:rFonts w:hint="eastAsia"/>
        </w:rPr>
        <w:t>采用梁板柱复合梁柱节点的一、二级</w:t>
      </w:r>
      <w:r>
        <w:t>压接装配框架</w:t>
      </w:r>
      <w:r>
        <w:rPr>
          <w:rFonts w:hint="eastAsia"/>
        </w:rPr>
        <w:t>角柱与预应力叠合梁的连接应符合下列规定：</w:t>
      </w:r>
      <w:bookmarkEnd w:id="286"/>
    </w:p>
    <w:p>
      <w:pPr>
        <w:pStyle w:val="70"/>
      </w:pPr>
      <w:r>
        <w:rPr>
          <w:b/>
        </w:rPr>
        <w:t>1</w:t>
      </w:r>
      <w:r>
        <w:rPr>
          <w:b/>
        </w:rPr>
        <w:tab/>
      </w:r>
      <w:r>
        <w:rPr>
          <w:rFonts w:hint="eastAsia"/>
        </w:rPr>
        <w:t>当柱身未设置承担梁端竖向剪力的永久牛腿时，梁端应设置与柱身相连的附加抗剪钢筋，且附加抗剪钢筋最小面积应符合下式要求：</w:t>
      </w:r>
      <w:bookmarkEnd w:id="287"/>
    </w:p>
    <w:p>
      <w:pPr>
        <w:pStyle w:val="85"/>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sv</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vyk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0.3</m:t>
            </m:r>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oMath>
      <w:r>
        <w:tab/>
      </w:r>
      <w:r>
        <w:t>（</w:t>
      </w:r>
      <w:r>
        <w:fldChar w:fldCharType="begin"/>
      </w:r>
      <w:r>
        <w:instrText xml:space="preserve"> STYLEREF 3 \s </w:instrText>
      </w:r>
      <w:r>
        <w:fldChar w:fldCharType="separate"/>
      </w:r>
      <w:r>
        <w:t>5. 5. 7</w:t>
      </w:r>
      <w:r>
        <w:fldChar w:fldCharType="end"/>
      </w:r>
      <w:r>
        <w:rPr>
          <w:rFonts w:hint="eastAsia"/>
        </w:rPr>
        <w:t>）</w:t>
      </w:r>
    </w:p>
    <w:p>
      <w:pPr>
        <w:pStyle w:val="86"/>
      </w:pPr>
      <w:r>
        <w:t>式中：</w:t>
      </w: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oMath>
      <w:r>
        <w:t>——</w:t>
      </w:r>
      <w:r>
        <w:tab/>
      </w:r>
      <w:r>
        <w:t>梁端耗能钢筋毛截面积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sv</m:t>
            </m:r>
            <m:ctrlPr>
              <w:rPr>
                <w:rFonts w:ascii="Cambria Math" w:hAnsi="Cambria Math"/>
              </w:rPr>
            </m:ctrlPr>
          </m:sub>
        </m:sSub>
      </m:oMath>
      <w:r>
        <w:t>——</w:t>
      </w:r>
      <w:r>
        <w:tab/>
      </w:r>
      <w:r>
        <w:t>抗剪钢筋面积</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w:t>
      </w:r>
      <w:r>
        <w:tab/>
      </w:r>
      <w:r>
        <w:t>梁端耗能钢筋屈服强度标准值</w:t>
      </w:r>
      <w:r>
        <w:rPr>
          <w:rFonts w:hint="eastAsia"/>
        </w:rPr>
        <w:t>（N</w:t>
      </w:r>
      <w:r>
        <w:t>/</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vyk</m:t>
            </m:r>
            <m:ctrlPr>
              <w:rPr>
                <w:rFonts w:ascii="Cambria Math" w:hAnsi="Cambria Math"/>
              </w:rPr>
            </m:ctrlPr>
          </m:sub>
        </m:sSub>
      </m:oMath>
      <w:r>
        <w:t>——</w:t>
      </w:r>
      <w:r>
        <w:tab/>
      </w:r>
      <w:r>
        <w:t>附加抗剪钢筋屈服强度标准值</w:t>
      </w:r>
      <w:r>
        <w:rPr>
          <w:rFonts w:hint="eastAsia"/>
        </w:rPr>
        <w:t>（N</w:t>
      </w:r>
      <w:r>
        <w:t>/</w:t>
      </w:r>
      <w:r>
        <w:rPr>
          <w:rFonts w:hint="eastAsia"/>
        </w:rPr>
        <w:t>mm</w:t>
      </w:r>
      <w:r>
        <w:rPr>
          <w:vertAlign w:val="superscript"/>
        </w:rPr>
        <w:t>2</w:t>
      </w:r>
      <w:r>
        <w:rPr>
          <w:rFonts w:hint="eastAsia"/>
        </w:rPr>
        <w:t>）。</w:t>
      </w:r>
    </w:p>
    <w:p>
      <w:pPr>
        <w:pStyle w:val="70"/>
      </w:pPr>
      <w:r>
        <w:rPr>
          <w:b/>
        </w:rPr>
        <w:t>2</w:t>
      </w:r>
      <w:r>
        <w:rPr>
          <w:b/>
        </w:rPr>
        <w:tab/>
      </w:r>
      <w:r>
        <w:rPr>
          <w:rFonts w:hint="eastAsia"/>
        </w:rPr>
        <w:t>当柱身设置承担梁端竖向剪力的永久牛腿时，应设置与柱身永久牛腿相连的附加拉结钢筋，且附加拉结钢筋的面积不应小于梁端耗能钢筋毛截面积的20%。</w:t>
      </w:r>
    </w:p>
    <w:p>
      <w:pPr>
        <w:pStyle w:val="4"/>
      </w:pPr>
      <w:bookmarkStart w:id="288" w:name="_Ref172206957"/>
      <w:r>
        <w:rPr>
          <w:rFonts w:hint="eastAsia"/>
        </w:rPr>
        <w:t>采用自复位梁柱节点的</w:t>
      </w:r>
      <w:r>
        <w:t>框架梁端结合面竖向受剪承载力应</w:t>
      </w:r>
      <w:r>
        <w:rPr>
          <w:rFonts w:hint="eastAsia"/>
        </w:rPr>
        <w:t>符合下列规定</w:t>
      </w:r>
      <w:r>
        <w:t>：</w:t>
      </w:r>
      <w:bookmarkEnd w:id="288"/>
    </w:p>
    <w:p>
      <w:pPr>
        <w:pStyle w:val="70"/>
      </w:pPr>
      <w:r>
        <w:rPr>
          <w:rFonts w:hint="eastAsia"/>
          <w:b/>
        </w:rPr>
        <w:t>1</w:t>
      </w:r>
      <w:r>
        <w:tab/>
      </w:r>
      <w:r>
        <w:t>非地震作用</w:t>
      </w:r>
      <w:r>
        <w:rPr>
          <w:rFonts w:hint="eastAsia"/>
        </w:rPr>
        <w:t>或多遇地震作用</w:t>
      </w:r>
      <w:r>
        <w:t xml:space="preserve">组合状况： </w:t>
      </w:r>
    </w:p>
    <w:p>
      <w:pPr>
        <w:pStyle w:val="85"/>
      </w:pPr>
      <w:r>
        <w:rPr>
          <w:rFonts w:cs="Times New Roman"/>
        </w:rPr>
        <w:tab/>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u</m:t>
            </m:r>
            <m:ctrlPr>
              <w:rPr>
                <w:rFonts w:ascii="Cambria Math" w:hAnsi="Cambria Math"/>
              </w:rPr>
            </m:ctrlPr>
          </m:sub>
        </m:sSub>
        <m:d>
          <m:dPr>
            <m:ctrlPr>
              <w:rPr>
                <w:rFonts w:ascii="Cambria Math" w:hAnsi="Cambria Math"/>
              </w:rPr>
            </m:ctrlPr>
          </m:dPr>
          <m:e>
            <m:r>
              <m:rPr>
                <m:sty m:val="p"/>
              </m:rPr>
              <w:rPr>
                <w:rFonts w:hint="eastAsia" w:ascii="Cambria Math" w:hAnsi="Cambria Math"/>
              </w:rPr>
              <m:t>或</m:t>
            </m:r>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uE</m:t>
                </m:r>
                <m:ctrlPr>
                  <w:rPr>
                    <w:rFonts w:ascii="Cambria Math" w:hAnsi="Cambria Math"/>
                  </w:rPr>
                </m:ctrlPr>
              </m:sub>
            </m:sSub>
            <m:ctrlPr>
              <w:rPr>
                <w:rFonts w:ascii="Cambria Math" w:hAnsi="Cambria Math"/>
              </w:rPr>
            </m:ctrlPr>
          </m:e>
        </m:d>
        <m:r>
          <m:rPr>
            <m:sty m:val="p"/>
          </m:rPr>
          <w:rPr>
            <w:rFonts w:ascii="Cambria Math" w:hAnsi="Cambria Math"/>
          </w:rPr>
          <m:t>≤</m:t>
        </m:r>
        <m:r>
          <m:rPr/>
          <w:rPr>
            <w:rFonts w:ascii="Cambria Math" w:hAnsi="Cambria Math"/>
          </w:rPr>
          <m:t>μψ</m:t>
        </m:r>
        <m:sSub>
          <m:sSubPr>
            <m:ctrlPr>
              <w:rPr>
                <w:rFonts w:ascii="Cambria Math" w:hAnsi="Cambria Math"/>
              </w:rPr>
            </m:ctrlPr>
          </m:sSub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r>
              <m:rPr/>
              <w:rPr>
                <w:rFonts w:ascii="Cambria Math" w:hAnsi="Cambria Math"/>
              </w:rPr>
              <m:t>σ</m:t>
            </m:r>
            <m:ctrlPr>
              <w:rPr>
                <w:rFonts w:ascii="Cambria Math" w:hAnsi="Cambria Math"/>
              </w:rPr>
            </m:ctrlPr>
          </m:e>
          <m:sub>
            <m:r>
              <m:rPr/>
              <w:rPr>
                <w:rFonts w:ascii="Cambria Math" w:hAnsi="Cambria Math"/>
              </w:rPr>
              <m:t>pe</m:t>
            </m:r>
            <m:ctrlPr>
              <w:rPr>
                <w:rFonts w:ascii="Cambria Math" w:hAnsi="Cambria Math"/>
              </w:rPr>
            </m:ctrlPr>
          </m:sub>
        </m:sSub>
        <m:r>
          <m:rPr>
            <m:sty m:val="p"/>
          </m:rPr>
          <w:rPr>
            <w:rFonts w:ascii="Cambria Math" w:hAnsi="Cambria Math"/>
          </w:rPr>
          <m:t>+1.65</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e>
        </m:rad>
        <m:r>
          <m:rPr/>
          <w:rPr>
            <w:rFonts w:ascii="Cambria Math" w:hAnsi="Cambria Math"/>
          </w:rPr>
          <m:t>+</m:t>
        </m:r>
        <m:r>
          <m:rPr>
            <m:sty m:val="p"/>
          </m:rPr>
          <w:rPr>
            <w:rFonts w:ascii="Cambria Math" w:hAnsi="Cambria Math"/>
          </w:rPr>
          <m:t>1.65</m:t>
        </m:r>
        <m:sSubSup>
          <m:sSubSupPr>
            <m:ctrlPr>
              <w:rPr>
                <w:rFonts w:ascii="Cambria Math" w:hAnsi="Cambria Math"/>
                <w:i/>
              </w:rPr>
            </m:ctrlPr>
          </m:sSubSupPr>
          <m:e>
            <m:r>
              <m:rPr/>
              <w:rPr>
                <w:rFonts w:hint="eastAsia" w:ascii="Cambria Math" w:hAnsi="Cambria Math"/>
              </w:rPr>
              <m:t>A</m:t>
            </m:r>
            <m:ctrlPr>
              <w:rPr>
                <w:rFonts w:hint="eastAsia" w:ascii="Cambria Math" w:hAnsi="Cambria Math"/>
                <w:i/>
              </w:rPr>
            </m:ctrlPr>
          </m:e>
          <m:sub>
            <m:r>
              <m:rPr/>
              <w:rPr>
                <w:rFonts w:ascii="Cambria Math" w:hAnsi="Cambria Math"/>
              </w:rPr>
              <m:t>s</m:t>
            </m:r>
            <m:ctrlPr>
              <w:rPr>
                <w:rFonts w:ascii="Cambria Math" w:hAnsi="Cambria Math"/>
                <w:i/>
              </w:rPr>
            </m:ctrlPr>
          </m:sub>
          <m:sup>
            <m:r>
              <m:rPr/>
              <w:rPr>
                <w:rFonts w:ascii="Cambria Math" w:hAnsi="Cambria Math"/>
              </w:rPr>
              <m:t>'</m:t>
            </m:r>
            <m:ctrlPr>
              <w:rPr>
                <w:rFonts w:ascii="Cambria Math" w:hAnsi="Cambria Math"/>
                <w:i/>
              </w:rPr>
            </m:ctrlPr>
          </m:sup>
        </m:sSubSup>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e>
        </m:rad>
      </m:oMath>
      <w:r>
        <w:tab/>
      </w:r>
      <w:r>
        <w:t>（</w:t>
      </w:r>
      <w:r>
        <w:fldChar w:fldCharType="begin"/>
      </w:r>
      <w:r>
        <w:instrText xml:space="preserve"> REF _Ref172206957 \r \h </w:instrText>
      </w:r>
      <w:r>
        <w:fldChar w:fldCharType="separate"/>
      </w:r>
      <w:r>
        <w:t>5. 5. 8</w:t>
      </w:r>
      <w:r>
        <w:fldChar w:fldCharType="end"/>
      </w:r>
      <w:r>
        <w:noBreakHyphen/>
      </w:r>
      <w:r>
        <w:t>1）</w:t>
      </w:r>
    </w:p>
    <w:p>
      <w:pPr>
        <w:pStyle w:val="70"/>
      </w:pPr>
      <w:r>
        <w:rPr>
          <w:b/>
        </w:rPr>
        <w:t>2</w:t>
      </w:r>
      <w:r>
        <w:tab/>
      </w:r>
      <w:r>
        <w:t>罕遇地震作用</w:t>
      </w:r>
      <w:r>
        <w:rPr>
          <w:rFonts w:hint="eastAsia"/>
        </w:rPr>
        <w:t>组合</w:t>
      </w:r>
      <w:r>
        <w:t>状况：</w:t>
      </w:r>
    </w:p>
    <w:p>
      <w:pPr>
        <w:pStyle w:val="85"/>
      </w:pPr>
      <w:r>
        <w:rPr>
          <w:rFonts w:cs="Times New Roman"/>
        </w:rPr>
        <w:tab/>
      </w:r>
      <m:oMath>
        <m:sSub>
          <m:sSubPr>
            <m:ctrlPr>
              <w:rPr>
                <w:rFonts w:ascii="Cambria Math" w:hAnsi="Cambria Math"/>
                <w:i/>
              </w:rPr>
            </m:ctrlPr>
          </m:sSub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Sub>
        <m:r>
          <m:rPr>
            <m:sty m:val="p"/>
          </m:rPr>
          <w:rPr>
            <w:rFonts w:ascii="Cambria Math" w:hAnsi="Cambria Math"/>
          </w:rPr>
          <m:t>≤</m:t>
        </m:r>
        <m:r>
          <m:rPr/>
          <w:rPr>
            <w:rFonts w:ascii="Cambria Math" w:hAnsi="Cambria Math"/>
          </w:rPr>
          <m:t>μψ</m:t>
        </m:r>
        <m:d>
          <m:dPr>
            <m:ctrlPr>
              <w:rPr>
                <w:rFonts w:ascii="Cambria Math" w:hAnsi="Cambria Math"/>
                <w:i/>
              </w:rPr>
            </m:ctrlPr>
          </m:dPr>
          <m:e>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p</m:t>
                </m:r>
                <m:ctrlPr>
                  <w:rPr>
                    <w:rFonts w:ascii="Cambria Math" w:hAnsi="Cambria Math"/>
                  </w:rPr>
                </m:ctrlPr>
              </m:sub>
            </m:sSub>
            <m:sSub>
              <m:sSubPr>
                <m:ctrlPr>
                  <w:rPr>
                    <w:rFonts w:ascii="Cambria Math" w:hAnsi="Cambria Math"/>
                  </w:rPr>
                </m:ctrlPr>
              </m:sSubPr>
              <m:e>
                <m:r>
                  <m:rPr/>
                  <w:rPr>
                    <w:rFonts w:ascii="XITS Math" w:hAnsi="XITS Math" w:cs="XITS Math"/>
                  </w:rPr>
                  <m:t>σ</m:t>
                </m:r>
                <m:ctrlPr>
                  <w:rPr>
                    <w:rFonts w:ascii="Cambria Math" w:hAnsi="Cambria Math"/>
                  </w:rPr>
                </m:ctrlPr>
              </m:e>
              <m:sub>
                <m:r>
                  <m:rPr/>
                  <w:rPr>
                    <w:rFonts w:ascii="Cambria Math" w:hAnsi="Cambria Math"/>
                  </w:rPr>
                  <m:t>p</m:t>
                </m:r>
                <m:ctrlPr>
                  <w:rPr>
                    <w:rFonts w:ascii="Cambria Math" w:hAnsi="Cambria Math"/>
                  </w:rPr>
                </m:ctrlPr>
              </m:sub>
            </m:sSub>
            <m:r>
              <m:rPr/>
              <w:rPr>
                <w:rFonts w:ascii="XITS Math" w:hAnsi="XITS Math" w:cs="XITS Math"/>
              </w:rPr>
              <m:t>+</m:t>
            </m:r>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s</m:t>
                </m:r>
                <m:ctrlPr>
                  <w:rPr>
                    <w:rFonts w:ascii="Cambria Math" w:hAnsi="Cambria Math"/>
                  </w:rPr>
                </m:ctrlPr>
              </m:sub>
            </m:sSub>
            <m:sSub>
              <m:sSubPr>
                <m:ctrlPr>
                  <w:rPr>
                    <w:rFonts w:ascii="Cambria Math" w:hAnsi="Cambria Math"/>
                  </w:rPr>
                </m:ctrlPr>
              </m:sSubPr>
              <m:e>
                <m:r>
                  <m:rPr/>
                  <w:rPr>
                    <w:rFonts w:ascii="XITS Math" w:hAnsi="XITS Math" w:cs="XITS Math"/>
                  </w:rPr>
                  <m:t>f</m:t>
                </m:r>
                <m:ctrlPr>
                  <w:rPr>
                    <w:rFonts w:ascii="Cambria Math" w:hAnsi="Cambria Math"/>
                  </w:rPr>
                </m:ctrlPr>
              </m:e>
              <m:sub>
                <m:r>
                  <m:rPr/>
                  <w:rPr>
                    <w:rFonts w:ascii="Cambria Math" w:hAnsi="Cambria Math"/>
                  </w:rPr>
                  <m:t>yk</m:t>
                </m:r>
                <m:ctrlPr>
                  <w:rPr>
                    <w:rFonts w:ascii="Cambria Math" w:hAnsi="Cambria Math"/>
                  </w:rPr>
                </m:ctrlPr>
              </m:sub>
            </m:sSub>
            <m:r>
              <m:rPr/>
              <w:rPr>
                <w:rFonts w:ascii="Cambria Math" w:hAnsi="Cambria Math"/>
              </w:rPr>
              <m:t>−</m:t>
            </m:r>
            <m:sSubSup>
              <m:sSubSupPr>
                <m:ctrlPr>
                  <w:rPr>
                    <w:rFonts w:ascii="Cambria Math" w:hAnsi="Cambria Math"/>
                  </w:rPr>
                </m:ctrlPr>
              </m:sSubSupPr>
              <m:e>
                <m:r>
                  <m:rPr>
                    <m:sty m:val="p"/>
                  </m:rPr>
                  <w:rPr>
                    <w:rFonts w:ascii="Cambria Math" w:hAnsi="Cambria Math"/>
                  </w:rPr>
                  <m:t>A</m:t>
                </m:r>
                <m:ctrlPr>
                  <w:rPr>
                    <w:rFonts w:ascii="Cambria Math" w:hAnsi="Cambria Math"/>
                    <w:i/>
                  </w:rPr>
                </m:ctrlPr>
              </m:e>
              <m:sub>
                <m:r>
                  <m:rPr>
                    <m:sty m:val="p"/>
                  </m:rPr>
                  <w:rPr>
                    <w:rFonts w:ascii="Cambria Math" w:hAnsi="Cambria Math"/>
                  </w:rPr>
                  <m:t>s</m:t>
                </m:r>
                <m:ctrlPr>
                  <w:rPr>
                    <w:rFonts w:ascii="Cambria Math" w:hAnsi="Cambria Math"/>
                  </w:rPr>
                </m:ctrlPr>
              </m:sub>
              <m:sup>
                <m:r>
                  <m:rPr>
                    <m:sty m:val="p"/>
                  </m:rPr>
                  <w:rPr>
                    <w:rFonts w:ascii="Cambria Math" w:hAnsi="Cambria Math"/>
                  </w:rPr>
                  <m:t>'</m:t>
                </m:r>
                <m:ctrlPr>
                  <w:rPr>
                    <w:rFonts w:ascii="Cambria Math" w:hAnsi="Cambria Math"/>
                  </w:rPr>
                </m:ctrlPr>
              </m:sup>
            </m:sSubSup>
            <m:sSub>
              <m:sSubPr>
                <m:ctrlPr>
                  <w:rPr>
                    <w:rFonts w:ascii="Cambria Math" w:hAnsi="Cambria Math"/>
                  </w:rPr>
                </m:ctrlPr>
              </m:sSubPr>
              <m:e>
                <m:r>
                  <m:rPr/>
                  <w:rPr>
                    <w:rFonts w:ascii="XITS Math" w:hAnsi="XITS Math" w:cs="XITS Math"/>
                  </w:rPr>
                  <m:t>f</m:t>
                </m:r>
                <m:ctrlPr>
                  <w:rPr>
                    <w:rFonts w:ascii="Cambria Math" w:hAnsi="Cambria Math"/>
                  </w:rPr>
                </m:ctrlPr>
              </m:e>
              <m:sub>
                <m:r>
                  <m:rPr/>
                  <w:rPr>
                    <w:rFonts w:ascii="Cambria Math" w:hAnsi="Cambria Math"/>
                  </w:rPr>
                  <m:t>yk</m:t>
                </m:r>
                <m:ctrlPr>
                  <w:rPr>
                    <w:rFonts w:ascii="Cambria Math" w:hAnsi="Cambria Math"/>
                  </w:rPr>
                </m:ctrlPr>
              </m:sub>
            </m:sSub>
            <m:ctrlPr>
              <w:rPr>
                <w:rFonts w:ascii="Cambria Math" w:hAnsi="Cambria Math"/>
                <w:i/>
              </w:rPr>
            </m:ctrlPr>
          </m:e>
        </m:d>
        <m:r>
          <m:rPr/>
          <w:rPr>
            <w:rFonts w:ascii="Cambria Math" w:hAnsi="Cambria Math"/>
          </w:rPr>
          <m:t>+</m:t>
        </m:r>
        <m:r>
          <m:rPr>
            <m:sty m:val="p"/>
          </m:rPr>
          <w:rPr>
            <w:rFonts w:ascii="Cambria Math" w:hAnsi="Cambria Math"/>
          </w:rPr>
          <m:t>1.65</m:t>
        </m:r>
        <m:sSubSup>
          <m:sSubSupPr>
            <m:ctrlPr>
              <w:rPr>
                <w:rFonts w:ascii="Cambria Math" w:hAnsi="Cambria Math"/>
              </w:rPr>
            </m:ctrlPr>
          </m:sSubSupPr>
          <m:e>
            <m:r>
              <m:rPr>
                <m:sty m:val="p"/>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up>
            <m:r>
              <m:rPr>
                <m:sty m:val="p"/>
              </m:rPr>
              <w:rPr>
                <w:rFonts w:ascii="Cambria Math" w:hAnsi="Cambria Math"/>
              </w:rPr>
              <m:t>'</m:t>
            </m:r>
            <m:ctrlPr>
              <w:rPr>
                <w:rFonts w:ascii="Cambria Math" w:hAnsi="Cambria Math"/>
              </w:rPr>
            </m:ctrlPr>
          </m:sup>
        </m:sSubSup>
        <m:rad>
          <m:radPr>
            <m:degHide m:val="true"/>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ck</m:t>
                </m:r>
                <m:ctrlPr>
                  <w:rPr>
                    <w:rFonts w:ascii="Cambria Math" w:hAnsi="Cambria Math"/>
                  </w:rPr>
                </m:ctrlPr>
              </m:sub>
            </m:sSub>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yk</m:t>
                </m:r>
                <m:ctrlPr>
                  <w:rPr>
                    <w:rFonts w:ascii="Cambria Math" w:hAnsi="Cambria Math"/>
                  </w:rPr>
                </m:ctrlPr>
              </m:sub>
            </m:sSub>
            <m:ctrlPr>
              <w:rPr>
                <w:rFonts w:ascii="Cambria Math" w:hAnsi="Cambria Math"/>
              </w:rPr>
            </m:ctrlPr>
          </m:e>
        </m:rad>
      </m:oMath>
      <w:r>
        <w:tab/>
      </w:r>
      <w:r>
        <w:t>（</w:t>
      </w:r>
      <w:r>
        <w:fldChar w:fldCharType="begin"/>
      </w:r>
      <w:r>
        <w:instrText xml:space="preserve"> REF _Ref172206957 \r \h </w:instrText>
      </w:r>
      <w:r>
        <w:fldChar w:fldCharType="separate"/>
      </w:r>
      <w:r>
        <w:t>5. 5. 8</w:t>
      </w:r>
      <w:r>
        <w:fldChar w:fldCharType="end"/>
      </w:r>
      <w:r>
        <w:noBreakHyphen/>
      </w:r>
      <w:r>
        <w:t>2）</w:t>
      </w:r>
    </w:p>
    <w:p>
      <w:pPr>
        <w:pStyle w:val="86"/>
      </w:pPr>
      <w:r>
        <w:t>式中：</w:t>
      </w:r>
      <w:r>
        <w:tab/>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u</m:t>
            </m:r>
            <m:ctrlPr>
              <w:rPr>
                <w:rFonts w:ascii="Cambria Math" w:hAnsi="Cambria Math"/>
                <w:i/>
              </w:rPr>
            </m:ctrlPr>
          </m:sub>
        </m:sSub>
      </m:oMath>
      <w:r>
        <w:rPr>
          <w:i/>
          <w:iCs/>
          <w:vertAlign w:val="subscript"/>
        </w:rPr>
        <w:t xml:space="preserve"> </w:t>
      </w:r>
      <w:r>
        <w:t>——</w:t>
      </w:r>
      <w:r>
        <w:tab/>
      </w:r>
      <w:r>
        <w:t>非地震作用组合</w:t>
      </w:r>
      <w:r>
        <w:rPr>
          <w:rFonts w:hint="eastAsia"/>
        </w:rPr>
        <w:t>下梁端最大剪力设计值（N）；</w:t>
      </w:r>
    </w:p>
    <w:p>
      <w:pPr>
        <w:pStyle w:val="86"/>
      </w:pPr>
      <w:r>
        <w:tab/>
      </w:r>
      <m:oMath>
        <m:sSub>
          <m:sSubPr>
            <m:ctrlPr>
              <w:rPr>
                <w:rFonts w:ascii="XITS Math" w:hAnsi="XITS Math"/>
              </w:rPr>
            </m:ctrlPr>
          </m:sSubPr>
          <m:e>
            <m:r>
              <m:rPr/>
              <w:rPr>
                <w:rFonts w:ascii="XITS Math" w:hAnsi="XITS Math"/>
              </w:rPr>
              <m:t>V</m:t>
            </m:r>
            <m:ctrlPr>
              <w:rPr>
                <w:rFonts w:ascii="XITS Math" w:hAnsi="XITS Math"/>
              </w:rPr>
            </m:ctrlPr>
          </m:e>
          <m:sub>
            <m:r>
              <m:rPr/>
              <w:rPr>
                <w:rFonts w:ascii="XITS Math" w:hAnsi="XITS Math"/>
              </w:rPr>
              <m:t>uE</m:t>
            </m:r>
            <m:ctrlPr>
              <w:rPr>
                <w:rFonts w:ascii="XITS Math" w:hAnsi="XITS Math"/>
              </w:rPr>
            </m:ctrlPr>
          </m:sub>
        </m:sSub>
      </m:oMath>
      <w:r>
        <w:t>——</w:t>
      </w:r>
      <w:r>
        <w:tab/>
      </w:r>
      <w:r>
        <w:t>多遇地震作用组合</w:t>
      </w:r>
      <w:r>
        <w:rPr>
          <w:rFonts w:hint="eastAsia"/>
        </w:rPr>
        <w:t>下梁端最大剪力设计值（N）；</w:t>
      </w:r>
    </w:p>
    <w:p>
      <w:pPr>
        <w:pStyle w:val="86"/>
      </w:pPr>
      <w:r>
        <w:rPr>
          <w:rFonts w:hAnsi="Cambria Math"/>
        </w:rPr>
        <w:tab/>
      </w:r>
      <m:oMath>
        <m:sSub>
          <m:sSubPr>
            <m:ctrlPr>
              <w:rPr>
                <w:rFonts w:ascii="Cambria Math" w:hAnsi="Cambria Math"/>
                <w:i/>
              </w:rPr>
            </m:ctrlPr>
          </m:sSubPr>
          <m:e>
            <m:r>
              <m:rPr/>
              <w:rPr>
                <w:rFonts w:ascii="Cambria Math" w:hAnsi="Cambria Math"/>
              </w:rPr>
              <m:t>V</m:t>
            </m:r>
            <m:ctrlPr>
              <w:rPr>
                <w:rFonts w:ascii="Cambria Math" w:hAnsi="Cambria Math"/>
              </w:rPr>
            </m:ctrlPr>
          </m:e>
          <m:sub>
            <m:r>
              <m:rPr/>
              <w:rPr>
                <w:rFonts w:ascii="Cambria Math" w:hAnsi="Cambria Math"/>
              </w:rPr>
              <m:t>uEk</m:t>
            </m:r>
            <m:ctrlPr>
              <w:rPr>
                <w:rFonts w:ascii="Cambria Math" w:hAnsi="Cambria Math"/>
              </w:rPr>
            </m:ctrlPr>
          </m:sub>
        </m:sSub>
      </m:oMath>
      <w:r>
        <w:t>——</w:t>
      </w:r>
      <w:r>
        <w:tab/>
      </w:r>
      <w:r>
        <w:rPr>
          <w:rFonts w:hint="eastAsia"/>
        </w:rPr>
        <w:t>罕</w:t>
      </w:r>
      <w:r>
        <w:t>遇地震</w:t>
      </w:r>
      <w:r>
        <w:rPr>
          <w:rFonts w:hint="eastAsia"/>
        </w:rPr>
        <w:t>作用下梁端剪力标准值（N）；</w:t>
      </w:r>
    </w:p>
    <w:p>
      <w:pPr>
        <w:pStyle w:val="86"/>
      </w:pPr>
      <w:r>
        <w:rPr>
          <w:i/>
          <w:iCs/>
        </w:rPr>
        <w:tab/>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c</m:t>
            </m:r>
            <m:ctrlPr>
              <w:rPr>
                <w:rFonts w:ascii="Cambria Math" w:hAnsi="Cambria Math"/>
                <w:i/>
                <w:iCs/>
              </w:rPr>
            </m:ctrlPr>
          </m:sub>
        </m:sSub>
      </m:oMath>
      <w:r>
        <w:rPr>
          <w:i/>
          <w:iCs/>
          <w:vertAlign w:val="subscript"/>
        </w:rPr>
        <w:t xml:space="preserve"> </w:t>
      </w:r>
      <w:r>
        <w:t>——</w:t>
      </w:r>
      <w:r>
        <w:tab/>
      </w:r>
      <w:r>
        <w:rPr>
          <w:rFonts w:hint="eastAsia"/>
        </w:rPr>
        <w:t>预制梁</w:t>
      </w:r>
      <w:r>
        <w:t>混凝土轴心抗压强度设计值（N/mm</w:t>
      </w:r>
      <w:r>
        <w:rPr>
          <w:vertAlign w:val="superscript"/>
        </w:rPr>
        <w:t>2</w:t>
      </w:r>
      <w:r>
        <w:t>）；</w:t>
      </w:r>
    </w:p>
    <w:p>
      <w:pPr>
        <w:pStyle w:val="86"/>
      </w:pPr>
      <w:r>
        <w:rPr>
          <w:i/>
          <w:iCs/>
        </w:rPr>
        <w:tab/>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y</m:t>
            </m:r>
            <m:ctrlPr>
              <w:rPr>
                <w:rFonts w:ascii="Cambria Math" w:hAnsi="Cambria Math"/>
                <w:i/>
                <w:iCs/>
              </w:rPr>
            </m:ctrlPr>
          </m:sub>
        </m:sSub>
      </m:oMath>
      <w:r>
        <w:rPr>
          <w:i/>
          <w:iCs/>
          <w:vertAlign w:val="subscript"/>
        </w:rPr>
        <w:t xml:space="preserve"> </w:t>
      </w:r>
      <w:r>
        <w:t>——</w:t>
      </w:r>
      <w:r>
        <w:tab/>
      </w:r>
      <w:r>
        <w:t>垂直穿过结合面耗能钢筋的</w:t>
      </w:r>
      <w:r>
        <w:rPr>
          <w:rFonts w:hint="eastAsia"/>
        </w:rPr>
        <w:t>抗拉</w:t>
      </w:r>
      <w:r>
        <w:t>强度设计值（N/mm</w:t>
      </w:r>
      <w:r>
        <w:rPr>
          <w:vertAlign w:val="superscript"/>
        </w:rPr>
        <w:t>2</w:t>
      </w:r>
      <w:r>
        <w:t>）</w:t>
      </w:r>
      <w:r>
        <w:rPr>
          <w:rFonts w:hint="eastAsia"/>
        </w:rPr>
        <w:t>，其数值大于3</w:t>
      </w:r>
      <w:r>
        <w:t>60 N/mm</w:t>
      </w:r>
      <w:r>
        <w:rPr>
          <w:vertAlign w:val="superscript"/>
        </w:rPr>
        <w:t>2</w:t>
      </w:r>
      <w:r>
        <w:rPr>
          <w:rFonts w:hint="eastAsia"/>
        </w:rPr>
        <w:t>时应取3</w:t>
      </w:r>
      <w:r>
        <w:t>60 N/mm</w:t>
      </w:r>
      <w:r>
        <w:rPr>
          <w:vertAlign w:val="superscript"/>
        </w:rPr>
        <w:t>2</w:t>
      </w:r>
      <w:r>
        <w:t>；</w:t>
      </w:r>
    </w:p>
    <w:p>
      <w:pPr>
        <w:pStyle w:val="86"/>
      </w:pPr>
      <w:r>
        <w:rPr>
          <w:i/>
          <w:iCs/>
        </w:rPr>
        <w:tab/>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w:rPr>
                <w:rFonts w:ascii="Cambria Math" w:hAnsi="Cambria Math"/>
              </w:rPr>
              <m:t>yk</m:t>
            </m:r>
            <m:ctrlPr>
              <w:rPr>
                <w:rFonts w:ascii="Cambria Math" w:hAnsi="Cambria Math"/>
                <w:i/>
                <w:iCs/>
              </w:rPr>
            </m:ctrlPr>
          </m:sub>
        </m:sSub>
      </m:oMath>
      <w:r>
        <w:t>——</w:t>
      </w:r>
      <w:r>
        <w:tab/>
      </w:r>
      <w:r>
        <w:t>垂直穿过结合面耗能钢筋的</w:t>
      </w:r>
      <w:r>
        <w:rPr>
          <w:rFonts w:hint="eastAsia"/>
        </w:rPr>
        <w:t>抗拉</w:t>
      </w:r>
      <w:r>
        <w:t>强度标准值（N/mm</w:t>
      </w:r>
      <w:r>
        <w:rPr>
          <w:vertAlign w:val="superscript"/>
        </w:rPr>
        <w:t>2</w:t>
      </w:r>
      <w:r>
        <w:t>）；</w:t>
      </w:r>
    </w:p>
    <w:p>
      <w:pPr>
        <w:pStyle w:val="86"/>
      </w:pPr>
      <w:r>
        <w:rPr>
          <w:i/>
          <w:iCs/>
        </w:rPr>
        <w:tab/>
      </w:r>
      <m:oMath>
        <m:sSub>
          <m:sSubPr>
            <m:ctrlPr>
              <w:rPr>
                <w:rFonts w:ascii="Cambria Math" w:hAnsi="Cambria Math"/>
                <w:i/>
                <w:iCs/>
              </w:rPr>
            </m:ctrlPr>
          </m:sSubPr>
          <m:e>
            <m:r>
              <m:rPr/>
              <w:rPr>
                <w:rFonts w:ascii="Cambria Math" w:hAnsi="Cambria Math"/>
              </w:rPr>
              <m:t>A</m:t>
            </m:r>
            <m:ctrlPr>
              <w:rPr>
                <w:rFonts w:ascii="Cambria Math" w:hAnsi="Cambria Math"/>
                <w:i/>
                <w:iCs/>
              </w:rPr>
            </m:ctrlPr>
          </m:e>
          <m:sub>
            <m:r>
              <m:rPr/>
              <w:rPr>
                <w:rFonts w:ascii="Cambria Math" w:hAnsi="Cambria Math"/>
              </w:rPr>
              <m:t>s</m:t>
            </m:r>
            <m:ctrlPr>
              <w:rPr>
                <w:rFonts w:ascii="Cambria Math" w:hAnsi="Cambria Math"/>
                <w:i/>
                <w:iCs/>
              </w:rPr>
            </m:ctrlPr>
          </m:sub>
        </m:sSub>
      </m:oMath>
      <w:r>
        <w:t>——</w:t>
      </w:r>
      <w:r>
        <w:tab/>
      </w:r>
      <w:r>
        <w:t>垂直穿过结合面的</w:t>
      </w:r>
      <w:r>
        <w:rPr>
          <w:rFonts w:hint="eastAsia"/>
        </w:rPr>
        <w:t>受拉</w:t>
      </w:r>
      <w:r>
        <w:t>耗能钢筋的毛截面面积（mm</w:t>
      </w:r>
      <w:r>
        <w:rPr>
          <w:vertAlign w:val="superscript"/>
        </w:rPr>
        <w:t>2</w:t>
      </w:r>
      <w:r>
        <w:t>）；</w:t>
      </w:r>
    </w:p>
    <w:p>
      <w:pPr>
        <w:pStyle w:val="86"/>
      </w:pPr>
      <w:r>
        <w:rPr>
          <w:i/>
          <w:iCs/>
        </w:rPr>
        <w:tab/>
      </w:r>
      <m:oMath>
        <m:sSubSup>
          <m:sSubSupPr>
            <m:ctrlPr>
              <w:rPr>
                <w:rFonts w:ascii="Cambria Math" w:hAnsi="Cambria Math"/>
                <w:i/>
                <w:iCs/>
              </w:rPr>
            </m:ctrlPr>
          </m:sSubSupPr>
          <m:e>
            <m:r>
              <m:rPr/>
              <w:rPr>
                <w:rFonts w:hint="eastAsia" w:ascii="Cambria Math" w:hAnsi="Cambria Math"/>
              </w:rPr>
              <m:t>A</m:t>
            </m:r>
            <m:ctrlPr>
              <w:rPr>
                <w:rFonts w:hint="eastAsia" w:ascii="Cambria Math" w:hAnsi="Cambria Math"/>
                <w:i/>
                <w:iCs/>
              </w:rPr>
            </m:ctrlPr>
          </m:e>
          <m:sub>
            <m:r>
              <m:rPr/>
              <w:rPr>
                <w:rFonts w:ascii="Cambria Math" w:hAnsi="Cambria Math"/>
              </w:rPr>
              <m:t>s</m:t>
            </m:r>
            <m:ctrlPr>
              <w:rPr>
                <w:rFonts w:ascii="Cambria Math" w:hAnsi="Cambria Math"/>
                <w:i/>
                <w:iCs/>
              </w:rPr>
            </m:ctrlPr>
          </m:sub>
          <m:sup>
            <m:r>
              <m:rPr/>
              <w:rPr>
                <w:rFonts w:ascii="Cambria Math" w:hAnsi="Cambria Math"/>
              </w:rPr>
              <m:t>'</m:t>
            </m:r>
            <m:ctrlPr>
              <w:rPr>
                <w:rFonts w:ascii="Cambria Math" w:hAnsi="Cambria Math"/>
                <w:i/>
                <w:iCs/>
              </w:rPr>
            </m:ctrlPr>
          </m:sup>
        </m:sSubSup>
      </m:oMath>
      <w:r>
        <w:t>——</w:t>
      </w:r>
      <w:r>
        <w:tab/>
      </w:r>
      <w:r>
        <w:t>垂直穿过结合面的</w:t>
      </w:r>
      <w:r>
        <w:rPr>
          <w:rFonts w:hint="eastAsia"/>
        </w:rPr>
        <w:t>受压</w:t>
      </w:r>
      <w:r>
        <w:t>耗能钢筋的毛截面面积（mm</w:t>
      </w:r>
      <w:r>
        <w:rPr>
          <w:vertAlign w:val="superscript"/>
        </w:rPr>
        <w:t>2</w:t>
      </w:r>
      <w:r>
        <w:t>）；</w:t>
      </w:r>
    </w:p>
    <w:p>
      <w:pPr>
        <w:pStyle w:val="86"/>
      </w:pPr>
      <w:r>
        <w:rPr>
          <w:i/>
          <w:iCs/>
        </w:rPr>
        <w:tab/>
      </w:r>
      <m:oMath>
        <m:sSub>
          <m:sSubPr>
            <m:ctrlPr>
              <w:rPr>
                <w:rFonts w:ascii="Cambria Math" w:hAnsi="Cambria Math"/>
                <w:i/>
                <w:iCs/>
              </w:rPr>
            </m:ctrlPr>
          </m:sSubPr>
          <m:e>
            <m:r>
              <m:rPr>
                <m:sty m:val="p"/>
              </m:rPr>
              <w:rPr>
                <w:rFonts w:ascii="Cambria Math" w:hAnsi="Cambria Math"/>
              </w:rPr>
              <m:t>σ</m:t>
            </m:r>
            <m:ctrlPr>
              <w:rPr>
                <w:rFonts w:ascii="Cambria Math" w:hAnsi="Cambria Math"/>
                <w:iCs/>
              </w:rPr>
            </m:ctrlPr>
          </m:e>
          <m:sub>
            <m:r>
              <m:rPr/>
              <w:rPr>
                <w:rFonts w:ascii="Cambria Math" w:hAnsi="Cambria Math"/>
              </w:rPr>
              <m:t>p</m:t>
            </m:r>
            <m:ctrlPr>
              <w:rPr>
                <w:rFonts w:ascii="Cambria Math" w:hAnsi="Cambria Math"/>
                <w:i/>
                <w:iCs/>
              </w:rPr>
            </m:ctrlPr>
          </m:sub>
        </m:sSub>
      </m:oMath>
      <w:r>
        <w:rPr>
          <w:i/>
          <w:iCs/>
          <w:vertAlign w:val="subscript"/>
        </w:rPr>
        <w:t xml:space="preserve"> </w:t>
      </w:r>
      <w:r>
        <w:t>——</w:t>
      </w:r>
      <w:r>
        <w:tab/>
      </w:r>
      <w:r>
        <w:t>节点处预应力钢绞线的应力（N/mm</w:t>
      </w:r>
      <w:r>
        <w:rPr>
          <w:vertAlign w:val="superscript"/>
        </w:rPr>
        <w:t>2</w:t>
      </w:r>
      <w:r>
        <w:t>）</w:t>
      </w:r>
      <w:r>
        <w:rPr>
          <w:rFonts w:hint="eastAsia"/>
        </w:rPr>
        <w:t>，根据本规程</w:t>
      </w:r>
      <w:r>
        <w:fldChar w:fldCharType="begin"/>
      </w:r>
      <w:r>
        <w:instrText xml:space="preserve"> </w:instrText>
      </w:r>
      <w:r>
        <w:rPr>
          <w:rFonts w:hint="eastAsia"/>
        </w:rPr>
        <w:instrText xml:space="preserve">REF _Ref173246832 \r \h</w:instrText>
      </w:r>
      <w:r>
        <w:instrText xml:space="preserve"> </w:instrText>
      </w:r>
      <w:r>
        <w:fldChar w:fldCharType="separate"/>
      </w:r>
      <w:r>
        <w:rPr>
          <w:rFonts w:hint="eastAsia"/>
        </w:rPr>
        <w:t>附录A</w:t>
      </w:r>
      <w:r>
        <w:fldChar w:fldCharType="end"/>
      </w:r>
      <w:r>
        <w:rPr>
          <w:rFonts w:hint="eastAsia"/>
        </w:rPr>
        <w:t>计算</w:t>
      </w:r>
      <w:r>
        <w:t>;</w:t>
      </w:r>
    </w:p>
    <w:p>
      <w:pPr>
        <w:pStyle w:val="86"/>
      </w:pPr>
      <w:r>
        <w:tab/>
      </w:r>
      <m:oMath>
        <m:r>
          <m:rPr/>
          <w:rPr>
            <w:rFonts w:ascii="Cambria Math" w:hAnsi="Cambria Math"/>
          </w:rPr>
          <m:t>μ</m:t>
        </m:r>
      </m:oMath>
      <w:r>
        <w:t>——</w:t>
      </w:r>
      <w:r>
        <w:tab/>
      </w:r>
      <w:r>
        <w:t>摩擦系数，取0.6；</w:t>
      </w:r>
    </w:p>
    <w:p>
      <w:pPr>
        <w:pStyle w:val="86"/>
      </w:pPr>
      <w:r>
        <w:tab/>
      </w:r>
      <m:oMath>
        <m:r>
          <m:rPr/>
          <w:rPr>
            <w:rFonts w:ascii="Cambria Math" w:hAnsi="Cambria Math"/>
          </w:rPr>
          <m:t>ψ</m:t>
        </m:r>
      </m:oMath>
      <w:r>
        <w:t>——</w:t>
      </w:r>
      <w:r>
        <w:tab/>
      </w:r>
      <w:r>
        <w:t>抗剪折减系数，取0.75。</w:t>
      </w:r>
    </w:p>
    <w:p>
      <w:pPr>
        <w:pStyle w:val="4"/>
      </w:pPr>
      <w:bookmarkStart w:id="289" w:name="_Ref167194327"/>
      <w:r>
        <w:rPr>
          <w:rFonts w:hint="eastAsia"/>
        </w:rPr>
        <w:t>自复位梁柱节点，穿过框架梁端结合面的耗能钢筋总面积应符合下式规定：</w:t>
      </w:r>
      <w:bookmarkEnd w:id="289"/>
    </w:p>
    <w:p>
      <w:pPr>
        <w:pStyle w:val="85"/>
      </w:pPr>
      <w:r>
        <w:tab/>
      </w:r>
      <m:oMath>
        <m:r>
          <m:rPr/>
          <w:rPr>
            <w:rFonts w:ascii="Cambria Math" w:hAnsi="Cambria Math"/>
          </w:rPr>
          <m:t>0.49</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s</m:t>
            </m:r>
            <m:r>
              <m:rPr/>
              <w:rPr>
                <w:rFonts w:hint="eastAsia" w:ascii="Cambria Math" w:hAnsi="Cambria Math"/>
              </w:rPr>
              <m:t>a</m:t>
            </m:r>
            <m:ctrlPr>
              <w:rPr>
                <w:rFonts w:ascii="Cambria Math" w:hAnsi="Cambria Math"/>
                <w:i/>
              </w:rPr>
            </m:ctrlPr>
          </m:sub>
        </m:sSub>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yk</m:t>
            </m:r>
            <m:ctrlPr>
              <w:rPr>
                <w:rFonts w:ascii="Cambria Math" w:hAnsi="Cambria Math"/>
                <w:i/>
              </w:rPr>
            </m:ctrlPr>
          </m:sub>
        </m:sSub>
        <m:r>
          <m:rPr>
            <m:sty m:val="p"/>
          </m:rPr>
          <w:rPr>
            <w:rFonts w:hint="eastAsia"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rPr>
            </m:ctrlPr>
          </m:e>
          <m:sub>
            <m:r>
              <m:rPr/>
              <w:rPr>
                <w:rFonts w:ascii="Cambria Math" w:hAnsi="Cambria Math"/>
              </w:rPr>
              <m:t>Gk</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Qk</m:t>
            </m:r>
            <m:ctrlPr>
              <w:rPr>
                <w:rFonts w:ascii="Cambria Math" w:hAnsi="Cambria Math"/>
                <w:i/>
              </w:rPr>
            </m:ctrlPr>
          </m:sub>
        </m:sSub>
      </m:oMath>
      <w:r>
        <w:tab/>
      </w:r>
      <w:r>
        <w:rPr>
          <w:rFonts w:hint="eastAsia"/>
        </w:rPr>
        <w:t>（</w:t>
      </w:r>
      <w:r>
        <w:fldChar w:fldCharType="begin"/>
      </w:r>
      <w:r>
        <w:instrText xml:space="preserve"> </w:instrText>
      </w:r>
      <w:r>
        <w:rPr>
          <w:rFonts w:hint="eastAsia"/>
        </w:rPr>
        <w:instrText xml:space="preserve">REF _Ref167194327 \r \h</w:instrText>
      </w:r>
      <w:r>
        <w:instrText xml:space="preserve"> </w:instrText>
      </w:r>
      <w:r>
        <w:fldChar w:fldCharType="separate"/>
      </w:r>
      <w:r>
        <w:t>5. 5. 9</w:t>
      </w:r>
      <w:r>
        <w:fldChar w:fldCharType="end"/>
      </w:r>
      <w:r>
        <w:rPr>
          <w:rFonts w:hint="eastAsia"/>
        </w:rPr>
        <w:t>）</w:t>
      </w:r>
    </w:p>
    <w:p>
      <w:pPr>
        <w:pStyle w:val="86"/>
      </w:pPr>
      <w:r>
        <w:t>式中：</w:t>
      </w: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r>
              <m:rPr>
                <m:sty m:val="p"/>
              </m:rPr>
              <w:rPr>
                <w:rFonts w:hint="eastAsia" w:ascii="Cambria Math" w:hAnsi="Cambria Math"/>
              </w:rPr>
              <m:t>a</m:t>
            </m:r>
            <m:ctrlPr>
              <w:rPr>
                <w:rFonts w:ascii="Cambria Math" w:hAnsi="Cambria Math"/>
              </w:rPr>
            </m:ctrlPr>
          </m:sub>
        </m:sSub>
      </m:oMath>
      <w:r>
        <w:t>——</w:t>
      </w:r>
      <w:r>
        <w:tab/>
      </w:r>
      <w:r>
        <w:rPr>
          <w:rFonts w:hint="eastAsia"/>
        </w:rPr>
        <w:t>穿过</w:t>
      </w:r>
      <w:r>
        <w:t>梁端</w:t>
      </w:r>
      <w:r>
        <w:rPr>
          <w:rFonts w:hint="eastAsia"/>
        </w:rPr>
        <w:t>结合面的所有</w:t>
      </w:r>
      <w:r>
        <w:t>耗能钢筋毛截面</w:t>
      </w:r>
      <w:r>
        <w:rPr>
          <w:rFonts w:hint="eastAsia"/>
        </w:rPr>
        <w:t>面</w:t>
      </w:r>
      <w:r>
        <w:t>积</w:t>
      </w:r>
      <w:r>
        <w:rPr>
          <w:rFonts w:hint="eastAsia"/>
        </w:rPr>
        <w:t>（mm</w:t>
      </w:r>
      <w:r>
        <w:rPr>
          <w:vertAlign w:val="superscript"/>
        </w:rPr>
        <w:t>2</w:t>
      </w:r>
      <w:r>
        <w:rPr>
          <w:rFonts w:hint="eastAsia"/>
        </w:rPr>
        <w:t>），等于</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s</m:t>
            </m:r>
            <m:ctrlPr>
              <w:rPr>
                <w:rFonts w:ascii="Cambria Math" w:hAnsi="Cambria Math"/>
                <w:i/>
              </w:rPr>
            </m:ctrlPr>
          </m:sub>
        </m:sSub>
      </m:oMath>
      <w:r>
        <w:rPr>
          <w:rFonts w:hint="eastAsia"/>
        </w:rPr>
        <w:t>和</w:t>
      </w:r>
      <m:oMath>
        <m:sSubSup>
          <m:sSubSupPr>
            <m:ctrlPr>
              <w:rPr>
                <w:rFonts w:ascii="Cambria Math" w:hAnsi="Cambria Math"/>
                <w:i/>
              </w:rPr>
            </m:ctrlPr>
          </m:sSubSupPr>
          <m:e>
            <m:r>
              <m:rPr/>
              <w:rPr>
                <w:rFonts w:hint="eastAsia" w:ascii="Cambria Math" w:hAnsi="Cambria Math"/>
              </w:rPr>
              <m:t>A</m:t>
            </m:r>
            <m:ctrlPr>
              <w:rPr>
                <w:rFonts w:hint="eastAsia" w:ascii="Cambria Math" w:hAnsi="Cambria Math"/>
                <w:i/>
              </w:rPr>
            </m:ctrlPr>
          </m:e>
          <m:sub>
            <m:r>
              <m:rPr/>
              <w:rPr>
                <w:rFonts w:ascii="Cambria Math" w:hAnsi="Cambria Math"/>
              </w:rPr>
              <m:t>s</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之和</w:t>
      </w:r>
      <w:r>
        <w:t>；</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w:t>
      </w:r>
      <w:r>
        <w:tab/>
      </w:r>
      <w:r>
        <w:t>梁端耗能钢筋屈服强度标准值</w:t>
      </w:r>
      <w:r>
        <w:rPr>
          <w:rFonts w:hint="eastAsia"/>
        </w:rPr>
        <w:t>（</w:t>
      </w:r>
      <w:r>
        <w:t>N/</w:t>
      </w:r>
      <w:r>
        <w:rPr>
          <w:rFonts w:hint="eastAsia"/>
        </w:rPr>
        <w:t>mm</w:t>
      </w:r>
      <w:r>
        <w:rPr>
          <w:vertAlign w:val="superscript"/>
        </w:rPr>
        <w:t>2</w:t>
      </w:r>
      <w:r>
        <w:rPr>
          <w:rFonts w:hint="eastAsia"/>
        </w:rPr>
        <w:t>）</w:t>
      </w:r>
      <w:r>
        <w:t>；</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Gk</m:t>
            </m:r>
            <m:ctrlPr>
              <w:rPr>
                <w:rFonts w:ascii="Cambria Math" w:hAnsi="Cambria Math"/>
              </w:rPr>
            </m:ctrlPr>
          </m:sub>
        </m:sSub>
      </m:oMath>
      <w:r>
        <w:t>——</w:t>
      </w:r>
      <w:r>
        <w:tab/>
      </w:r>
      <w:r>
        <w:t>永久荷载标准值在结合面产生的剪力</w:t>
      </w:r>
      <w:r>
        <w:rPr>
          <w:rFonts w:hint="eastAsia"/>
        </w:rPr>
        <w:t>（</w:t>
      </w:r>
      <w:r>
        <w:t>N</w:t>
      </w:r>
      <w:r>
        <w:rPr>
          <w:rFonts w:hint="eastAsia"/>
        </w:rPr>
        <w:t>）</w:t>
      </w:r>
      <w:r>
        <w:t>；</w:t>
      </w:r>
    </w:p>
    <w:p>
      <w:pPr>
        <w:pStyle w:val="86"/>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m:sty m:val="p"/>
              </m:rPr>
              <w:rPr>
                <w:rFonts w:ascii="Cambria Math" w:hAnsi="Cambria Math"/>
              </w:rPr>
              <m:t>Qk</m:t>
            </m:r>
            <m:ctrlPr>
              <w:rPr>
                <w:rFonts w:ascii="Cambria Math" w:hAnsi="Cambria Math"/>
              </w:rPr>
            </m:ctrlPr>
          </m:sub>
        </m:sSub>
      </m:oMath>
      <w:r>
        <w:t>——</w:t>
      </w:r>
      <w:r>
        <w:tab/>
      </w:r>
      <w:r>
        <w:t>可变荷载标准值在结合面产生的剪力</w:t>
      </w:r>
      <w:r>
        <w:rPr>
          <w:rFonts w:hint="eastAsia"/>
        </w:rPr>
        <w:t>（</w:t>
      </w:r>
      <w:r>
        <w:t>N</w:t>
      </w:r>
      <w:r>
        <w:rPr>
          <w:rFonts w:hint="eastAsia"/>
        </w:rPr>
        <w:t>）。</w:t>
      </w:r>
    </w:p>
    <w:p>
      <w:pPr>
        <w:pStyle w:val="4"/>
      </w:pPr>
      <w:bookmarkStart w:id="290" w:name="_Toc86067926"/>
      <w:bookmarkStart w:id="291" w:name="_Ref198039448"/>
      <w:bookmarkStart w:id="292" w:name="_Ref77164432"/>
      <w:r>
        <w:rPr>
          <w:rFonts w:hint="eastAsia"/>
        </w:rPr>
        <w:t>梁板柱复合梁柱节点</w:t>
      </w:r>
      <w:r>
        <w:t>构造应符合下列规定：</w:t>
      </w:r>
      <w:bookmarkEnd w:id="290"/>
      <w:bookmarkEnd w:id="291"/>
      <w:bookmarkEnd w:id="292"/>
    </w:p>
    <w:p>
      <w:pPr>
        <w:pStyle w:val="70"/>
      </w:pPr>
      <w:r>
        <w:rPr>
          <w:b/>
        </w:rPr>
        <w:t>1</w:t>
      </w:r>
      <w:r>
        <w:tab/>
      </w:r>
      <w:r>
        <w:t>梁端</w:t>
      </w:r>
      <w:r>
        <w:rPr>
          <w:rFonts w:hint="eastAsia"/>
        </w:rPr>
        <w:t>耗能钢筋的梁内部分</w:t>
      </w:r>
      <w:r>
        <w:t>与柱内预埋</w:t>
      </w:r>
      <w:r>
        <w:rPr>
          <w:rFonts w:hint="eastAsia"/>
        </w:rPr>
        <w:t>部分应</w:t>
      </w:r>
      <w:r>
        <w:t>通过等强直螺纹</w:t>
      </w:r>
      <w:r>
        <w:rPr>
          <w:rFonts w:hint="eastAsia"/>
        </w:rPr>
        <w:t>套筒</w:t>
      </w:r>
      <w:r>
        <w:t>连接，连接接头应达到</w:t>
      </w:r>
      <w:r>
        <w:rPr>
          <w:rFonts w:hint="eastAsia"/>
        </w:rPr>
        <w:t xml:space="preserve"> </w:t>
      </w:r>
      <w:r>
        <w:t>Ⅰ 级接头要求；</w:t>
      </w:r>
    </w:p>
    <w:p>
      <w:pPr>
        <w:pStyle w:val="70"/>
      </w:pPr>
      <w:r>
        <w:rPr>
          <w:b/>
        </w:rPr>
        <w:t>2</w:t>
      </w:r>
      <w:r>
        <w:tab/>
      </w:r>
      <w:r>
        <w:rPr>
          <w:rFonts w:hint="eastAsia"/>
        </w:rPr>
        <w:t>按</w:t>
      </w:r>
      <w:r>
        <w:t>一</w:t>
      </w:r>
      <w:r>
        <w:rPr>
          <w:rFonts w:hint="eastAsia"/>
        </w:rPr>
        <w:t>、二、三</w:t>
      </w:r>
      <w:r>
        <w:t>级</w:t>
      </w:r>
      <w:r>
        <w:rPr>
          <w:rFonts w:hint="eastAsia"/>
        </w:rPr>
        <w:t>抗震等级设计的</w:t>
      </w:r>
      <w:r>
        <w:t>框架梁端耗能钢筋在柱外侧应设置无粘结削弱段，长度</w:t>
      </w:r>
      <w:r>
        <w:rPr>
          <w:rFonts w:hint="eastAsia"/>
        </w:rPr>
        <w:t>宜</w:t>
      </w:r>
      <w:r>
        <w:t>为200mm~300mm，起始端应距梁端部2倍~4倍钢筋直径（</w:t>
      </w:r>
      <w:r>
        <w:rPr>
          <w:rFonts w:eastAsia="黑体"/>
          <w:sz w:val="20"/>
          <w:szCs w:val="20"/>
        </w:rPr>
        <w:fldChar w:fldCharType="begin"/>
      </w:r>
      <w:r>
        <w:instrText xml:space="preserve"> REF _Ref86138661 \h </w:instrText>
      </w:r>
      <w:r>
        <w:rPr>
          <w:rFonts w:eastAsia="黑体"/>
          <w:sz w:val="20"/>
          <w:szCs w:val="20"/>
        </w:rPr>
        <w:instrText xml:space="preserve"> \* MERGEFORMAT </w:instrText>
      </w:r>
      <w:r>
        <w:rPr>
          <w:rFonts w:eastAsia="黑体"/>
          <w:sz w:val="20"/>
          <w:szCs w:val="20"/>
        </w:rPr>
        <w:fldChar w:fldCharType="separate"/>
      </w:r>
      <w:r>
        <w:t>图5. 5. 10-1</w:t>
      </w:r>
      <w:r>
        <w:rPr>
          <w:rFonts w:eastAsia="黑体"/>
          <w:sz w:val="20"/>
          <w:szCs w:val="20"/>
        </w:rPr>
        <w:fldChar w:fldCharType="end"/>
      </w:r>
      <w:r>
        <w:t>）</w:t>
      </w:r>
      <w:r>
        <w:rPr>
          <w:rFonts w:hint="eastAsia"/>
        </w:rPr>
        <w:t>，</w:t>
      </w:r>
      <w:r>
        <w:t>耗能钢筋削弱段的削弱面积宜为1</w:t>
      </w:r>
      <w:r>
        <w:rPr>
          <w:rFonts w:hint="eastAsia"/>
        </w:rPr>
        <w:t>0</w:t>
      </w:r>
      <w:r>
        <w:t>%~20%，钢筋削弱段与非削弱段应设置不小于1:4的平滑过渡；</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tcPr>
          <w:p>
            <w:pPr>
              <w:pStyle w:val="65"/>
              <w:rPr>
                <w:rFonts w:hint="eastAsia" w:ascii="MS Sans Serif" w:hAnsi="MS Sans Serif"/>
              </w:rPr>
            </w:pPr>
            <w:r>
              <w:rPr>
                <w:rFonts w:ascii="MS Sans Serif" w:hAnsi="MS Sans Serif"/>
              </w:rPr>
              <w:drawing>
                <wp:inline distT="0" distB="0" distL="0" distR="0">
                  <wp:extent cx="2520315" cy="1725295"/>
                  <wp:effectExtent l="0" t="0" r="13335" b="825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2520315" cy="1725295"/>
                          </a:xfrm>
                          <a:prstGeom prst="rect">
                            <a:avLst/>
                          </a:prstGeom>
                          <a:noFill/>
                          <a:ln>
                            <a:noFill/>
                          </a:ln>
                        </pic:spPr>
                      </pic:pic>
                    </a:graphicData>
                  </a:graphic>
                </wp:inline>
              </w:drawing>
            </w:r>
          </w:p>
        </w:tc>
        <w:tc>
          <w:tcPr>
            <w:tcW w:w="4153" w:type="dxa"/>
          </w:tcPr>
          <w:p>
            <w:pPr>
              <w:pStyle w:val="65"/>
              <w:rPr>
                <w:rFonts w:hint="eastAsia" w:ascii="MS Sans Serif" w:hAnsi="MS Sans Serif"/>
              </w:rPr>
            </w:pPr>
            <w:r>
              <w:rPr>
                <w:rFonts w:ascii="MS Sans Serif" w:hAnsi="MS Sans Serif"/>
              </w:rPr>
              <w:drawing>
                <wp:inline distT="0" distB="0" distL="0" distR="0">
                  <wp:extent cx="2520315" cy="1725295"/>
                  <wp:effectExtent l="0" t="0" r="13335" b="825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2520315" cy="17252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tcPr>
          <w:p>
            <w:pPr>
              <w:pStyle w:val="65"/>
              <w:rPr>
                <w:rFonts w:hint="eastAsia" w:ascii="MS Sans Serif" w:hAnsi="MS Sans Serif"/>
              </w:rPr>
            </w:pPr>
            <w:r>
              <w:rPr>
                <w:rFonts w:hint="eastAsia" w:ascii="MS Sans Serif" w:hAnsi="MS Sans Serif"/>
              </w:rPr>
              <w:t>(</w:t>
            </w:r>
            <w:r>
              <w:rPr>
                <w:rFonts w:ascii="MS Sans Serif" w:hAnsi="MS Sans Serif"/>
              </w:rPr>
              <w:t>a) 梁柱中节点</w:t>
            </w:r>
          </w:p>
        </w:tc>
        <w:tc>
          <w:tcPr>
            <w:tcW w:w="4153" w:type="dxa"/>
          </w:tcPr>
          <w:p>
            <w:pPr>
              <w:pStyle w:val="65"/>
              <w:rPr>
                <w:rFonts w:hint="eastAsia" w:ascii="MS Sans Serif" w:hAnsi="MS Sans Serif"/>
                <w:highlight w:val="yellow"/>
              </w:rPr>
            </w:pPr>
            <w:r>
              <w:rPr>
                <w:rFonts w:ascii="MS Sans Serif" w:hAnsi="MS Sans Serif"/>
              </w:rPr>
              <w:t>(b) 梁柱边节点</w:t>
            </w:r>
          </w:p>
        </w:tc>
      </w:tr>
    </w:tbl>
    <w:p>
      <w:pPr>
        <w:pStyle w:val="69"/>
      </w:pPr>
      <w:bookmarkStart w:id="293" w:name="_Ref64553524"/>
      <w:bookmarkStart w:id="294" w:name="_Ref86138661"/>
      <w:r>
        <w:t>图</w:t>
      </w:r>
      <w:r>
        <w:fldChar w:fldCharType="begin"/>
      </w:r>
      <w:r>
        <w:instrText xml:space="preserve"> STYLEREF 3 \s </w:instrText>
      </w:r>
      <w:r>
        <w:fldChar w:fldCharType="separate"/>
      </w:r>
      <w:r>
        <w:t>5. 5. 10</w:t>
      </w:r>
      <w:r>
        <w:fldChar w:fldCharType="end"/>
      </w:r>
      <w:r>
        <w:t>-</w:t>
      </w:r>
      <w:bookmarkEnd w:id="293"/>
      <w:r>
        <w:fldChar w:fldCharType="begin"/>
      </w:r>
      <w:r>
        <w:instrText xml:space="preserve"> SEQ 图 \s 3 \* ARABIC </w:instrText>
      </w:r>
      <w:r>
        <w:fldChar w:fldCharType="separate"/>
      </w:r>
      <w:r>
        <w:t>1</w:t>
      </w:r>
      <w:r>
        <w:fldChar w:fldCharType="end"/>
      </w:r>
      <w:bookmarkEnd w:id="294"/>
      <w:r>
        <w:t xml:space="preserve"> 框架</w:t>
      </w:r>
      <w:r>
        <w:rPr>
          <w:rFonts w:hint="eastAsia"/>
        </w:rPr>
        <w:t>梁柱节点</w:t>
      </w:r>
    </w:p>
    <w:p>
      <w:pPr>
        <w:ind w:firstLine="425"/>
        <w:jc w:val="center"/>
      </w:pPr>
      <w:r>
        <w:rPr>
          <w:sz w:val="18"/>
          <w:szCs w:val="21"/>
        </w:rPr>
        <w:t>1—预制柱；2—预制梁；3—纤维高强灌浆料灌缝；4—耗能钢筋；5—钢筋连接器；6—垂直方向预应力钢绞线；7—预应力锚环；8—锚头防护</w:t>
      </w:r>
    </w:p>
    <w:p>
      <w:pPr>
        <w:pStyle w:val="70"/>
      </w:pPr>
      <w:r>
        <w:rPr>
          <w:b/>
        </w:rPr>
        <w:t>3</w:t>
      </w:r>
      <w:r>
        <w:tab/>
      </w:r>
      <w:r>
        <w:rPr>
          <w:rFonts w:hint="eastAsia"/>
        </w:rPr>
        <w:t>按</w:t>
      </w:r>
      <w:r>
        <w:t>四级</w:t>
      </w:r>
      <w:r>
        <w:rPr>
          <w:rFonts w:hint="eastAsia"/>
        </w:rPr>
        <w:t>抗震等级设计的</w:t>
      </w:r>
      <w:r>
        <w:t>压接装配框架梁端耗能钢筋可不设置削弱段，但应设置200</w:t>
      </w:r>
      <w:r>
        <w:rPr>
          <w:rFonts w:hint="eastAsia"/>
        </w:rPr>
        <w:t>mm</w:t>
      </w:r>
      <w:r>
        <w:t>~300mm的无粘结段</w:t>
      </w:r>
      <w:r>
        <w:rPr>
          <w:rFonts w:hint="eastAsia"/>
        </w:rPr>
        <w:t>；</w:t>
      </w:r>
    </w:p>
    <w:p>
      <w:pPr>
        <w:pStyle w:val="70"/>
      </w:pPr>
      <w:r>
        <w:rPr>
          <w:b/>
        </w:rPr>
        <w:t>4</w:t>
      </w:r>
      <w:r>
        <w:tab/>
      </w:r>
      <w:r>
        <w:rPr>
          <w:rFonts w:hint="eastAsia"/>
        </w:rPr>
        <w:t>梁端耗能钢筋净距不宜小于其直径，当钢筋较多时，也可采用并筋形式，并筋应按单根等效钢筋进行计算，等效钢筋的等效直径应按截面面积相等的原则换算确定；</w:t>
      </w:r>
    </w:p>
    <w:p>
      <w:pPr>
        <w:pStyle w:val="70"/>
      </w:pPr>
      <w:r>
        <w:rPr>
          <w:rFonts w:hint="eastAsia"/>
          <w:b/>
        </w:rPr>
        <w:t>5</w:t>
      </w:r>
      <w:r>
        <w:tab/>
      </w:r>
      <w:r>
        <w:t>预应力钢绞线</w:t>
      </w:r>
      <w:r>
        <w:rPr>
          <w:rFonts w:hint="eastAsia"/>
        </w:rPr>
        <w:t>宜</w:t>
      </w:r>
      <w:r>
        <w:t>直线穿过预制梁柱结合面，预应力钢绞线宜为单束且沿梁宽方向居中设置</w:t>
      </w:r>
      <w:r>
        <w:rPr>
          <w:rFonts w:hint="eastAsia"/>
        </w:rPr>
        <w:t>；</w:t>
      </w:r>
    </w:p>
    <w:p>
      <w:pPr>
        <w:pStyle w:val="70"/>
      </w:pPr>
      <w:r>
        <w:rPr>
          <w:b/>
        </w:rPr>
        <w:t>6</w:t>
      </w:r>
      <w:r>
        <w:rPr>
          <w:b/>
        </w:rPr>
        <w:tab/>
      </w:r>
      <w:r>
        <w:rPr>
          <w:rFonts w:hint="eastAsia"/>
        </w:rPr>
        <w:t>当梁柱结合面剪力设计值较大，竖向抗剪承载力不满足本规程</w:t>
      </w:r>
      <w:r>
        <w:rPr>
          <w:rFonts w:hint="eastAsia"/>
        </w:rPr>
        <w:fldChar w:fldCharType="begin"/>
      </w:r>
      <w:r>
        <w:rPr>
          <w:rFonts w:hint="eastAsia"/>
        </w:rPr>
        <w:instrText xml:space="preserve"> REF _Ref87343201 \r \h </w:instrText>
      </w:r>
      <w:r>
        <w:rPr>
          <w:rFonts w:hint="eastAsia"/>
        </w:rPr>
        <w:fldChar w:fldCharType="separate"/>
      </w:r>
      <w:r>
        <w:t>5. 5. 4</w:t>
      </w:r>
      <w:r>
        <w:rPr>
          <w:rFonts w:hint="eastAsia"/>
        </w:rPr>
        <w:fldChar w:fldCharType="end"/>
      </w:r>
      <w:r>
        <w:rPr>
          <w:rFonts w:hint="eastAsia"/>
        </w:rPr>
        <w:t>条时，可在柱上设置永久钢筋混凝土牛腿或永久钢牛腿；</w:t>
      </w:r>
    </w:p>
    <w:p>
      <w:pPr>
        <w:pStyle w:val="70"/>
      </w:pPr>
      <w:r>
        <w:rPr>
          <w:b/>
        </w:rPr>
        <w:t>7</w:t>
      </w:r>
      <w:r>
        <w:rPr>
          <w:b/>
        </w:rPr>
        <w:tab/>
      </w:r>
      <w:r>
        <w:rPr>
          <w:rFonts w:hint="eastAsia"/>
        </w:rPr>
        <w:t>当梁截面宽度超过450mm时，可以设置双束预应力钢绞线，双束预应力钢绞线孔道宜沿梁中心线对称布置，水平方向净间距不宜小于1倍孔道外径，与梁侧净间距不宜小于50mm。</w:t>
      </w:r>
    </w:p>
    <w:p>
      <w:pPr>
        <w:pStyle w:val="4"/>
      </w:pPr>
      <w:bookmarkStart w:id="295" w:name="_Ref172278257"/>
      <w:r>
        <w:rPr>
          <w:rFonts w:hint="eastAsia"/>
        </w:rPr>
        <w:t>自复位梁柱节点构造应符合下列规定：</w:t>
      </w:r>
      <w:bookmarkEnd w:id="295"/>
    </w:p>
    <w:p>
      <w:pPr>
        <w:pStyle w:val="70"/>
      </w:pPr>
      <w:r>
        <w:rPr>
          <w:b/>
        </w:rPr>
        <w:t>1</w:t>
      </w:r>
      <w:r>
        <w:tab/>
      </w:r>
      <w:r>
        <w:rPr>
          <w:rFonts w:hint="eastAsia"/>
        </w:rPr>
        <w:t>自复位梁柱节点宜单向布置预应力筋，以避免节点部位钢筋过于拥挤。</w:t>
      </w:r>
    </w:p>
    <w:p>
      <w:pPr>
        <w:pStyle w:val="70"/>
      </w:pPr>
      <w:r>
        <w:rPr>
          <w:rFonts w:hint="eastAsia"/>
          <w:b/>
        </w:rPr>
        <w:t>2</w:t>
      </w:r>
      <w:r>
        <w:tab/>
      </w:r>
      <w:r>
        <w:rPr>
          <w:rFonts w:hint="eastAsia"/>
        </w:rPr>
        <w:t>预应力筋宜设置在框架梁截面的中心位置，单束预应力筋孔道应穿过梁的中轴线，双束预应力筋孔道应靠近并对称于梁的中轴线。</w:t>
      </w:r>
    </w:p>
    <w:p>
      <w:pPr>
        <w:pStyle w:val="70"/>
        <w:rPr>
          <w:sz w:val="21"/>
        </w:rPr>
      </w:pPr>
      <w:r>
        <w:rPr>
          <w:rFonts w:hint="eastAsia"/>
          <w:b/>
        </w:rPr>
        <w:t>3</w:t>
      </w:r>
      <w:r>
        <w:tab/>
      </w:r>
      <w:r>
        <w:rPr>
          <w:rFonts w:hint="eastAsia"/>
        </w:rPr>
        <w:t>当梁截面宽度超过450</w:t>
      </w:r>
      <w:r>
        <w:t xml:space="preserve"> </w:t>
      </w:r>
      <w:r>
        <w:rPr>
          <w:rFonts w:hint="eastAsia"/>
        </w:rPr>
        <w:t>mm时，可以设置双束预应力钢绞线，双束预应力钢绞线孔道宜沿梁中心线对称布置，水平方向净间距不宜小于1倍孔道外径，与梁侧净间距不宜小于50mm。</w:t>
      </w:r>
    </w:p>
    <w:p>
      <w:pPr>
        <w:pStyle w:val="4"/>
      </w:pPr>
      <w:bookmarkStart w:id="296" w:name="_Ref198039617"/>
      <w:bookmarkStart w:id="297" w:name="_Ref81321741"/>
      <w:bookmarkStart w:id="298" w:name="_Toc86067927"/>
      <w:r>
        <w:t>采用</w:t>
      </w:r>
      <w:r>
        <w:rPr>
          <w:rFonts w:hint="eastAsia"/>
        </w:rPr>
        <w:t>芯部后浇混凝土的</w:t>
      </w:r>
      <w:r>
        <w:t>预制</w:t>
      </w:r>
      <w:r>
        <w:rPr>
          <w:rFonts w:hint="eastAsia"/>
        </w:rPr>
        <w:t>混凝土</w:t>
      </w:r>
      <w:r>
        <w:t>空心柱的</w:t>
      </w:r>
      <w:r>
        <w:rPr>
          <w:rFonts w:hint="eastAsia"/>
        </w:rPr>
        <w:t>梁板柱复合梁柱节点</w:t>
      </w:r>
      <w:r>
        <w:t>，</w:t>
      </w:r>
      <w:r>
        <w:rPr>
          <w:rFonts w:hint="eastAsia"/>
        </w:rPr>
        <w:t>除应符合本规程第</w:t>
      </w:r>
      <w:r>
        <w:fldChar w:fldCharType="begin"/>
      </w:r>
      <w:r>
        <w:instrText xml:space="preserve"> </w:instrText>
      </w:r>
      <w:r>
        <w:rPr>
          <w:rFonts w:hint="eastAsia"/>
        </w:rPr>
        <w:instrText xml:space="preserve">REF _Ref77164432 \r \h</w:instrText>
      </w:r>
      <w:r>
        <w:instrText xml:space="preserve">  \* MERGEFORMAT </w:instrText>
      </w:r>
      <w:r>
        <w:fldChar w:fldCharType="separate"/>
      </w:r>
      <w:r>
        <w:t>5. 5. 10</w:t>
      </w:r>
      <w:r>
        <w:fldChar w:fldCharType="end"/>
      </w:r>
      <w:r>
        <w:rPr>
          <w:rFonts w:hint="eastAsia"/>
        </w:rPr>
        <w:t>条的规定外，尚</w:t>
      </w:r>
      <w:r>
        <w:t>应符合下列规定：</w:t>
      </w:r>
      <w:bookmarkEnd w:id="296"/>
      <w:bookmarkEnd w:id="297"/>
      <w:bookmarkEnd w:id="298"/>
    </w:p>
    <w:p>
      <w:pPr>
        <w:pStyle w:val="70"/>
      </w:pPr>
      <w:r>
        <w:rPr>
          <w:b/>
        </w:rPr>
        <w:t>1</w:t>
      </w:r>
      <w:r>
        <w:tab/>
      </w:r>
      <w:r>
        <w:t>预制空心柱预制层最小厚度</w:t>
      </w:r>
      <w:r>
        <w:rPr>
          <w:rFonts w:hint="eastAsia"/>
        </w:rPr>
        <w:t>不宜小</w:t>
      </w:r>
      <w:r>
        <w:t>于80mm；</w:t>
      </w:r>
    </w:p>
    <w:p>
      <w:pPr>
        <w:pStyle w:val="70"/>
      </w:pPr>
      <w:r>
        <w:rPr>
          <w:rFonts w:hint="eastAsia"/>
          <w:b/>
        </w:rPr>
        <w:t>2</w:t>
      </w:r>
      <w:r>
        <w:tab/>
      </w:r>
      <w:r>
        <w:t>预制空心柱内的预应力预埋孔道宜采用壁厚不小于</w:t>
      </w:r>
      <w:r>
        <w:rPr>
          <w:rFonts w:hint="eastAsia"/>
        </w:rPr>
        <w:t>2</w:t>
      </w:r>
      <w:r>
        <w:t>mm的圆钢管作为刚性预埋孔道，孔道</w:t>
      </w:r>
      <w:r>
        <w:rPr>
          <w:rFonts w:hint="eastAsia"/>
        </w:rPr>
        <w:t>内</w:t>
      </w:r>
      <w:r>
        <w:t>径</w:t>
      </w:r>
      <w:r>
        <w:rPr>
          <w:rFonts w:hint="eastAsia"/>
        </w:rPr>
        <w:t>宜与相连梁的金属波纹管内径一致</w:t>
      </w:r>
      <w:r>
        <w:t>（图</w:t>
      </w:r>
      <w:r>
        <w:fldChar w:fldCharType="begin"/>
      </w:r>
      <w:r>
        <w:instrText xml:space="preserve"> REF _Ref81321741 \r \h </w:instrText>
      </w:r>
      <w:r>
        <w:fldChar w:fldCharType="separate"/>
      </w:r>
      <w:r>
        <w:t>5. 5. 12</w:t>
      </w:r>
      <w:r>
        <w:fldChar w:fldCharType="end"/>
      </w:r>
      <w:r>
        <w:t>）。</w:t>
      </w:r>
    </w:p>
    <w:p>
      <w:pPr>
        <w:pStyle w:val="69"/>
      </w:pPr>
      <w:r>
        <w:drawing>
          <wp:inline distT="0" distB="0" distL="0" distR="0">
            <wp:extent cx="3765550" cy="1727200"/>
            <wp:effectExtent l="0" t="0" r="6350" b="635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3765550" cy="1727200"/>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5. 5. 12</w:t>
      </w:r>
      <w:r>
        <w:fldChar w:fldCharType="end"/>
      </w:r>
      <w:r>
        <w:t xml:space="preserve">  预制混凝土空心柱</w:t>
      </w:r>
      <w:r>
        <w:rPr>
          <w:rFonts w:hint="eastAsia"/>
        </w:rPr>
        <w:t>梁连接节点</w:t>
      </w:r>
    </w:p>
    <w:p>
      <w:pPr>
        <w:pStyle w:val="69"/>
      </w:pPr>
      <w:r>
        <w:t>1—预制空心柱；2—预制梁；3—</w:t>
      </w:r>
      <w:r>
        <w:rPr>
          <w:sz w:val="20"/>
          <w:szCs w:val="22"/>
        </w:rPr>
        <w:t>纤维高强灌浆料灌缝</w:t>
      </w:r>
      <w:r>
        <w:t>；4—耗能钢筋；5—钢筋连接器；6—</w:t>
      </w:r>
      <w:r>
        <w:rPr>
          <w:rFonts w:hint="eastAsia"/>
        </w:rPr>
        <w:t>圆</w:t>
      </w:r>
      <w:r>
        <w:t>钢管；7—柱内预埋钢筋</w:t>
      </w:r>
    </w:p>
    <w:p>
      <w:pPr>
        <w:pStyle w:val="4"/>
      </w:pPr>
      <w:bookmarkStart w:id="299" w:name="_Ref86138822"/>
      <w:bookmarkStart w:id="300" w:name="_Toc86067928"/>
      <w:bookmarkStart w:id="301" w:name="_Ref198039664"/>
      <w:r>
        <w:t>采用钢管混凝土柱的</w:t>
      </w:r>
      <w:r>
        <w:rPr>
          <w:rFonts w:hint="eastAsia"/>
        </w:rPr>
        <w:t>梁板柱复合梁柱节点</w:t>
      </w:r>
      <w:r>
        <w:t>，</w:t>
      </w:r>
      <w:r>
        <w:rPr>
          <w:rFonts w:hint="eastAsia"/>
        </w:rPr>
        <w:t>除符合本规程第</w:t>
      </w:r>
      <w:r>
        <w:fldChar w:fldCharType="begin"/>
      </w:r>
      <w:r>
        <w:instrText xml:space="preserve"> </w:instrText>
      </w:r>
      <w:r>
        <w:rPr>
          <w:rFonts w:hint="eastAsia"/>
        </w:rPr>
        <w:instrText xml:space="preserve">REF _Ref77164432 \r \h</w:instrText>
      </w:r>
      <w:r>
        <w:instrText xml:space="preserve">  \* MERGEFORMAT </w:instrText>
      </w:r>
      <w:r>
        <w:fldChar w:fldCharType="separate"/>
      </w:r>
      <w:r>
        <w:t>5. 5. 10</w:t>
      </w:r>
      <w:r>
        <w:fldChar w:fldCharType="end"/>
      </w:r>
      <w:r>
        <w:rPr>
          <w:rFonts w:hint="eastAsia"/>
        </w:rPr>
        <w:t>条的规定外，尚</w:t>
      </w:r>
      <w:r>
        <w:t>应符合下列规定：</w:t>
      </w:r>
      <w:bookmarkEnd w:id="299"/>
      <w:bookmarkEnd w:id="300"/>
      <w:bookmarkEnd w:id="301"/>
    </w:p>
    <w:p>
      <w:pPr>
        <w:pStyle w:val="70"/>
      </w:pPr>
      <w:r>
        <w:rPr>
          <w:rFonts w:hint="eastAsia"/>
          <w:b/>
        </w:rPr>
        <w:t>1</w:t>
      </w:r>
      <w:r>
        <w:tab/>
      </w:r>
      <w:r>
        <w:t>梁端</w:t>
      </w:r>
      <w:r>
        <w:rPr>
          <w:rFonts w:hint="eastAsia"/>
        </w:rPr>
        <w:t>耗能钢</w:t>
      </w:r>
      <w:r>
        <w:t>筋</w:t>
      </w:r>
      <w:r>
        <w:rPr>
          <w:rFonts w:hint="eastAsia"/>
        </w:rPr>
        <w:t>与钢管柱的连接可以采用在钢管壁外侧焊接钢筋连接器，在钢管壁内侧对应位置焊接加劲肋方式连接</w:t>
      </w:r>
      <w:r>
        <w:t>（图</w:t>
      </w:r>
      <w:r>
        <w:fldChar w:fldCharType="begin"/>
      </w:r>
      <w:r>
        <w:instrText xml:space="preserve"> STYLEREF 3 \s </w:instrText>
      </w:r>
      <w:r>
        <w:fldChar w:fldCharType="separate"/>
      </w:r>
      <w:r>
        <w:t>5. 5. 13</w:t>
      </w:r>
      <w:r>
        <w:fldChar w:fldCharType="end"/>
      </w:r>
      <w:r>
        <w:t>-1）</w:t>
      </w:r>
      <w:r>
        <w:rPr>
          <w:rFonts w:hint="eastAsia"/>
        </w:rPr>
        <w:t>；也可以采用在柱身钢管局部开孔，并对柱身开孔位置进行局部补强，然后将整根梁端耗能钢筋贯穿钢管柱深入梁内，通过柱内后浇混凝土进行锚固连接的方式。</w:t>
      </w:r>
    </w:p>
    <w:tbl>
      <w:tblPr>
        <w:tblStyle w:val="32"/>
        <w:tblW w:w="0" w:type="auto"/>
        <w:tblInd w:w="0" w:type="dxa"/>
        <w:tblLayout w:type="autofit"/>
        <w:tblCellMar>
          <w:top w:w="0" w:type="dxa"/>
          <w:left w:w="108" w:type="dxa"/>
          <w:bottom w:w="0" w:type="dxa"/>
          <w:right w:w="108" w:type="dxa"/>
        </w:tblCellMar>
      </w:tblPr>
      <w:tblGrid>
        <w:gridCol w:w="8296"/>
      </w:tblGrid>
      <w:tr>
        <w:tblPrEx>
          <w:tblCellMar>
            <w:top w:w="0" w:type="dxa"/>
            <w:left w:w="108" w:type="dxa"/>
            <w:bottom w:w="0" w:type="dxa"/>
            <w:right w:w="108" w:type="dxa"/>
          </w:tblCellMar>
        </w:tblPrEx>
        <w:tc>
          <w:tcPr>
            <w:tcW w:w="8296" w:type="dxa"/>
          </w:tcPr>
          <w:p>
            <w:pPr>
              <w:pStyle w:val="65"/>
            </w:pPr>
            <w:r>
              <w:drawing>
                <wp:inline distT="0" distB="0" distL="0" distR="0">
                  <wp:extent cx="3766185" cy="1725295"/>
                  <wp:effectExtent l="0" t="0" r="5715" b="825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3766185" cy="172529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8296" w:type="dxa"/>
          </w:tcPr>
          <w:p>
            <w:pPr>
              <w:pStyle w:val="65"/>
            </w:pPr>
            <w:r>
              <w:drawing>
                <wp:inline distT="0" distB="0" distL="0" distR="0">
                  <wp:extent cx="3108960" cy="1531620"/>
                  <wp:effectExtent l="0" t="0" r="15240" b="11430"/>
                  <wp:docPr id="79"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3117085" cy="1535955"/>
                          </a:xfrm>
                          <a:prstGeom prst="rect">
                            <a:avLst/>
                          </a:prstGeom>
                          <a:noFill/>
                          <a:ln>
                            <a:noFill/>
                          </a:ln>
                        </pic:spPr>
                      </pic:pic>
                    </a:graphicData>
                  </a:graphic>
                </wp:inline>
              </w:drawing>
            </w:r>
          </w:p>
        </w:tc>
      </w:tr>
    </w:tbl>
    <w:p>
      <w:pPr>
        <w:pStyle w:val="69"/>
      </w:pPr>
      <w:r>
        <w:t>图</w:t>
      </w:r>
      <w:r>
        <w:fldChar w:fldCharType="begin"/>
      </w:r>
      <w:r>
        <w:instrText xml:space="preserve"> STYLEREF 3 \s </w:instrText>
      </w:r>
      <w:r>
        <w:fldChar w:fldCharType="separate"/>
      </w:r>
      <w:r>
        <w:t>5. 5. 13</w:t>
      </w:r>
      <w:r>
        <w:fldChar w:fldCharType="end"/>
      </w:r>
      <w:r>
        <w:t xml:space="preserve">-1  </w:t>
      </w:r>
      <w:r>
        <w:rPr>
          <w:rFonts w:hint="eastAsia"/>
        </w:rPr>
        <w:t>钢管混凝土</w:t>
      </w:r>
      <w:r>
        <w:t>柱</w:t>
      </w:r>
      <w:r>
        <w:rPr>
          <w:rFonts w:hint="eastAsia"/>
        </w:rPr>
        <w:t>梁连接节点</w:t>
      </w:r>
    </w:p>
    <w:p>
      <w:pPr>
        <w:pStyle w:val="69"/>
      </w:pPr>
      <w:r>
        <w:t>1—钢管柱；2—预制梁；3—</w:t>
      </w:r>
      <w:r>
        <w:rPr>
          <w:sz w:val="20"/>
          <w:szCs w:val="22"/>
        </w:rPr>
        <w:t>纤维高强灌浆料灌缝</w:t>
      </w:r>
      <w:r>
        <w:t>；4—耗能钢筋；5—钢筋连接器；6—钢管；7—钢牛腿；8—花纹钢板</w:t>
      </w:r>
      <w:r>
        <w:rPr>
          <w:rFonts w:hint="eastAsia"/>
        </w:rPr>
        <w:t>成形面</w:t>
      </w:r>
      <w:r>
        <w:t>；9—横向加劲肋</w:t>
      </w:r>
    </w:p>
    <w:p>
      <w:pPr>
        <w:pStyle w:val="70"/>
      </w:pPr>
      <w:r>
        <w:rPr>
          <w:rFonts w:hint="eastAsia"/>
          <w:b/>
        </w:rPr>
        <w:t>2</w:t>
      </w:r>
      <w:r>
        <w:tab/>
      </w:r>
      <w:r>
        <w:rPr>
          <w:rFonts w:hint="eastAsia"/>
        </w:rPr>
        <w:t>当采用钢管壁外侧焊接钢筋连接器方式连接时，钢管壁外侧</w:t>
      </w:r>
      <w:r>
        <w:t>钢筋连接</w:t>
      </w:r>
      <w:r>
        <w:rPr>
          <w:rFonts w:hint="eastAsia"/>
        </w:rPr>
        <w:t>器应与钢管等强连接，钢筋连接器与钢筋连接</w:t>
      </w:r>
      <w:r>
        <w:t>接头应达到Ⅰ级接头要求</w:t>
      </w:r>
      <w:r>
        <w:rPr>
          <w:rFonts w:hint="eastAsia"/>
        </w:rPr>
        <w:t>，钢管壁内侧对应位置的加劲肋及连接焊缝应具有足够的刚度和承载力确保</w:t>
      </w:r>
      <w:r>
        <w:t>梁端</w:t>
      </w:r>
      <w:r>
        <w:rPr>
          <w:rFonts w:hint="eastAsia"/>
        </w:rPr>
        <w:t>耗能钢</w:t>
      </w:r>
      <w:r>
        <w:t>筋</w:t>
      </w:r>
      <w:r>
        <w:rPr>
          <w:rFonts w:hint="eastAsia"/>
        </w:rPr>
        <w:t>充分发挥其承载力与耗能能力。</w:t>
      </w:r>
    </w:p>
    <w:p>
      <w:pPr>
        <w:pStyle w:val="70"/>
      </w:pPr>
      <w:r>
        <w:rPr>
          <w:b/>
        </w:rPr>
        <w:t>3</w:t>
      </w:r>
      <w:r>
        <w:tab/>
      </w:r>
      <w:bookmarkStart w:id="302" w:name="_Toc86067902"/>
      <w:bookmarkStart w:id="303" w:name="_Ref81321173"/>
      <w:r>
        <w:t>钢管混凝土柱与预制梁端交接处应设置永久钢牛腿</w:t>
      </w:r>
      <w:r>
        <w:rPr>
          <w:rFonts w:hint="eastAsia"/>
        </w:rPr>
        <w:t xml:space="preserve">, </w:t>
      </w:r>
      <w:r>
        <w:t>预制梁底与永久钢牛腿之间应设置支承垫板条。永久钢牛腿应能够承担梁端的剪力</w:t>
      </w:r>
      <w:r>
        <w:rPr>
          <w:rFonts w:hint="eastAsia"/>
        </w:rPr>
        <w:t>作用</w:t>
      </w:r>
      <w:r>
        <w:t>。</w:t>
      </w:r>
    </w:p>
    <w:p>
      <w:pPr>
        <w:pStyle w:val="70"/>
      </w:pPr>
      <w:r>
        <w:rPr>
          <w:rFonts w:hint="eastAsia"/>
          <w:b/>
        </w:rPr>
        <w:t xml:space="preserve">4  </w:t>
      </w:r>
      <w:r>
        <w:t>钢管</w:t>
      </w:r>
      <w:r>
        <w:rPr>
          <w:rFonts w:hint="eastAsia"/>
        </w:rPr>
        <w:t>混凝土</w:t>
      </w:r>
      <w:r>
        <w:t>柱和永久钢牛腿的防火与防腐应符合现行国家标准</w:t>
      </w:r>
      <w:r>
        <w:rPr>
          <w:rFonts w:hint="eastAsia"/>
        </w:rPr>
        <w:t>《钢管混凝土结构技术规范》GB 50936和《组合结构通用规范》GB 55004的有关</w:t>
      </w:r>
      <w:r>
        <w:t>规定。</w:t>
      </w:r>
      <w:bookmarkEnd w:id="302"/>
      <w:bookmarkEnd w:id="303"/>
    </w:p>
    <w:p>
      <w:pPr>
        <w:pStyle w:val="4"/>
      </w:pPr>
      <w:bookmarkStart w:id="304" w:name="_Toc86067932"/>
      <w:r>
        <w:rPr>
          <w:rFonts w:hint="eastAsia"/>
        </w:rPr>
        <w:t>位于</w:t>
      </w:r>
      <w:r>
        <w:t>结构顶层</w:t>
      </w:r>
      <w:r>
        <w:rPr>
          <w:rFonts w:hint="eastAsia"/>
        </w:rPr>
        <w:t>的梁板柱复合梁柱节点，当伸柱内纵向钢筋伸至柱顶，且直锚长度不小于</w:t>
      </w:r>
      <m:oMath>
        <m:r>
          <m:rPr/>
          <w:rPr>
            <w:rFonts w:ascii="Cambria Math" w:hAnsi="Cambria Math" w:cs="XITS Math"/>
          </w:rPr>
          <m:t>0.6</m:t>
        </m:r>
        <m:sSub>
          <m:sSubPr>
            <m:ctrlPr>
              <w:rPr>
                <w:rFonts w:ascii="Cambria Math" w:hAnsi="Cambria Math" w:cs="XITS Math"/>
                <w:i/>
                <w:iCs/>
              </w:rPr>
            </m:ctrlPr>
          </m:sSubPr>
          <m:e>
            <m:r>
              <m:rPr/>
              <w:rPr>
                <w:rFonts w:ascii="Cambria Math" w:hAnsi="Cambria Math" w:cs="XITS Math"/>
              </w:rPr>
              <m:t>l</m:t>
            </m:r>
            <m:ctrlPr>
              <w:rPr>
                <w:rFonts w:ascii="Cambria Math" w:hAnsi="Cambria Math" w:cs="XITS Math"/>
                <w:i/>
                <w:iCs/>
              </w:rPr>
            </m:ctrlPr>
          </m:e>
          <m:sub>
            <m:r>
              <m:rPr>
                <m:sty m:val="p"/>
              </m:rPr>
              <w:rPr>
                <w:rFonts w:ascii="Cambria Math" w:hAnsi="Cambria Math" w:cs="XITS Math"/>
              </w:rPr>
              <m:t>aE</m:t>
            </m:r>
            <m:ctrlPr>
              <w:rPr>
                <w:rFonts w:ascii="Cambria Math" w:hAnsi="Cambria Math" w:cs="XITS Math"/>
                <w:i/>
                <w:iCs/>
              </w:rPr>
            </m:ctrlPr>
          </m:sub>
        </m:sSub>
      </m:oMath>
      <w:r>
        <w:rPr>
          <w:rFonts w:hint="eastAsia"/>
          <w:iCs/>
        </w:rPr>
        <w:t>时，</w:t>
      </w:r>
      <w:r>
        <w:t>纵向钢筋</w:t>
      </w:r>
      <w:r>
        <w:rPr>
          <w:rFonts w:hint="eastAsia"/>
        </w:rPr>
        <w:t>可</w:t>
      </w:r>
      <w:r>
        <w:t>采用锚固板形式锚固（</w:t>
      </w:r>
      <w:r>
        <w:fldChar w:fldCharType="begin"/>
      </w:r>
      <w:r>
        <w:instrText xml:space="preserve"> REF _Ref64555250 \h </w:instrText>
      </w:r>
      <w:r>
        <w:fldChar w:fldCharType="separate"/>
      </w:r>
      <w:r>
        <w:t>图 5. 5. 14</w:t>
      </w:r>
      <w:r>
        <w:fldChar w:fldCharType="end"/>
      </w:r>
      <w:r>
        <w:t>）。</w:t>
      </w:r>
      <w:bookmarkEnd w:id="304"/>
    </w:p>
    <w:tbl>
      <w:tblPr>
        <w:tblStyle w:val="91"/>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7"/>
        <w:gridCol w:w="3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77" w:type="dxa"/>
            <w:vAlign w:val="center"/>
          </w:tcPr>
          <w:p>
            <w:pPr>
              <w:pStyle w:val="65"/>
              <w:rPr>
                <w:rFonts w:ascii="等线" w:hAnsi="等线" w:eastAsia="等线"/>
              </w:rPr>
            </w:pPr>
            <w:bookmarkStart w:id="305" w:name="_Hlk23258757"/>
            <w:r>
              <w:rPr>
                <w:rFonts w:ascii="等线" w:hAnsi="等线" w:eastAsia="等线"/>
              </w:rPr>
              <w:drawing>
                <wp:inline distT="0" distB="0" distL="0" distR="0">
                  <wp:extent cx="2520950" cy="1727200"/>
                  <wp:effectExtent l="0" t="0" r="12700" b="635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2520950" cy="1727200"/>
                          </a:xfrm>
                          <a:prstGeom prst="rect">
                            <a:avLst/>
                          </a:prstGeom>
                          <a:noFill/>
                          <a:ln>
                            <a:noFill/>
                          </a:ln>
                        </pic:spPr>
                      </pic:pic>
                    </a:graphicData>
                  </a:graphic>
                </wp:inline>
              </w:drawing>
            </w:r>
          </w:p>
        </w:tc>
        <w:tc>
          <w:tcPr>
            <w:tcW w:w="3729" w:type="dxa"/>
            <w:vAlign w:val="center"/>
          </w:tcPr>
          <w:p>
            <w:pPr>
              <w:pStyle w:val="65"/>
              <w:rPr>
                <w:rFonts w:ascii="等线" w:hAnsi="等线" w:eastAsia="等线"/>
              </w:rPr>
            </w:pPr>
            <w:r>
              <w:rPr>
                <w:rFonts w:ascii="等线" w:hAnsi="等线" w:eastAsia="等线"/>
              </w:rPr>
              <w:drawing>
                <wp:inline distT="0" distB="0" distL="0" distR="0">
                  <wp:extent cx="1997710" cy="1725295"/>
                  <wp:effectExtent l="0" t="0" r="2540" b="825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1997710" cy="17252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77" w:type="dxa"/>
            <w:vAlign w:val="center"/>
          </w:tcPr>
          <w:p>
            <w:pPr>
              <w:pStyle w:val="65"/>
              <w:rPr>
                <w:rFonts w:ascii="等线" w:hAnsi="等线" w:eastAsia="等线"/>
              </w:rPr>
            </w:pPr>
            <w:r>
              <w:rPr>
                <w:rFonts w:hint="eastAsia" w:ascii="等线" w:hAnsi="等线" w:eastAsia="等线"/>
              </w:rPr>
              <w:t>(a) 顶层中节点</w:t>
            </w:r>
          </w:p>
        </w:tc>
        <w:tc>
          <w:tcPr>
            <w:tcW w:w="3729" w:type="dxa"/>
            <w:vAlign w:val="center"/>
          </w:tcPr>
          <w:p>
            <w:pPr>
              <w:pStyle w:val="65"/>
              <w:rPr>
                <w:rFonts w:ascii="等线" w:hAnsi="等线" w:eastAsia="等线"/>
              </w:rPr>
            </w:pPr>
            <w:r>
              <w:rPr>
                <w:rFonts w:hint="eastAsia" w:ascii="等线" w:hAnsi="等线" w:eastAsia="等线"/>
              </w:rPr>
              <w:t>(b) 顶层边节点</w:t>
            </w:r>
          </w:p>
        </w:tc>
      </w:tr>
      <w:bookmarkEnd w:id="305"/>
    </w:tbl>
    <w:p>
      <w:pPr>
        <w:pStyle w:val="69"/>
      </w:pPr>
      <w:bookmarkStart w:id="306" w:name="_Ref64555250"/>
      <w:r>
        <w:t xml:space="preserve">图 </w:t>
      </w:r>
      <w:r>
        <w:fldChar w:fldCharType="begin"/>
      </w:r>
      <w:r>
        <w:instrText xml:space="preserve"> STYLEREF 3 \s </w:instrText>
      </w:r>
      <w:r>
        <w:fldChar w:fldCharType="separate"/>
      </w:r>
      <w:r>
        <w:t>5. 5. 14</w:t>
      </w:r>
      <w:r>
        <w:fldChar w:fldCharType="end"/>
      </w:r>
      <w:bookmarkEnd w:id="306"/>
      <w:r>
        <w:t xml:space="preserve"> 顶层</w:t>
      </w:r>
      <w:r>
        <w:rPr>
          <w:rFonts w:hint="eastAsia"/>
        </w:rPr>
        <w:t>梁柱节点</w:t>
      </w:r>
      <w:r>
        <w:t>构造</w:t>
      </w:r>
    </w:p>
    <w:p>
      <w:pPr>
        <w:pStyle w:val="69"/>
      </w:pPr>
      <w:r>
        <w:t>1—</w:t>
      </w:r>
      <w:r>
        <w:rPr>
          <w:rFonts w:hint="eastAsia"/>
        </w:rPr>
        <w:t>顶层</w:t>
      </w:r>
      <w:r>
        <w:t>预制柱；2—</w:t>
      </w:r>
      <w:r>
        <w:rPr>
          <w:rFonts w:hint="eastAsia"/>
        </w:rPr>
        <w:t>顶层叠合</w:t>
      </w:r>
      <w:r>
        <w:t>梁；3—</w:t>
      </w:r>
      <w:r>
        <w:rPr>
          <w:rFonts w:hint="eastAsia"/>
        </w:rPr>
        <w:t>柱内纵筋</w:t>
      </w:r>
      <w:r>
        <w:t>；4—</w:t>
      </w:r>
      <w:r>
        <w:rPr>
          <w:rFonts w:hint="eastAsia"/>
        </w:rPr>
        <w:t>叠合梁顶纵筋</w:t>
      </w:r>
    </w:p>
    <w:p>
      <w:pPr>
        <w:pStyle w:val="4"/>
      </w:pPr>
      <w:bookmarkStart w:id="307" w:name="_Ref88040111"/>
      <w:bookmarkStart w:id="308" w:name="_Ref178151468"/>
      <w:r>
        <w:rPr>
          <w:rFonts w:hint="eastAsia"/>
        </w:rPr>
        <w:t>当部分梁柱节点设计为铰接时，宜采用带暗牛腿的</w:t>
      </w:r>
      <w:r>
        <w:t>连接构造。梁端顶部应</w:t>
      </w:r>
      <w:r>
        <w:rPr>
          <w:rFonts w:hint="eastAsia"/>
        </w:rPr>
        <w:t>设置纵向构造钢筋，其截面积不应小于梁跨中下部纵向受力钢筋计算所需截面面积的1</w:t>
      </w:r>
      <w:r>
        <w:t>/4</w:t>
      </w:r>
      <w:r>
        <w:rPr>
          <w:rFonts w:hint="eastAsia"/>
        </w:rPr>
        <w:t>，且不应少于</w:t>
      </w:r>
      <w:r>
        <w:t>2根</w:t>
      </w:r>
      <w:r>
        <w:rPr>
          <w:rFonts w:hint="eastAsia"/>
        </w:rPr>
        <w:t>，</w:t>
      </w:r>
      <w:r>
        <w:t>直径不</w:t>
      </w:r>
      <w:r>
        <w:rPr>
          <w:rFonts w:hint="eastAsia"/>
        </w:rPr>
        <w:t>应</w:t>
      </w:r>
      <w:r>
        <w:t>小于16mm的纵向构造钢筋。</w:t>
      </w:r>
      <w:bookmarkEnd w:id="307"/>
      <w:r>
        <w:t>预制梁与预制柱之间应预留25mm的间隙</w:t>
      </w:r>
      <w:r>
        <w:rPr>
          <w:rFonts w:hint="eastAsia"/>
        </w:rPr>
        <w:t>。</w:t>
      </w:r>
      <w:bookmarkEnd w:id="308"/>
    </w:p>
    <w:p>
      <w:pPr>
        <w:pStyle w:val="4"/>
      </w:pPr>
      <w:bookmarkStart w:id="309" w:name="_Toc86067933"/>
      <w:r>
        <w:rPr>
          <w:rFonts w:hint="eastAsia"/>
        </w:rPr>
        <w:t>压接装配框架梁柱节点，当矩形截面柱在预应力钢绞线贯通方向的截面尺寸小于8</w:t>
      </w:r>
      <w:r>
        <w:t>00</w:t>
      </w:r>
      <w:r>
        <w:rPr>
          <w:rFonts w:hint="eastAsia"/>
        </w:rPr>
        <w:t>mm，或圆形截面柱预应力钢绞线贯通位置弦长小于8</w:t>
      </w:r>
      <w:r>
        <w:t>00</w:t>
      </w:r>
      <w:r>
        <w:rPr>
          <w:rFonts w:hint="eastAsia"/>
        </w:rPr>
        <w:t>mm时，</w:t>
      </w:r>
      <w:r>
        <w:t>预应力钢绞线锚头不宜设置在</w:t>
      </w:r>
      <w:r>
        <w:rPr>
          <w:rFonts w:hint="eastAsia"/>
        </w:rPr>
        <w:t>梁柱节点</w:t>
      </w:r>
      <w:r>
        <w:t>核</w:t>
      </w:r>
      <w:r>
        <w:rPr>
          <w:rFonts w:hint="eastAsia"/>
        </w:rPr>
        <w:t>芯</w:t>
      </w:r>
      <w:r>
        <w:t>区</w:t>
      </w:r>
      <w:r>
        <w:rPr>
          <w:rFonts w:hint="eastAsia"/>
        </w:rPr>
        <w:t>内</w:t>
      </w:r>
      <w:r>
        <w:t>。当锚头设置在</w:t>
      </w:r>
      <w:r>
        <w:rPr>
          <w:rFonts w:hint="eastAsia"/>
        </w:rPr>
        <w:t>梁柱</w:t>
      </w:r>
      <w:r>
        <w:t>节点核</w:t>
      </w:r>
      <w:r>
        <w:rPr>
          <w:rFonts w:hint="eastAsia"/>
        </w:rPr>
        <w:t>芯</w:t>
      </w:r>
      <w:r>
        <w:t>区时，应考虑锚具对</w:t>
      </w:r>
      <w:r>
        <w:rPr>
          <w:rFonts w:hint="eastAsia"/>
        </w:rPr>
        <w:t>梁柱节点核心区</w:t>
      </w:r>
      <w:r>
        <w:t>受剪截面产生的不利影响。</w:t>
      </w:r>
      <w:bookmarkEnd w:id="309"/>
    </w:p>
    <w:p>
      <w:pPr>
        <w:pStyle w:val="4"/>
      </w:pPr>
      <w:bookmarkStart w:id="310" w:name="_Ref86671357"/>
      <w:r>
        <w:rPr>
          <w:rFonts w:hint="eastAsia"/>
        </w:rPr>
        <w:t>梁板柱复合梁柱节点</w:t>
      </w:r>
      <w:r>
        <w:t>梁端叠合层内</w:t>
      </w:r>
      <w:r>
        <w:rPr>
          <w:rFonts w:hint="eastAsia"/>
        </w:rPr>
        <w:t>的</w:t>
      </w:r>
      <w:r>
        <w:t>附加抗剪钢筋应置于梁端耗能钢筋之下，</w:t>
      </w:r>
      <w:r>
        <w:rPr>
          <w:rFonts w:hint="eastAsia"/>
        </w:rPr>
        <w:t>宜尽量贴近预制梁顶面，但</w:t>
      </w:r>
      <w:r>
        <w:t>与预制梁顶</w:t>
      </w:r>
      <w:r>
        <w:rPr>
          <w:rFonts w:hint="eastAsia"/>
        </w:rPr>
        <w:t>面净</w:t>
      </w:r>
      <w:r>
        <w:t>距</w:t>
      </w:r>
      <w:r>
        <w:rPr>
          <w:rFonts w:hint="eastAsia"/>
        </w:rPr>
        <w:t>不应小于15</w:t>
      </w:r>
      <w:r>
        <w:t>mm。附加抗剪钢筋在柱内和梁叠合层内的锚固长度宜为</w:t>
      </w:r>
      <w:r>
        <w:rPr>
          <w:rFonts w:hint="eastAsia"/>
        </w:rPr>
        <w:t>1</w:t>
      </w:r>
      <w:r>
        <w:t>2倍~15倍钢筋直径。</w:t>
      </w:r>
      <w:bookmarkEnd w:id="310"/>
    </w:p>
    <w:p/>
    <w:p>
      <w:pPr>
        <w:pStyle w:val="3"/>
      </w:pPr>
      <w:bookmarkStart w:id="311" w:name="_Toc202345821"/>
      <w:r>
        <w:rPr>
          <w:rFonts w:hint="eastAsia"/>
        </w:rPr>
        <w:t>板柱连接设计</w:t>
      </w:r>
      <w:bookmarkEnd w:id="311"/>
    </w:p>
    <w:p>
      <w:pPr>
        <w:pStyle w:val="4"/>
      </w:pPr>
      <w:bookmarkStart w:id="312" w:name="_Ref178584608"/>
      <w:r>
        <w:rPr>
          <w:rFonts w:hint="eastAsia"/>
        </w:rPr>
        <w:t>压接装配板柱节点接缝接触面处的竖向抗剪承载力由预应力产生的摩擦力承担，并应符合以下公式要求：</w:t>
      </w:r>
      <w:bookmarkEnd w:id="312"/>
    </w:p>
    <w:p>
      <w:pPr>
        <w:pStyle w:val="85"/>
      </w:pPr>
      <w:r>
        <w:tab/>
      </w:r>
      <m:oMath>
        <m:r>
          <m:rPr/>
          <w:rPr>
            <w:rFonts w:ascii="Cambria Math" w:hAnsi="Cambria Math"/>
          </w:rPr>
          <m:t>V</m:t>
        </m:r>
        <m:r>
          <m:rPr/>
          <w:rPr>
            <w:rFonts w:hint="eastAsia" w:ascii="Cambria Math" w:hAnsi="Cambria Math"/>
          </w:rPr>
          <m:t>≤</m:t>
        </m:r>
        <m:r>
          <m:rPr>
            <m:sty m:val="p"/>
          </m:rPr>
          <w:rPr>
            <w:rFonts w:ascii="Cambria Math" w:hAnsi="Cambria Math"/>
          </w:rPr>
          <m:t>0.36</m:t>
        </m:r>
        <m:r>
          <m:rPr/>
          <w:rPr>
            <w:rFonts w:ascii="Cambria Math" w:hAnsi="Cambria Math"/>
          </w:rPr>
          <m:t>μ</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hint="eastAsia" w:ascii="Cambria Math" w:hAnsi="Cambria Math"/>
              </w:rPr>
              <m:t>tot</m:t>
            </m:r>
            <m:ctrlPr>
              <w:rPr>
                <w:rFonts w:ascii="Cambria Math" w:hAnsi="Cambria Math"/>
              </w:rPr>
            </m:ctrlPr>
          </m:sub>
        </m:sSub>
      </m:oMath>
      <w:r>
        <w:tab/>
      </w:r>
      <w:r>
        <w:rPr>
          <w:rFonts w:hint="eastAsia"/>
        </w:rPr>
        <w:t>（</w:t>
      </w:r>
      <w:r>
        <w:fldChar w:fldCharType="begin"/>
      </w:r>
      <w:r>
        <w:instrText xml:space="preserve"> </w:instrText>
      </w:r>
      <w:r>
        <w:rPr>
          <w:rFonts w:hint="eastAsia"/>
        </w:rPr>
        <w:instrText xml:space="preserve">REF _Ref178584608 \r \h</w:instrText>
      </w:r>
      <w:r>
        <w:instrText xml:space="preserve"> </w:instrText>
      </w:r>
      <w:r>
        <w:fldChar w:fldCharType="separate"/>
      </w:r>
      <w:r>
        <w:t>5. 6. 1</w:t>
      </w:r>
      <w:r>
        <w:fldChar w:fldCharType="end"/>
      </w:r>
      <w:r>
        <w:rPr>
          <w:rFonts w:hint="eastAsia"/>
        </w:rPr>
        <w:t>）</w:t>
      </w:r>
    </w:p>
    <w:p>
      <w:pPr>
        <w:pStyle w:val="86"/>
      </w:pPr>
      <w:r>
        <w:rPr>
          <w:rFonts w:hint="eastAsia"/>
        </w:rPr>
        <w:t>式中：</w:t>
      </w:r>
      <w:r>
        <w:tab/>
      </w:r>
      <m:oMath>
        <m:r>
          <m:rPr/>
          <w:rPr>
            <w:rFonts w:hint="eastAsia" w:ascii="Cambria Math" w:hAnsi="Cambria Math"/>
          </w:rPr>
          <m:t>V</m:t>
        </m:r>
      </m:oMath>
      <w:r>
        <w:t>——</w:t>
      </w:r>
      <w:r>
        <w:tab/>
      </w:r>
      <w:r>
        <w:rPr>
          <w:rFonts w:hint="eastAsia"/>
        </w:rPr>
        <w:t>竖向荷载产生的剪力组合设计值 （kN）；</w:t>
      </w:r>
    </w:p>
    <w:p>
      <w:pPr>
        <w:pStyle w:val="86"/>
      </w:pPr>
      <w:r>
        <w:tab/>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tot</m:t>
            </m:r>
            <m:ctrlPr>
              <w:rPr>
                <w:rFonts w:ascii="Cambria Math" w:hAnsi="Cambria Math"/>
                <w:i/>
              </w:rPr>
            </m:ctrlPr>
          </m:sub>
        </m:sSub>
      </m:oMath>
      <w:r>
        <w:t>——</w:t>
      </w:r>
      <w:r>
        <w:tab/>
      </w:r>
      <w:r>
        <w:rPr>
          <w:rFonts w:hint="eastAsia"/>
        </w:rPr>
        <w:t>预应力有效值 ，以受压为正（kN）；</w:t>
      </w:r>
    </w:p>
    <w:p>
      <w:pPr>
        <w:pStyle w:val="86"/>
      </w:pPr>
      <w:r>
        <w:tab/>
      </w:r>
      <m:oMath>
        <m:r>
          <m:rPr>
            <m:sty m:val="p"/>
          </m:rPr>
          <w:rPr>
            <w:rFonts w:ascii="Cambria Math" w:hAnsi="Cambria Math"/>
          </w:rPr>
          <m:t>μ</m:t>
        </m:r>
      </m:oMath>
      <w:r>
        <w:t>——</w:t>
      </w:r>
      <w:r>
        <w:tab/>
      </w:r>
      <w:r>
        <w:rPr>
          <w:rFonts w:hint="eastAsia"/>
        </w:rPr>
        <w:t>摩擦系数，可取0.</w:t>
      </w:r>
      <w:r>
        <w:t>7</w:t>
      </w:r>
      <w:r>
        <w:rPr>
          <w:rFonts w:hint="eastAsia"/>
        </w:rPr>
        <w:t>。</w:t>
      </w:r>
    </w:p>
    <w:p>
      <w:pPr>
        <w:pStyle w:val="4"/>
      </w:pPr>
      <w:bookmarkStart w:id="313" w:name="_Ref178584641"/>
      <w:r>
        <w:rPr>
          <w:rFonts w:hint="eastAsia"/>
        </w:rPr>
        <w:t>预制板与柱、方垫快连接的板角缺口内的局部加强钢筋，宜要用斜向钢筋，其配筋面积应按下式计算：</w:t>
      </w:r>
      <w:bookmarkEnd w:id="313"/>
    </w:p>
    <w:p>
      <w:pPr>
        <w:pStyle w:val="85"/>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s</m:t>
            </m:r>
            <m:ctrlPr>
              <w:rPr>
                <w:rFonts w:ascii="Cambria Math" w:hAnsi="Cambria Math"/>
              </w:rPr>
            </m:ctrlPr>
          </m:sub>
        </m:sSub>
        <m:r>
          <m:rPr>
            <m:sty m:val="p"/>
          </m:rPr>
          <w:rPr>
            <w:rFonts w:hint="eastAsia" w:ascii="Cambria Math" w:hAnsi="Cambria Math"/>
          </w:rPr>
          <m:t>≥</m:t>
        </m:r>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0.15</m:t>
            </m:r>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x</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m:t>
                    </m:r>
                    <m:ctrlPr>
                      <w:rPr>
                        <w:rFonts w:ascii="Cambria Math" w:hAnsi="Cambria Math"/>
                      </w:rPr>
                    </m:ctrlPr>
                  </m:sub>
                </m:sSub>
                <m:ctrlPr>
                  <w:rPr>
                    <w:rFonts w:ascii="Cambria Math" w:hAnsi="Cambria Math"/>
                  </w:rPr>
                </m:ctrlPr>
              </m:den>
            </m:f>
            <m:r>
              <m:rPr>
                <m:sty m:val="p"/>
              </m:rPr>
              <w:rPr>
                <w:rFonts w:ascii="Cambria Math" w:hAnsi="Cambria Math"/>
              </w:rPr>
              <m:t>,0.15</m:t>
            </m:r>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y</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m:t>
                    </m:r>
                    <m:ctrlPr>
                      <w:rPr>
                        <w:rFonts w:ascii="Cambria Math" w:hAnsi="Cambria Math"/>
                      </w:rPr>
                    </m:ctrlPr>
                  </m:sub>
                </m:sSub>
                <m:ctrlPr>
                  <w:rPr>
                    <w:rFonts w:ascii="Cambria Math" w:hAnsi="Cambria Math"/>
                  </w:rPr>
                </m:ctrlPr>
              </m:den>
            </m:f>
            <m:ctrlPr>
              <w:rPr>
                <w:rFonts w:ascii="Cambria Math" w:hAnsi="Cambria Math"/>
              </w:rPr>
            </m:ctrlPr>
          </m:e>
        </m:d>
      </m:oMath>
      <w:r>
        <w:tab/>
      </w:r>
      <w:r>
        <w:rPr>
          <w:rFonts w:hint="eastAsia"/>
        </w:rPr>
        <w:t>（</w:t>
      </w:r>
      <w:r>
        <w:fldChar w:fldCharType="begin"/>
      </w:r>
      <w:r>
        <w:instrText xml:space="preserve"> </w:instrText>
      </w:r>
      <w:r>
        <w:rPr>
          <w:rFonts w:hint="eastAsia"/>
        </w:rPr>
        <w:instrText xml:space="preserve">REF _Ref178584641 \r \h</w:instrText>
      </w:r>
      <w:r>
        <w:instrText xml:space="preserve"> </w:instrText>
      </w:r>
      <w:r>
        <w:fldChar w:fldCharType="separate"/>
      </w:r>
      <w:r>
        <w:t>5. 6. 2</w:t>
      </w:r>
      <w:r>
        <w:fldChar w:fldCharType="end"/>
      </w:r>
      <w:r>
        <w:noBreakHyphen/>
      </w:r>
      <w:r>
        <w:t>1</w:t>
      </w:r>
      <w:r>
        <w:rPr>
          <w:rFonts w:hint="eastAsia"/>
        </w:rPr>
        <w:t>）</w:t>
      </w:r>
    </w:p>
    <w:p>
      <w:pPr>
        <w:snapToGrid w:val="0"/>
        <w:spacing w:line="360" w:lineRule="auto"/>
        <w:ind w:firstLine="566"/>
      </w:pPr>
      <w:r>
        <w:rPr>
          <w:rFonts w:hint="eastAsia"/>
        </w:rPr>
        <w:t>当配置交叉钢筋时，应按下式计算：</w:t>
      </w:r>
    </w:p>
    <w:p>
      <w:pPr>
        <w:pStyle w:val="85"/>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hint="eastAsia" w:ascii="Cambria Math" w:hAnsi="Cambria Math"/>
          </w:rPr>
          <m:t>≥</m:t>
        </m:r>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0.21</m:t>
            </m:r>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x</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den>
            </m:f>
            <m:r>
              <m:rPr>
                <m:sty m:val="p"/>
              </m:rPr>
              <w:rPr>
                <w:rFonts w:ascii="Cambria Math" w:hAnsi="Cambria Math"/>
              </w:rPr>
              <m:t>,0.21</m:t>
            </m:r>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y</m:t>
                    </m:r>
                    <m:ctrlPr>
                      <w:rPr>
                        <w:rFonts w:ascii="Cambria Math" w:hAnsi="Cambria Math"/>
                      </w:rPr>
                    </m:ctrlPr>
                  </m:sub>
                </m:sSub>
                <m:ctrlPr>
                  <w:rPr>
                    <w:rFonts w:ascii="Cambria Math" w:hAnsi="Cambria Math"/>
                  </w:rPr>
                </m:ctrlPr>
              </m:den>
            </m:f>
            <m:ctrlPr>
              <w:rPr>
                <w:rFonts w:ascii="Cambria Math" w:hAnsi="Cambria Math"/>
              </w:rPr>
            </m:ctrlPr>
          </m:e>
        </m:d>
      </m:oMath>
      <w:r>
        <w:tab/>
      </w:r>
      <w:r>
        <w:rPr>
          <w:rFonts w:hint="eastAsia"/>
        </w:rPr>
        <w:t>（</w:t>
      </w:r>
      <w:r>
        <w:fldChar w:fldCharType="begin"/>
      </w:r>
      <w:r>
        <w:instrText xml:space="preserve"> </w:instrText>
      </w:r>
      <w:r>
        <w:rPr>
          <w:rFonts w:hint="eastAsia"/>
        </w:rPr>
        <w:instrText xml:space="preserve">REF _Ref178584641 \r \h</w:instrText>
      </w:r>
      <w:r>
        <w:instrText xml:space="preserve"> </w:instrText>
      </w:r>
      <w:r>
        <w:fldChar w:fldCharType="separate"/>
      </w:r>
      <w:r>
        <w:t>5. 6. 2</w:t>
      </w:r>
      <w:r>
        <w:fldChar w:fldCharType="end"/>
      </w:r>
      <w:r>
        <w:noBreakHyphen/>
      </w:r>
      <w:r>
        <w:t>2</w:t>
      </w:r>
      <w:r>
        <w:rPr>
          <w:rFonts w:hint="eastAsia"/>
        </w:rPr>
        <w:t>）</w:t>
      </w:r>
    </w:p>
    <w:p>
      <w:pPr>
        <w:snapToGrid w:val="0"/>
        <w:spacing w:line="360" w:lineRule="auto"/>
        <w:ind w:firstLine="566"/>
      </w:pPr>
      <w:r>
        <w:rPr>
          <w:rFonts w:hint="eastAsia"/>
        </w:rPr>
        <w:t>式中：</w:t>
      </w:r>
      <m:oMath>
        <m:sSub>
          <m:sSubPr>
            <m:ctrlPr>
              <w:rPr>
                <w:rFonts w:ascii="Cambria Math" w:hAnsi="Cambria Math"/>
                <w:i/>
              </w:rPr>
            </m:ctrlPr>
          </m:sSubPr>
          <m:e>
            <m:r>
              <m:rPr/>
              <w:rPr>
                <w:rFonts w:hint="eastAsia" w:ascii="Cambria Math" w:hAnsi="Cambria Math"/>
              </w:rPr>
              <m:t>N</m:t>
            </m:r>
            <m:ctrlPr>
              <w:rPr>
                <w:rFonts w:hint="eastAsia" w:ascii="Cambria Math" w:hAnsi="Cambria Math"/>
                <w:i/>
              </w:rPr>
            </m:ctrlPr>
          </m:e>
          <m:sub>
            <m:r>
              <m:rPr/>
              <w:rPr>
                <w:rFonts w:ascii="Cambria Math" w:hAnsi="Cambria Math"/>
              </w:rPr>
              <m:t>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y</m:t>
            </m:r>
            <m:ctrlPr>
              <w:rPr>
                <w:rFonts w:ascii="Cambria Math" w:hAnsi="Cambria Math"/>
                <w:i/>
              </w:rPr>
            </m:ctrlPr>
          </m:sub>
        </m:sSub>
      </m:oMath>
      <w:r>
        <w:t>——</w:t>
      </w:r>
      <w:r>
        <w:tab/>
      </w:r>
      <w:r>
        <w:rPr>
          <w:rFonts w:hint="eastAsia"/>
        </w:rPr>
        <w:t>在x轴、y轴方向的预应力综合轴力有效值（kN）。</w:t>
      </w:r>
    </w:p>
    <w:p>
      <w:pPr>
        <w:pStyle w:val="69"/>
      </w:pPr>
      <w:r>
        <w:drawing>
          <wp:inline distT="0" distB="0" distL="0" distR="0">
            <wp:extent cx="3467100" cy="1495425"/>
            <wp:effectExtent l="0" t="0" r="0" b="9525"/>
            <wp:docPr id="44486772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4867729" name="图片 11"/>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3475682" cy="1499322"/>
                    </a:xfrm>
                    <a:prstGeom prst="rect">
                      <a:avLst/>
                    </a:prstGeom>
                    <a:noFill/>
                    <a:ln>
                      <a:noFill/>
                    </a:ln>
                  </pic:spPr>
                </pic:pic>
              </a:graphicData>
            </a:graphic>
          </wp:inline>
        </w:drawing>
      </w:r>
    </w:p>
    <w:p>
      <w:pPr>
        <w:spacing w:after="80"/>
        <w:ind w:firstLine="496"/>
        <w:jc w:val="center"/>
        <w:rPr>
          <w:sz w:val="21"/>
        </w:rPr>
      </w:pPr>
      <w:r>
        <w:rPr>
          <w:rFonts w:hint="eastAsia"/>
          <w:sz w:val="21"/>
        </w:rPr>
        <w:t>图</w:t>
      </w:r>
      <w:r>
        <w:rPr>
          <w:sz w:val="21"/>
        </w:rPr>
        <w:fldChar w:fldCharType="begin"/>
      </w:r>
      <w:r>
        <w:rPr>
          <w:sz w:val="21"/>
        </w:rPr>
        <w:instrText xml:space="preserve"> </w:instrText>
      </w:r>
      <w:r>
        <w:rPr>
          <w:rFonts w:hint="eastAsia"/>
          <w:sz w:val="21"/>
        </w:rPr>
        <w:instrText xml:space="preserve">STYLEREF 3 \s</w:instrText>
      </w:r>
      <w:r>
        <w:rPr>
          <w:sz w:val="21"/>
        </w:rPr>
        <w:instrText xml:space="preserve"> </w:instrText>
      </w:r>
      <w:r>
        <w:rPr>
          <w:sz w:val="21"/>
        </w:rPr>
        <w:fldChar w:fldCharType="separate"/>
      </w:r>
      <w:r>
        <w:rPr>
          <w:sz w:val="21"/>
        </w:rPr>
        <w:t>5. 6. 2</w:t>
      </w:r>
      <w:r>
        <w:rPr>
          <w:sz w:val="21"/>
        </w:rPr>
        <w:fldChar w:fldCharType="end"/>
      </w:r>
      <w:r>
        <w:rPr>
          <w:sz w:val="21"/>
        </w:rPr>
        <w:t xml:space="preserve">  </w:t>
      </w:r>
      <w:r>
        <w:rPr>
          <w:rFonts w:hint="eastAsia"/>
          <w:sz w:val="21"/>
        </w:rPr>
        <w:t>板角缺口局部加强钢筋的计算</w:t>
      </w:r>
    </w:p>
    <w:p>
      <w:pPr>
        <w:pStyle w:val="4"/>
      </w:pPr>
      <w:bookmarkStart w:id="314" w:name="_Ref197698463"/>
      <w:r>
        <w:rPr>
          <w:rFonts w:hint="eastAsia"/>
        </w:rPr>
        <w:t>同一轴线预应力梁净截面面积、板垫块接缝面面积均不应小于板柱接缝面面积，接缝面不得有预埋钢板，应是混凝土面。板柱接缝面指柱与楼板板角、边梁端之间的接缝面（预应力压接面）。接缝面面积应符合下式规定：</w:t>
      </w:r>
      <w:bookmarkEnd w:id="314"/>
    </w:p>
    <w:p>
      <w:pPr>
        <w:pStyle w:val="85"/>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1</m:t>
            </m:r>
            <m:ctrlPr>
              <w:rPr>
                <w:rFonts w:ascii="Cambria Math" w:hAnsi="Cambria Math"/>
              </w:rPr>
            </m:ctrlPr>
          </m:sub>
        </m:sSub>
        <m:r>
          <m:rPr/>
          <w:rPr>
            <w:rFonts w:ascii="Cambria Math" w:hAnsi="Cambria Math"/>
          </w:rPr>
          <m:t>⩾0.9</m:t>
        </m:r>
        <m:f>
          <m:fPr>
            <m:ctrlPr>
              <w:rPr>
                <w:rFonts w:ascii="Cambria Math" w:hAnsi="Cambria Math"/>
              </w:rPr>
            </m:ctrlPr>
          </m:fPr>
          <m:num>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ptk</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c</m:t>
                </m:r>
                <m:ctrlPr>
                  <w:rPr>
                    <w:rFonts w:ascii="Cambria Math" w:hAnsi="Cambria Math"/>
                  </w:rPr>
                </m:ctrlPr>
              </m:sub>
            </m:sSub>
            <m:ctrlPr>
              <w:rPr>
                <w:rFonts w:ascii="Cambria Math" w:hAnsi="Cambria Math"/>
              </w:rPr>
            </m:ctrlPr>
          </m:den>
        </m:f>
        <m:r>
          <m:rPr/>
          <w:rPr>
            <w:rFonts w:ascii="Cambria Math" w:hAnsi="Cambria Math"/>
          </w:rPr>
          <m:t>(</m:t>
        </m:r>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r>
          <m:rPr/>
          <w:rPr>
            <w:rFonts w:ascii="Cambria Math" w:hAnsi="Cambria Math"/>
          </w:rPr>
          <m:t>+</m:t>
        </m:r>
        <m:sSubSup>
          <m:sSubSupPr>
            <m:ctrlPr>
              <w:rPr>
                <w:rFonts w:ascii="Cambria Math" w:hAnsi="Cambria Math"/>
              </w:rPr>
            </m:ctrlPr>
          </m:sSubSup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up>
            <m:r>
              <m:rPr>
                <m:sty m:val="p"/>
              </m:rPr>
              <w:rPr>
                <w:rFonts w:ascii="Cambria Math" w:hAnsi="Cambria Math"/>
              </w:rPr>
              <m:t>'</m:t>
            </m:r>
            <m:ctrlPr>
              <w:rPr>
                <w:rFonts w:ascii="Cambria Math" w:hAnsi="Cambria Math"/>
              </w:rPr>
            </m:ctrlPr>
          </m:sup>
        </m:sSubSup>
        <m:r>
          <m:rPr/>
          <w:rPr>
            <w:rFonts w:ascii="Cambria Math" w:hAnsi="Cambria Math"/>
          </w:rPr>
          <m:t>)</m:t>
        </m:r>
      </m:oMath>
      <w:r>
        <w:tab/>
      </w:r>
      <w:r>
        <w:rPr>
          <w:rFonts w:hint="eastAsia"/>
        </w:rPr>
        <w:t>（</w:t>
      </w:r>
      <w:r>
        <w:fldChar w:fldCharType="begin"/>
      </w:r>
      <w:r>
        <w:instrText xml:space="preserve"> </w:instrText>
      </w:r>
      <w:r>
        <w:rPr>
          <w:rFonts w:hint="eastAsia"/>
        </w:rPr>
        <w:instrText xml:space="preserve">REF _Ref197698463 \r \h</w:instrText>
      </w:r>
      <w:r>
        <w:instrText xml:space="preserve"> </w:instrText>
      </w:r>
      <w:r>
        <w:fldChar w:fldCharType="separate"/>
      </w:r>
      <w:r>
        <w:t>5. 6. 3</w:t>
      </w:r>
      <w:r>
        <w:fldChar w:fldCharType="end"/>
      </w:r>
      <w:r>
        <w:rPr>
          <w:rFonts w:hint="eastAsia"/>
        </w:rPr>
        <w:t>）</w:t>
      </w:r>
    </w:p>
    <w:p>
      <w:pPr>
        <w:pStyle w:val="86"/>
      </w:pPr>
      <w:r>
        <w:rPr>
          <w:rFonts w:hint="eastAsia"/>
          <w:bCs/>
        </w:rPr>
        <w:t>式中：</w:t>
      </w:r>
      <w:r>
        <w:rPr>
          <w:bCs/>
        </w:rPr>
        <w:tab/>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r>
          <m:rPr/>
          <w:rPr>
            <w:rFonts w:hint="eastAsia" w:ascii="Cambria Math" w:hAnsi="Cambria Math"/>
          </w:rPr>
          <m:t>、</m:t>
        </m:r>
        <m:sSubSup>
          <m:sSubSupPr>
            <m:ctrlPr>
              <w:rPr>
                <w:rFonts w:ascii="Cambria Math" w:hAnsi="Cambria Math"/>
              </w:rPr>
            </m:ctrlPr>
          </m:sSubSup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up>
            <m:r>
              <m:rPr>
                <m:sty m:val="p"/>
              </m:rPr>
              <w:rPr>
                <w:rFonts w:ascii="Cambria Math" w:hAnsi="Cambria Math"/>
              </w:rPr>
              <m:t>'</m:t>
            </m:r>
            <m:ctrlPr>
              <w:rPr>
                <w:rFonts w:ascii="Cambria Math" w:hAnsi="Cambria Math"/>
              </w:rPr>
            </m:ctrlPr>
          </m:sup>
        </m:sSubSup>
      </m:oMath>
      <w:r>
        <w:t>——</w:t>
      </w:r>
      <w:r>
        <w:tab/>
      </w:r>
      <w:r>
        <w:rPr>
          <w:rFonts w:hint="eastAsia"/>
        </w:rPr>
        <w:t>受拉区、受压区预应力筋的截面面积；</w:t>
      </w:r>
    </w:p>
    <w:p>
      <w:pPr>
        <w:pStyle w:val="86"/>
      </w:pPr>
      <w:r>
        <w:tab/>
      </w:r>
      <m:oMath>
        <m:sSub>
          <m:sSubPr>
            <m:ctrlPr>
              <w:rPr>
                <w:rFonts w:ascii="Cambria Math" w:hAnsi="Cambria Math"/>
              </w:rPr>
            </m:ctrlPr>
          </m:sSubPr>
          <m:e>
            <m:r>
              <m:rPr/>
              <w:rPr>
                <w:rFonts w:ascii="Cambria Math" w:hAnsi="Cambria Math"/>
              </w:rPr>
              <m:t>A</m:t>
            </m:r>
            <m:ctrlPr>
              <w:rPr>
                <w:rFonts w:ascii="Cambria Math" w:hAnsi="Cambria Math"/>
              </w:rPr>
            </m:ctrlPr>
          </m:e>
          <m:sub>
            <m:r>
              <m:rPr/>
              <w:rPr>
                <w:rFonts w:ascii="Cambria Math" w:hAnsi="Cambria Math"/>
              </w:rPr>
              <m:t>1</m:t>
            </m:r>
            <m:ctrlPr>
              <w:rPr>
                <w:rFonts w:ascii="Cambria Math" w:hAnsi="Cambria Math"/>
              </w:rPr>
            </m:ctrlPr>
          </m:sub>
        </m:sSub>
      </m:oMath>
      <w:r>
        <w:t>——</w:t>
      </w:r>
      <w:r>
        <w:tab/>
      </w:r>
      <w:r>
        <w:rPr>
          <w:rFonts w:hint="eastAsia"/>
        </w:rPr>
        <w:t>接缝面面积</w:t>
      </w:r>
      <w:r>
        <w:t>(mm²)</w:t>
      </w:r>
      <w:r>
        <w:rPr>
          <w:rFonts w:hint="eastAsia"/>
        </w:rPr>
        <w:t>，取</w:t>
      </w:r>
      <m:oMath>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1</m:t>
            </m:r>
            <m:ctrlPr>
              <w:rPr>
                <w:rFonts w:ascii="Cambria Math" w:hAnsi="Cambria Math"/>
              </w:rPr>
            </m:ctrlPr>
          </m:sub>
        </m:sSub>
        <m:r>
          <m:rPr/>
          <w:rPr>
            <w:rFonts w:ascii="Cambria Math" w:hAnsi="Cambria Math"/>
          </w:rPr>
          <m:t>=</m:t>
        </m:r>
        <m:r>
          <m:rPr/>
          <w:rPr>
            <w:rFonts w:hint="eastAsia" w:ascii="Cambria Math" w:hAnsi="Cambria Math"/>
          </w:rPr>
          <m:t>a</m:t>
        </m:r>
        <m:r>
          <m:rPr/>
          <w:rPr>
            <w:rFonts w:ascii="Cambria Math" w:hAnsi="Cambria Math" w:eastAsia="MS Gothic" w:cs="MS Gothic"/>
          </w:rPr>
          <m:t>ℎ</m:t>
        </m:r>
      </m:oMath>
      <w:r>
        <w:rPr>
          <w:rFonts w:hint="eastAsia"/>
        </w:rPr>
        <w:t>计算；</w:t>
      </w:r>
    </w:p>
    <w:p>
      <w:pPr>
        <w:pStyle w:val="86"/>
      </w:pPr>
      <w:r>
        <w:tab/>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ptk</m:t>
            </m:r>
            <m:ctrlPr>
              <w:rPr>
                <w:rFonts w:ascii="Cambria Math" w:hAnsi="Cambria Math"/>
              </w:rPr>
            </m:ctrlPr>
          </m:sub>
        </m:sSub>
        <m:r>
          <m:rPr/>
          <w:rPr>
            <w:rFonts w:hint="eastAsia"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c</m:t>
            </m:r>
            <m:ctrlPr>
              <w:rPr>
                <w:rFonts w:ascii="Cambria Math" w:hAnsi="Cambria Math"/>
              </w:rPr>
            </m:ctrlPr>
          </m:sub>
        </m:sSub>
      </m:oMath>
      <w:r>
        <w:t>——</w:t>
      </w:r>
      <w:r>
        <w:tab/>
      </w:r>
      <w:r>
        <w:rPr>
          <w:rFonts w:hint="eastAsia"/>
        </w:rPr>
        <w:t>按现行国家标准《混凝土结构设计标准》GB</w:t>
      </w:r>
      <w:r>
        <w:t>/T</w:t>
      </w:r>
      <w:r>
        <w:rPr>
          <w:rFonts w:hint="eastAsia"/>
        </w:rPr>
        <w:t xml:space="preserve"> 50010取用。</w:t>
      </w:r>
    </w:p>
    <w:p>
      <w:pPr>
        <w:pStyle w:val="4"/>
      </w:pPr>
      <w:r>
        <w:rPr>
          <w:rFonts w:hint="eastAsia"/>
        </w:rPr>
        <w:t>板柱接缝宽度及板垫块接缝宽度宜根据板厚取2</w:t>
      </w:r>
      <w:r>
        <w:t>0~30</w:t>
      </w:r>
      <w:r>
        <w:rPr>
          <w:rFonts w:hint="eastAsia"/>
        </w:rPr>
        <w:t>mm。</w:t>
      </w:r>
    </w:p>
    <w:p>
      <w:pPr>
        <w:pStyle w:val="86"/>
      </w:pPr>
    </w:p>
    <w:p>
      <w:pPr>
        <w:pStyle w:val="3"/>
      </w:pPr>
      <w:bookmarkStart w:id="315" w:name="_Toc202345822"/>
      <w:r>
        <w:t>其他</w:t>
      </w:r>
      <w:r>
        <w:rPr>
          <w:rFonts w:hint="eastAsia"/>
        </w:rPr>
        <w:t>连接</w:t>
      </w:r>
      <w:bookmarkStart w:id="316" w:name="_Ref81321807"/>
      <w:bookmarkStart w:id="317" w:name="_Toc86067935"/>
      <w:r>
        <w:rPr>
          <w:rFonts w:hint="eastAsia"/>
        </w:rPr>
        <w:t>设计</w:t>
      </w:r>
      <w:bookmarkEnd w:id="315"/>
      <w:bookmarkStart w:id="318" w:name="_Toc197444884"/>
      <w:bookmarkEnd w:id="318"/>
    </w:p>
    <w:p>
      <w:pPr>
        <w:pStyle w:val="4"/>
      </w:pPr>
      <w:bookmarkStart w:id="319" w:name="_Ref198039879"/>
      <w:bookmarkStart w:id="320" w:name="_Ref88040573"/>
      <w:r>
        <w:rPr>
          <w:rFonts w:hint="eastAsia"/>
        </w:rPr>
        <w:t>抗震设计的高层建筑底部加强层部位或柱的塑性铰区，当采用钢筋套筒灌浆连接时，宜采用全灌浆钢筋套筒连接。</w:t>
      </w:r>
      <w:bookmarkEnd w:id="319"/>
    </w:p>
    <w:p>
      <w:pPr>
        <w:pStyle w:val="4"/>
      </w:pPr>
      <w:bookmarkStart w:id="321" w:name="_Ref198039944"/>
      <w:r>
        <w:rPr>
          <w:rFonts w:hint="eastAsia"/>
        </w:rPr>
        <w:t>预制柱上下之间连接应符合下列规定：</w:t>
      </w:r>
      <w:bookmarkEnd w:id="320"/>
      <w:bookmarkEnd w:id="321"/>
    </w:p>
    <w:p>
      <w:pPr>
        <w:pStyle w:val="70"/>
        <w:rPr>
          <w:highlight w:val="yellow"/>
        </w:rPr>
      </w:pPr>
      <w:r>
        <w:rPr>
          <w:rFonts w:hint="eastAsia"/>
          <w:b/>
        </w:rPr>
        <w:t>1</w:t>
      </w:r>
      <w:r>
        <w:tab/>
      </w:r>
      <w:r>
        <w:rPr>
          <w:rFonts w:hint="eastAsia"/>
        </w:rPr>
        <w:t>预制柱上下之间宜为等强刚性连接，且应满足设计承载力和变形要求。当采用不等强连接时，柱承载力极限状态下连接应处于弹性状态。</w:t>
      </w:r>
    </w:p>
    <w:p>
      <w:pPr>
        <w:pStyle w:val="70"/>
      </w:pPr>
      <w:bookmarkStart w:id="322" w:name="_Toc86067909"/>
      <w:r>
        <w:rPr>
          <w:rFonts w:hint="eastAsia"/>
          <w:b/>
        </w:rPr>
        <w:t>2</w:t>
      </w:r>
      <w:bookmarkEnd w:id="322"/>
      <w:r>
        <w:tab/>
      </w:r>
      <w:r>
        <w:t>上下</w:t>
      </w:r>
      <w:r>
        <w:rPr>
          <w:rFonts w:hint="eastAsia"/>
        </w:rPr>
        <w:t>预制</w:t>
      </w:r>
      <w:r>
        <w:t>柱间接缝位置宜设置</w:t>
      </w:r>
      <w:r>
        <w:rPr>
          <w:rFonts w:hint="eastAsia"/>
        </w:rPr>
        <w:t>在</w:t>
      </w:r>
      <w:r>
        <w:t>楼面标高以上0</w:t>
      </w:r>
      <w:r>
        <w:rPr>
          <w:rFonts w:hint="eastAsia"/>
        </w:rPr>
        <w:t>mm~1000mm高度</w:t>
      </w:r>
      <w:r>
        <w:t>范围内</w:t>
      </w:r>
      <w:r>
        <w:rPr>
          <w:rFonts w:hint="eastAsia"/>
        </w:rPr>
        <w:t>。</w:t>
      </w:r>
    </w:p>
    <w:p>
      <w:pPr>
        <w:pStyle w:val="70"/>
      </w:pPr>
      <w:r>
        <w:rPr>
          <w:rFonts w:hint="eastAsia"/>
          <w:b/>
        </w:rPr>
        <w:t>3</w:t>
      </w:r>
      <w:r>
        <w:tab/>
      </w:r>
      <w:r>
        <w:t>当采用</w:t>
      </w:r>
      <w:r>
        <w:rPr>
          <w:rFonts w:hint="eastAsia"/>
        </w:rPr>
        <w:t>钢筋</w:t>
      </w:r>
      <w:r>
        <w:t>套筒灌浆连接时</w:t>
      </w:r>
      <w:r>
        <w:rPr>
          <w:rFonts w:hint="eastAsia"/>
        </w:rPr>
        <w:t>，柱</w:t>
      </w:r>
      <w:r>
        <w:t>接缝间隙可取20mm，并应采用强度不低于预制柱</w:t>
      </w:r>
      <w:r>
        <w:rPr>
          <w:rFonts w:hint="eastAsia"/>
        </w:rPr>
        <w:t>身混凝土强度</w:t>
      </w:r>
      <w:r>
        <w:t>的</w:t>
      </w:r>
      <w:r>
        <w:rPr>
          <w:rFonts w:hint="eastAsia"/>
        </w:rPr>
        <w:t>无收缩灌浆料填实</w:t>
      </w:r>
      <w:r>
        <w:t>。</w:t>
      </w:r>
    </w:p>
    <w:p>
      <w:pPr>
        <w:pStyle w:val="70"/>
      </w:pPr>
      <w:r>
        <w:rPr>
          <w:rFonts w:hint="eastAsia"/>
          <w:b/>
        </w:rPr>
        <w:t>4</w:t>
      </w:r>
      <w:r>
        <w:tab/>
      </w:r>
      <w:r>
        <w:t>预制混凝土柱连接</w:t>
      </w:r>
      <w:r>
        <w:rPr>
          <w:rFonts w:hint="eastAsia"/>
        </w:rPr>
        <w:t>区域</w:t>
      </w:r>
      <w:r>
        <w:t>箍筋应加密，加密</w:t>
      </w:r>
      <w:r>
        <w:rPr>
          <w:rFonts w:hint="eastAsia"/>
        </w:rPr>
        <w:t>高</w:t>
      </w:r>
      <w:r>
        <w:t>度</w:t>
      </w:r>
      <w:r>
        <w:rPr>
          <w:rFonts w:hint="eastAsia"/>
        </w:rPr>
        <w:t>不应小于</w:t>
      </w:r>
      <w:r>
        <w:t>纵向受力钢筋连接区域长度与500mm之和</w:t>
      </w:r>
      <w:r>
        <w:rPr>
          <w:rFonts w:hint="eastAsia"/>
        </w:rPr>
        <w:t>。钢筋连接</w:t>
      </w:r>
      <w:r>
        <w:t>套筒上端第一道箍筋距离套筒顶部不应大于50mm</w:t>
      </w:r>
      <w:r>
        <w:rPr>
          <w:rFonts w:hint="eastAsia"/>
        </w:rPr>
        <w:t>，钢筋连接</w:t>
      </w:r>
      <w:r>
        <w:t>套筒</w:t>
      </w:r>
      <w:r>
        <w:rPr>
          <w:rFonts w:hint="eastAsia"/>
        </w:rPr>
        <w:t>下</w:t>
      </w:r>
      <w:r>
        <w:t>端第一道箍筋距离套筒</w:t>
      </w:r>
      <w:r>
        <w:rPr>
          <w:rFonts w:hint="eastAsia"/>
        </w:rPr>
        <w:t>底</w:t>
      </w:r>
      <w:r>
        <w:t>部不应大于</w:t>
      </w:r>
      <w:r>
        <w:rPr>
          <w:rFonts w:hint="eastAsia"/>
        </w:rPr>
        <w:t>3</w:t>
      </w:r>
      <w:r>
        <w:t>0mm</w:t>
      </w:r>
      <w:r>
        <w:rPr>
          <w:rFonts w:hint="eastAsia"/>
        </w:rPr>
        <w:t>。</w:t>
      </w:r>
    </w:p>
    <w:p>
      <w:pPr>
        <w:pStyle w:val="111"/>
      </w:pPr>
    </w:p>
    <w:p>
      <w:pPr>
        <w:pStyle w:val="4"/>
      </w:pPr>
      <w:bookmarkStart w:id="323" w:name="_Ref86137697"/>
      <w:bookmarkStart w:id="324" w:name="_Toc86067908"/>
      <w:bookmarkStart w:id="325" w:name="_Ref88040750"/>
      <w:bookmarkStart w:id="326" w:name="_Ref91595203"/>
      <w:r>
        <w:t>预制混凝土框架柱底部应设置</w:t>
      </w:r>
      <w:r>
        <w:rPr>
          <w:rFonts w:hint="eastAsia"/>
        </w:rPr>
        <w:t>向柱底中部逐渐内缩的</w:t>
      </w:r>
      <w:r>
        <w:t>抗剪凹槽</w:t>
      </w:r>
      <w:r>
        <w:rPr>
          <w:rFonts w:hint="eastAsia"/>
        </w:rPr>
        <w:t>，不得采用粗糙面代替</w:t>
      </w:r>
      <w:r>
        <w:t>抗剪凹槽</w:t>
      </w:r>
      <w:r>
        <w:rPr>
          <w:rFonts w:hint="eastAsia"/>
        </w:rPr>
        <w:t>。</w:t>
      </w:r>
      <w:r>
        <w:t>抗剪凹槽</w:t>
      </w:r>
      <w:r>
        <w:rPr>
          <w:rFonts w:hint="eastAsia"/>
        </w:rPr>
        <w:t>顶部应设置排气管道</w:t>
      </w:r>
      <w:r>
        <w:t>，</w:t>
      </w:r>
      <w:r>
        <w:rPr>
          <w:rFonts w:hint="eastAsia"/>
        </w:rPr>
        <w:t>排气管道直径</w:t>
      </w:r>
      <w:r>
        <w:t>不宜小于</w:t>
      </w:r>
      <w:r>
        <w:rPr>
          <w:rFonts w:hint="eastAsia"/>
        </w:rPr>
        <w:t>3</w:t>
      </w:r>
      <w:r>
        <w:t>0mm</w:t>
      </w:r>
      <w:r>
        <w:rPr>
          <w:rFonts w:hint="eastAsia"/>
        </w:rPr>
        <w:t>，出口高度应高于钢筋连接灌浆套筒出浆孔200mm以上</w:t>
      </w:r>
      <w:r>
        <w:t>。</w:t>
      </w:r>
      <w:bookmarkEnd w:id="323"/>
      <w:bookmarkEnd w:id="324"/>
      <w:bookmarkEnd w:id="325"/>
      <w:r>
        <w:rPr>
          <w:rFonts w:hint="eastAsia"/>
        </w:rPr>
        <w:t>预制柱顶宜设置粗糙面，粗糙面的面积不宜小于结合面的80%，粗糙面凹凸深度不应小于6mm。</w:t>
      </w:r>
      <w:bookmarkEnd w:id="326"/>
    </w:p>
    <w:p>
      <w:pPr>
        <w:pStyle w:val="4"/>
      </w:pPr>
      <w:bookmarkStart w:id="327" w:name="_Toc86067841"/>
      <w:bookmarkStart w:id="328" w:name="_Hlk88813937"/>
      <w:bookmarkStart w:id="329" w:name="_Ref172274014"/>
      <w:bookmarkStart w:id="330" w:name="_Ref88641188"/>
      <w:bookmarkStart w:id="331" w:name="_Ref86137749"/>
      <w:bookmarkStart w:id="332" w:name="_Toc86067910"/>
      <w:r>
        <w:rPr>
          <w:rFonts w:hint="eastAsia"/>
        </w:rPr>
        <w:t>压接装配框架结构竖向刚度突变处的框架柱端部，按一、二级抗震等级设计时可采用柱端钢筋耗能型节点，按一级抗震等级设计时宜采用柱端外包钢板低损伤节点。</w:t>
      </w:r>
      <w:bookmarkEnd w:id="327"/>
    </w:p>
    <w:p>
      <w:pPr>
        <w:pStyle w:val="4"/>
      </w:pPr>
      <w:bookmarkStart w:id="333" w:name="_Ref175686561"/>
      <w:r>
        <w:rPr>
          <w:rFonts w:hint="eastAsia"/>
        </w:rPr>
        <w:t>压接装配框架采用</w:t>
      </w:r>
      <w:bookmarkEnd w:id="328"/>
      <w:r>
        <w:t>柱端钢筋耗能型节点</w:t>
      </w:r>
      <w:r>
        <w:rPr>
          <w:rFonts w:hint="eastAsia"/>
        </w:rPr>
        <w:t>和</w:t>
      </w:r>
      <w:r>
        <w:t>柱端外包钢板低损伤节点</w:t>
      </w:r>
      <w:bookmarkStart w:id="334" w:name="_Hlk23259095"/>
      <w:r>
        <w:rPr>
          <w:rFonts w:hint="eastAsia"/>
        </w:rPr>
        <w:t>应符合下列规定：</w:t>
      </w:r>
      <w:bookmarkEnd w:id="329"/>
      <w:bookmarkEnd w:id="333"/>
    </w:p>
    <w:p>
      <w:pPr>
        <w:pStyle w:val="70"/>
      </w:pPr>
      <w:r>
        <w:rPr>
          <w:rFonts w:hint="eastAsia"/>
          <w:b/>
        </w:rPr>
        <w:t>1</w:t>
      </w:r>
      <w:r>
        <w:tab/>
      </w:r>
      <w:r>
        <w:t>无粘结段长度</w:t>
      </w:r>
      <w:r>
        <w:rPr>
          <w:rFonts w:hint="eastAsia"/>
        </w:rPr>
        <w:t>宜</w:t>
      </w:r>
      <w:r>
        <w:t>为200mm~300mm，无粘结段起始端应距</w:t>
      </w:r>
      <w:r>
        <w:rPr>
          <w:rFonts w:hint="eastAsia"/>
        </w:rPr>
        <w:t>柱端交接面</w:t>
      </w:r>
      <w:r>
        <w:t>2</w:t>
      </w:r>
      <w:r>
        <w:rPr>
          <w:rFonts w:hint="eastAsia"/>
        </w:rPr>
        <w:t>倍</w:t>
      </w:r>
      <w:r>
        <w:t>~4</w:t>
      </w:r>
      <w:r>
        <w:rPr>
          <w:rFonts w:hint="eastAsia"/>
        </w:rPr>
        <w:t>倍</w:t>
      </w:r>
      <w:r>
        <w:t>钢筋直径（</w:t>
      </w:r>
      <w:r>
        <w:rPr>
          <w:rFonts w:hint="eastAsia"/>
        </w:rPr>
        <w:t>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-1</w:t>
      </w:r>
      <w:r>
        <w:rPr>
          <w:rFonts w:hint="eastAsia"/>
        </w:rPr>
        <w:t>、图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-2）</w:t>
      </w:r>
      <w:r>
        <w:rPr>
          <w:rFonts w:hint="eastAsia"/>
        </w:rPr>
        <w:t>。</w:t>
      </w:r>
    </w:p>
    <w:p>
      <w:pPr>
        <w:pStyle w:val="69"/>
      </w:pPr>
      <w:r>
        <w:drawing>
          <wp:inline distT="0" distB="0" distL="0" distR="0">
            <wp:extent cx="2519680" cy="1727200"/>
            <wp:effectExtent l="0" t="0" r="0" b="6350"/>
            <wp:docPr id="89" name="图片 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2519680" cy="1727200"/>
                    </a:xfrm>
                    <a:prstGeom prst="rect">
                      <a:avLst/>
                    </a:prstGeom>
                    <a:noFill/>
                    <a:ln>
                      <a:noFill/>
                    </a:ln>
                  </pic:spPr>
                </pic:pic>
              </a:graphicData>
            </a:graphic>
          </wp:inline>
        </w:drawing>
      </w:r>
    </w:p>
    <w:p>
      <w:pPr>
        <w:pStyle w:val="69"/>
      </w:pPr>
      <w:r>
        <w:t>图</w:t>
      </w:r>
      <w:r>
        <w:fldChar w:fldCharType="begin"/>
      </w:r>
      <w:r>
        <w:instrText xml:space="preserve"> STYLEREF 3 \s </w:instrText>
      </w:r>
      <w:r>
        <w:fldChar w:fldCharType="separate"/>
      </w:r>
      <w:r>
        <w:t>5. 7. 5</w:t>
      </w:r>
      <w:r>
        <w:fldChar w:fldCharType="end"/>
      </w:r>
      <w:r>
        <w:rPr>
          <w:rFonts w:hint="eastAsia"/>
        </w:rPr>
        <w:t>-</w:t>
      </w:r>
      <w:r>
        <w:t>1 柱</w:t>
      </w:r>
      <w:r>
        <w:rPr>
          <w:rFonts w:hint="eastAsia"/>
        </w:rPr>
        <w:t>端</w:t>
      </w:r>
      <w:r>
        <w:t>钢筋耗能型节点</w:t>
      </w:r>
    </w:p>
    <w:p>
      <w:pPr>
        <w:pStyle w:val="69"/>
      </w:pPr>
      <w:r>
        <w:t>1—梁；2—预制柱；3—柱</w:t>
      </w:r>
      <w:r>
        <w:rPr>
          <w:rFonts w:hint="eastAsia"/>
        </w:rPr>
        <w:t>端</w:t>
      </w:r>
      <w:r>
        <w:t>接缝；4—耗能钢筋削弱无</w:t>
      </w:r>
      <w:r>
        <w:rPr>
          <w:rFonts w:hint="eastAsia"/>
        </w:rPr>
        <w:t>粘结</w:t>
      </w:r>
      <w:r>
        <w:t>段；5—钢筋套筒灌浆连接</w:t>
      </w:r>
    </w:p>
    <w:p>
      <w:pPr>
        <w:pStyle w:val="69"/>
        <w:rPr>
          <w:highlight w:val="yellow"/>
        </w:rPr>
      </w:pPr>
      <w:r>
        <w:drawing>
          <wp:inline distT="0" distB="0" distL="0" distR="0">
            <wp:extent cx="3474720" cy="1727200"/>
            <wp:effectExtent l="0" t="0" r="0" b="6350"/>
            <wp:docPr id="90" name="图片 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3474720" cy="1727200"/>
                    </a:xfrm>
                    <a:prstGeom prst="rect">
                      <a:avLst/>
                    </a:prstGeom>
                    <a:noFill/>
                    <a:ln>
                      <a:noFill/>
                    </a:ln>
                  </pic:spPr>
                </pic:pic>
              </a:graphicData>
            </a:graphic>
          </wp:inline>
        </w:drawing>
      </w:r>
    </w:p>
    <w:p>
      <w:pPr>
        <w:pStyle w:val="69"/>
        <w:rPr>
          <w:highlight w:val="yellow"/>
        </w:rPr>
      </w:pPr>
      <w:r>
        <w:t>图</w:t>
      </w:r>
      <w:r>
        <w:fldChar w:fldCharType="begin"/>
      </w:r>
      <w:r>
        <w:instrText xml:space="preserve"> STYLEREF 3 \s </w:instrText>
      </w:r>
      <w:r>
        <w:fldChar w:fldCharType="separate"/>
      </w:r>
      <w:r>
        <w:t>5. 7. 5</w:t>
      </w:r>
      <w:r>
        <w:fldChar w:fldCharType="end"/>
      </w:r>
      <w:r>
        <w:rPr>
          <w:rFonts w:hint="eastAsia"/>
        </w:rPr>
        <w:t>-</w:t>
      </w:r>
      <w:r>
        <w:t>2 柱</w:t>
      </w:r>
      <w:r>
        <w:rPr>
          <w:rFonts w:hint="eastAsia"/>
        </w:rPr>
        <w:t>端</w:t>
      </w:r>
      <w:r>
        <w:t>外包钢板</w:t>
      </w:r>
      <w:r>
        <w:rPr>
          <w:rFonts w:hint="eastAsia"/>
        </w:rPr>
        <w:t>低损伤</w:t>
      </w:r>
      <w:r>
        <w:t>节</w:t>
      </w:r>
      <w:r>
        <w:rPr>
          <w:rFonts w:hint="eastAsia"/>
        </w:rPr>
        <w:t>点</w:t>
      </w:r>
    </w:p>
    <w:p>
      <w:pPr>
        <w:pStyle w:val="69"/>
      </w:pPr>
      <w:r>
        <w:t>1—梁；2—预制柱；3—柱</w:t>
      </w:r>
      <w:r>
        <w:rPr>
          <w:rFonts w:hint="eastAsia"/>
        </w:rPr>
        <w:t>端</w:t>
      </w:r>
      <w:r>
        <w:t>接缝；4—耗能钢筋削弱无</w:t>
      </w:r>
      <w:r>
        <w:rPr>
          <w:rFonts w:hint="eastAsia"/>
        </w:rPr>
        <w:t>粘结</w:t>
      </w:r>
      <w:r>
        <w:t>段；5—钢筋套筒灌浆连接；6—外包钢板；7—</w:t>
      </w:r>
      <w:r>
        <w:rPr>
          <w:rFonts w:hint="eastAsia"/>
        </w:rPr>
        <w:t>加劲</w:t>
      </w:r>
      <w:r>
        <w:t>板；8—套筒定</w:t>
      </w:r>
      <w:r>
        <w:rPr>
          <w:rFonts w:hint="eastAsia"/>
        </w:rPr>
        <w:t>位</w:t>
      </w:r>
      <w:r>
        <w:t>孔</w:t>
      </w:r>
    </w:p>
    <w:p>
      <w:pPr>
        <w:pStyle w:val="70"/>
      </w:pPr>
      <w:r>
        <w:rPr>
          <w:b/>
        </w:rPr>
        <w:t>2</w:t>
      </w:r>
      <w:r>
        <w:tab/>
      </w:r>
      <w:r>
        <w:rPr>
          <w:rFonts w:hint="eastAsia"/>
        </w:rPr>
        <w:t>柱底插筋</w:t>
      </w:r>
      <w:r>
        <w:t>无粘</w:t>
      </w:r>
      <w:r>
        <w:rPr>
          <w:rFonts w:hint="eastAsia"/>
        </w:rPr>
        <w:t>结</w:t>
      </w:r>
      <w:r>
        <w:t>段截面积削弱</w:t>
      </w:r>
      <w:r>
        <w:rPr>
          <w:rFonts w:hint="eastAsia"/>
        </w:rPr>
        <w:t>宜为</w:t>
      </w:r>
      <w:r>
        <w:t>1</w:t>
      </w:r>
      <w:r>
        <w:rPr>
          <w:rFonts w:hint="eastAsia"/>
        </w:rPr>
        <w:t>0</w:t>
      </w:r>
      <w:r>
        <w:t>%~20%，切削段与未切削段应设置不小于1:4的平滑过渡</w:t>
      </w:r>
      <w:r>
        <w:rPr>
          <w:rFonts w:hint="eastAsia"/>
        </w:rPr>
        <w:t>。</w:t>
      </w:r>
      <w:bookmarkEnd w:id="330"/>
      <w:bookmarkEnd w:id="331"/>
      <w:bookmarkEnd w:id="332"/>
    </w:p>
    <w:p>
      <w:pPr>
        <w:pStyle w:val="70"/>
      </w:pPr>
      <w:r>
        <w:rPr>
          <w:rFonts w:hint="eastAsia"/>
          <w:b/>
        </w:rPr>
        <w:t>3</w:t>
      </w:r>
      <w:r>
        <w:rPr>
          <w:b/>
        </w:rPr>
        <w:tab/>
      </w:r>
      <w:r>
        <w:t>柱端外包钢板低损伤节点</w:t>
      </w:r>
      <w:r>
        <w:rPr>
          <w:rFonts w:hint="eastAsia"/>
        </w:rPr>
        <w:t>的</w:t>
      </w:r>
      <w:r>
        <w:t>外包钢板的高度宜为柱截面最大边长的1.2倍~1.5倍；钢板厚度可</w:t>
      </w:r>
      <w:r>
        <w:rPr>
          <w:rFonts w:hint="eastAsia"/>
        </w:rPr>
        <w:t>依据现行国家标准</w:t>
      </w:r>
      <w:r>
        <w:t>《钢管混凝土</w:t>
      </w:r>
      <w:r>
        <w:rPr>
          <w:rFonts w:hint="eastAsia"/>
        </w:rPr>
        <w:t>结构</w:t>
      </w:r>
      <w:r>
        <w:t>技术规范》GB 50936</w:t>
      </w:r>
      <w:r>
        <w:rPr>
          <w:rFonts w:hint="eastAsia"/>
        </w:rPr>
        <w:t>的</w:t>
      </w:r>
      <w:r>
        <w:t>规定</w:t>
      </w:r>
      <w:r>
        <w:rPr>
          <w:rFonts w:hint="eastAsia"/>
        </w:rPr>
        <w:t>，按</w:t>
      </w:r>
      <w:r>
        <w:t>套箍系数为0.5~2.0计算选取；钢板下端部应距</w:t>
      </w:r>
      <w:r>
        <w:rPr>
          <w:rFonts w:hint="eastAsia"/>
        </w:rPr>
        <w:t>下部结构</w:t>
      </w:r>
      <w:r>
        <w:t>顶面20mm~30mm，不宜与基础直接接触；外包钢板内宜设置加劲</w:t>
      </w:r>
      <w:r>
        <w:rPr>
          <w:rFonts w:hint="eastAsia"/>
        </w:rPr>
        <w:t>板</w:t>
      </w:r>
      <w:r>
        <w:t>（</w:t>
      </w:r>
      <w:r>
        <w:rPr>
          <w:rFonts w:hint="eastAsia"/>
        </w:rPr>
        <w:t>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-2）</w:t>
      </w:r>
      <w:r>
        <w:rPr>
          <w:rFonts w:hint="eastAsia"/>
        </w:rPr>
        <w:t>。</w:t>
      </w:r>
    </w:p>
    <w:p>
      <w:pPr>
        <w:pStyle w:val="70"/>
      </w:pPr>
      <w:r>
        <w:rPr>
          <w:rFonts w:hint="eastAsia"/>
          <w:b/>
        </w:rPr>
        <w:t>4</w:t>
      </w:r>
      <w:bookmarkStart w:id="335" w:name="_Toc86067911"/>
      <w:bookmarkStart w:id="336" w:name="_Ref81321607"/>
      <w:r>
        <w:tab/>
      </w:r>
      <w:r>
        <w:rPr>
          <w:rFonts w:hint="eastAsia"/>
        </w:rPr>
        <w:t>抗震等级为一、二级的框架结构底层</w:t>
      </w:r>
      <w:r>
        <w:t>采用柱端钢筋耗能型节点</w:t>
      </w:r>
      <w:r>
        <w:rPr>
          <w:rFonts w:hint="eastAsia"/>
        </w:rPr>
        <w:t>时</w:t>
      </w:r>
      <w:r>
        <w:t>，柱</w:t>
      </w:r>
      <w:r>
        <w:rPr>
          <w:rFonts w:hint="eastAsia"/>
        </w:rPr>
        <w:t>下端</w:t>
      </w:r>
      <w:r>
        <w:t>截面</w:t>
      </w:r>
      <w:r>
        <w:rPr>
          <w:rFonts w:hint="eastAsia"/>
        </w:rPr>
        <w:t>多遇地震作用下</w:t>
      </w:r>
      <w:r>
        <w:t>组合弯矩设计值，应分别乘以弯矩增大系数1.4</w:t>
      </w:r>
      <w:r>
        <w:rPr>
          <w:rFonts w:hint="eastAsia"/>
        </w:rPr>
        <w:t>和1.2；一、二级框架结构底层采用</w:t>
      </w:r>
      <w:r>
        <w:t>外包钢板低损伤节点时，柱</w:t>
      </w:r>
      <w:r>
        <w:rPr>
          <w:rFonts w:hint="eastAsia"/>
        </w:rPr>
        <w:t>下端</w:t>
      </w:r>
      <w:r>
        <w:t>截面</w:t>
      </w:r>
      <w:r>
        <w:rPr>
          <w:rFonts w:hint="eastAsia"/>
        </w:rPr>
        <w:t>多遇地震作用下</w:t>
      </w:r>
      <w:r>
        <w:t>组合弯矩设计值，应分别乘以弯矩增大系数1.</w:t>
      </w:r>
      <w:r>
        <w:rPr>
          <w:rFonts w:hint="eastAsia"/>
        </w:rPr>
        <w:t>3和1.1</w:t>
      </w:r>
      <w:r>
        <w:t>。</w:t>
      </w:r>
      <w:bookmarkEnd w:id="335"/>
      <w:bookmarkEnd w:id="336"/>
    </w:p>
    <w:bookmarkEnd w:id="334"/>
    <w:p>
      <w:pPr>
        <w:pStyle w:val="4"/>
      </w:pPr>
      <w:bookmarkStart w:id="337" w:name="_Ref86138085"/>
      <w:bookmarkStart w:id="338" w:name="_Toc86067913"/>
      <w:r>
        <w:rPr>
          <w:rFonts w:hint="eastAsia"/>
        </w:rPr>
        <w:t>当无地下室时，压接装配框架柱</w:t>
      </w:r>
      <w:r>
        <w:t>可采用杯口</w:t>
      </w:r>
      <w:r>
        <w:rPr>
          <w:rFonts w:hint="eastAsia"/>
        </w:rPr>
        <w:t>基础</w:t>
      </w:r>
      <w:r>
        <w:t>，预制柱</w:t>
      </w:r>
      <w:r>
        <w:rPr>
          <w:rFonts w:hint="eastAsia"/>
        </w:rPr>
        <w:t>与</w:t>
      </w:r>
      <w:r>
        <w:t>杯口</w:t>
      </w:r>
      <w:r>
        <w:rPr>
          <w:rFonts w:hint="eastAsia"/>
        </w:rPr>
        <w:t xml:space="preserve">基础的连接应符合现行国家标准《建筑地基基础设计规范》GB </w:t>
      </w:r>
      <w:r>
        <w:t>50007</w:t>
      </w:r>
      <w:r>
        <w:rPr>
          <w:rFonts w:hint="eastAsia"/>
        </w:rPr>
        <w:t>、《建筑与市政地基基础通用规范》G</w:t>
      </w:r>
      <w:r>
        <w:t>B 55003</w:t>
      </w:r>
      <w:r>
        <w:rPr>
          <w:rFonts w:hint="eastAsia"/>
        </w:rPr>
        <w:t>及北京市地方标准《北京地区建筑地基基础勘察设计规范》</w:t>
      </w:r>
      <w:r>
        <w:t>DBJ 11-501</w:t>
      </w:r>
      <w:r>
        <w:rPr>
          <w:rFonts w:hint="eastAsia"/>
        </w:rPr>
        <w:t>的有关规定</w:t>
      </w:r>
      <w:r>
        <w:t>。</w:t>
      </w:r>
      <w:bookmarkEnd w:id="337"/>
      <w:bookmarkEnd w:id="338"/>
    </w:p>
    <w:p>
      <w:pPr>
        <w:pStyle w:val="4"/>
      </w:pPr>
      <w:bookmarkStart w:id="339" w:name="_Ref88815581"/>
      <w:r>
        <w:rPr>
          <w:rFonts w:hint="eastAsia"/>
        </w:rPr>
        <w:t>压接装配框架宜通过两端铰接叠合梁与混凝土剪力墙铰接连接，梁端顶部构造钢筋的应符合本规程</w:t>
      </w:r>
      <w:r>
        <w:fldChar w:fldCharType="begin"/>
      </w:r>
      <w:r>
        <w:instrText xml:space="preserve"> </w:instrText>
      </w:r>
      <w:r>
        <w:rPr>
          <w:rFonts w:hint="eastAsia"/>
        </w:rPr>
        <w:instrText xml:space="preserve">REF _Ref178151468 \r \h</w:instrText>
      </w:r>
      <w:r>
        <w:instrText xml:space="preserve"> </w:instrText>
      </w:r>
      <w:r>
        <w:fldChar w:fldCharType="separate"/>
      </w:r>
      <w:r>
        <w:t>5. 5. 15</w:t>
      </w:r>
      <w:r>
        <w:fldChar w:fldCharType="end"/>
      </w:r>
      <w:r>
        <w:rPr>
          <w:rFonts w:hint="eastAsia"/>
        </w:rPr>
        <w:t>的规定。</w:t>
      </w:r>
      <w:bookmarkEnd w:id="316"/>
      <w:bookmarkEnd w:id="317"/>
      <w:bookmarkEnd w:id="339"/>
    </w:p>
    <w:p>
      <w:pPr>
        <w:pStyle w:val="4"/>
      </w:pPr>
      <w:bookmarkStart w:id="340" w:name="_Ref88040875"/>
      <w:bookmarkStart w:id="341" w:name="_Toc86067936"/>
      <w:bookmarkStart w:id="342" w:name="_Ref80965039"/>
      <w:r>
        <w:rPr>
          <w:rFonts w:hint="eastAsia"/>
        </w:rPr>
        <w:t>作为结构刚性隔板设计时，</w:t>
      </w:r>
      <w:r>
        <w:t>预</w:t>
      </w:r>
      <w:r>
        <w:rPr>
          <w:rFonts w:hint="eastAsia"/>
        </w:rPr>
        <w:t>应力</w:t>
      </w:r>
      <w:r>
        <w:t>空心板</w:t>
      </w:r>
      <w:r>
        <w:rPr>
          <w:rFonts w:hint="eastAsia"/>
        </w:rPr>
        <w:t>与周边叠合梁的连接应符合下列规定：</w:t>
      </w:r>
      <w:bookmarkEnd w:id="340"/>
    </w:p>
    <w:p>
      <w:pPr>
        <w:pStyle w:val="70"/>
      </w:pPr>
      <w:r>
        <w:rPr>
          <w:rFonts w:hint="eastAsia"/>
          <w:b/>
        </w:rPr>
        <w:t>1</w:t>
      </w:r>
      <w:r>
        <w:tab/>
      </w:r>
      <w:r>
        <w:t>预</w:t>
      </w:r>
      <w:r>
        <w:rPr>
          <w:rFonts w:hint="eastAsia"/>
        </w:rPr>
        <w:t>应力</w:t>
      </w:r>
      <w:r>
        <w:t>空心板</w:t>
      </w:r>
      <w:r>
        <w:rPr>
          <w:rFonts w:hint="eastAsia"/>
        </w:rPr>
        <w:t>相邻</w:t>
      </w:r>
      <w:r>
        <w:t>板缝内</w:t>
      </w:r>
      <w:r>
        <w:rPr>
          <w:rFonts w:hint="eastAsia"/>
        </w:rPr>
        <w:t>应设</w:t>
      </w:r>
      <w:r>
        <w:t>置</w:t>
      </w:r>
      <w:r>
        <w:rPr>
          <w:rFonts w:hint="eastAsia"/>
        </w:rPr>
        <w:t>与叠合梁连接的</w:t>
      </w:r>
      <w:r>
        <w:t>拉结</w:t>
      </w:r>
      <w:r>
        <w:rPr>
          <w:rFonts w:hint="eastAsia"/>
        </w:rPr>
        <w:t>钢</w:t>
      </w:r>
      <w:r>
        <w:t>筋</w:t>
      </w:r>
      <w:r>
        <w:rPr>
          <w:rFonts w:hint="eastAsia"/>
        </w:rPr>
        <w:t>，</w:t>
      </w:r>
      <w:r>
        <w:t>拉结</w:t>
      </w:r>
      <w:r>
        <w:rPr>
          <w:rFonts w:hint="eastAsia"/>
        </w:rPr>
        <w:t>钢</w:t>
      </w:r>
      <w:r>
        <w:t>筋伸出梁边长度不</w:t>
      </w:r>
      <w:r>
        <w:rPr>
          <w:rFonts w:hint="eastAsia"/>
        </w:rPr>
        <w:t>应</w:t>
      </w:r>
      <w:r>
        <w:t>小于</w:t>
      </w:r>
      <w:r>
        <w:rPr>
          <w:rFonts w:hint="eastAsia"/>
          <w:i/>
          <w:iCs/>
        </w:rPr>
        <w:t>l</w:t>
      </w:r>
      <w:r>
        <w:rPr>
          <w:rFonts w:hint="eastAsia"/>
          <w:i/>
          <w:iCs/>
          <w:vertAlign w:val="subscript"/>
        </w:rPr>
        <w:t>a</w:t>
      </w:r>
      <w:r>
        <w:t>，钢筋直径不宜小于8mm</w:t>
      </w:r>
      <w:r>
        <w:rPr>
          <w:rFonts w:hint="eastAsia"/>
        </w:rPr>
        <w:t>，板缝应用砂浆密实灌缝；</w:t>
      </w:r>
    </w:p>
    <w:p>
      <w:pPr>
        <w:pStyle w:val="70"/>
      </w:pPr>
      <w:r>
        <w:rPr>
          <w:rFonts w:hint="eastAsia"/>
          <w:b/>
        </w:rPr>
        <w:t>2</w:t>
      </w:r>
      <w:r>
        <w:tab/>
      </w:r>
      <w:r>
        <w:rPr>
          <w:rFonts w:hint="eastAsia"/>
        </w:rPr>
        <w:t>当支承框架梁按一、二级抗震等级设计时，</w:t>
      </w:r>
      <w:r>
        <w:t>预应力空心板</w:t>
      </w:r>
      <w:r>
        <w:rPr>
          <w:rFonts w:hint="eastAsia"/>
        </w:rPr>
        <w:t>每隔两个空腔应布置2根与叠合梁连接的附加拉筋，</w:t>
      </w:r>
      <w:r>
        <w:t>拉筋伸</w:t>
      </w:r>
      <w:r>
        <w:rPr>
          <w:rFonts w:hint="eastAsia"/>
        </w:rPr>
        <w:t>入预应力空心板的</w:t>
      </w:r>
      <w:r>
        <w:t>长度</w:t>
      </w:r>
      <w:r>
        <w:rPr>
          <w:rFonts w:hint="eastAsia"/>
        </w:rPr>
        <w:t>不应</w:t>
      </w:r>
      <w:r>
        <w:t>小于</w:t>
      </w:r>
      <w:r>
        <w:rPr>
          <w:rFonts w:hint="eastAsia"/>
          <w:i/>
          <w:iCs/>
        </w:rPr>
        <w:t>l</w:t>
      </w:r>
      <w:r>
        <w:rPr>
          <w:rFonts w:hint="eastAsia"/>
          <w:i/>
          <w:iCs/>
          <w:vertAlign w:val="subscript"/>
        </w:rPr>
        <w:t>a</w:t>
      </w:r>
      <w:r>
        <w:t>，</w:t>
      </w:r>
      <w:r>
        <w:rPr>
          <w:rFonts w:hint="eastAsia"/>
        </w:rPr>
        <w:t>拉筋</w:t>
      </w:r>
      <w:r>
        <w:t>直径不宜小于</w:t>
      </w:r>
      <w:r>
        <w:rPr>
          <w:rFonts w:hint="eastAsia"/>
        </w:rPr>
        <w:t>10</w:t>
      </w:r>
      <w:r>
        <w:t>mm</w:t>
      </w:r>
      <w:r>
        <w:rPr>
          <w:rFonts w:hint="eastAsia"/>
        </w:rPr>
        <w:t>，附加拉筋范围内的板空腔内应用混凝土灌实；</w:t>
      </w:r>
      <w:bookmarkEnd w:id="341"/>
      <w:bookmarkEnd w:id="342"/>
    </w:p>
    <w:p>
      <w:pPr>
        <w:pStyle w:val="70"/>
      </w:pPr>
      <w:bookmarkStart w:id="343" w:name="_Ref86139016"/>
      <w:bookmarkStart w:id="344" w:name="_Toc86067937"/>
      <w:r>
        <w:rPr>
          <w:rFonts w:hint="eastAsia"/>
          <w:b/>
        </w:rPr>
        <w:t>3</w:t>
      </w:r>
      <w:r>
        <w:tab/>
      </w:r>
      <w:r>
        <w:t>预应力空心板端</w:t>
      </w:r>
      <w:r>
        <w:rPr>
          <w:rFonts w:hint="eastAsia"/>
        </w:rPr>
        <w:t>在</w:t>
      </w:r>
      <w:r>
        <w:t>框架</w:t>
      </w:r>
      <w:r>
        <w:rPr>
          <w:rFonts w:hint="eastAsia"/>
        </w:rPr>
        <w:t>梁上的搁置长度，当支承框架梁按一、二级抗震等级设计时不宜小于100mm，三级抗震等级时不宜小于6</w:t>
      </w:r>
      <w:r>
        <w:t>0</w:t>
      </w:r>
      <w:r>
        <w:rPr>
          <w:rFonts w:hint="eastAsia"/>
        </w:rPr>
        <w:t>mm；</w:t>
      </w:r>
      <w:bookmarkEnd w:id="343"/>
      <w:bookmarkEnd w:id="344"/>
    </w:p>
    <w:p>
      <w:pPr>
        <w:pStyle w:val="70"/>
      </w:pPr>
      <w:r>
        <w:rPr>
          <w:rFonts w:hint="eastAsia"/>
          <w:b/>
        </w:rPr>
        <w:t>4</w:t>
      </w:r>
      <w:r>
        <w:tab/>
      </w:r>
      <w:r>
        <w:rPr>
          <w:rFonts w:hint="eastAsia"/>
        </w:rPr>
        <w:t>当支承框架梁按一、二、三级抗震等级设计时，</w:t>
      </w:r>
      <w:r>
        <w:t>预应力空心板</w:t>
      </w:r>
      <w:r>
        <w:rPr>
          <w:rFonts w:hint="eastAsia"/>
        </w:rPr>
        <w:t>顶叠合层</w:t>
      </w:r>
      <w:r>
        <w:t>厚度</w:t>
      </w:r>
      <w:r>
        <w:rPr>
          <w:rFonts w:hint="eastAsia"/>
        </w:rPr>
        <w:t>不应</w:t>
      </w:r>
      <w:r>
        <w:t>小于60mm</w:t>
      </w:r>
      <w:r>
        <w:rPr>
          <w:rFonts w:hint="eastAsia"/>
        </w:rPr>
        <w:t>，叠合层内应配置双向钢筋网，直径不宜小于6mm，间距不宜大于250mm；</w:t>
      </w:r>
    </w:p>
    <w:p>
      <w:pPr>
        <w:pStyle w:val="70"/>
      </w:pPr>
      <w:r>
        <w:rPr>
          <w:rFonts w:hint="eastAsia"/>
          <w:b/>
        </w:rPr>
        <w:t>5</w:t>
      </w:r>
      <w:r>
        <w:tab/>
      </w:r>
      <w:r>
        <w:t>预应力空心板板端</w:t>
      </w:r>
      <w:r>
        <w:rPr>
          <w:rFonts w:hint="eastAsia"/>
        </w:rPr>
        <w:t>在梁上搁置部位应铺设水泥砂浆垫层或塑料垫片；</w:t>
      </w:r>
      <w:bookmarkStart w:id="345" w:name="_Toc86067938"/>
    </w:p>
    <w:p>
      <w:pPr>
        <w:pStyle w:val="70"/>
      </w:pPr>
      <w:r>
        <w:rPr>
          <w:rFonts w:hint="eastAsia"/>
          <w:b/>
        </w:rPr>
        <w:t>6</w:t>
      </w:r>
      <w:r>
        <w:tab/>
      </w:r>
      <w:r>
        <w:t>预</w:t>
      </w:r>
      <w:r>
        <w:rPr>
          <w:rFonts w:hint="eastAsia"/>
        </w:rPr>
        <w:t>制</w:t>
      </w:r>
      <w:r>
        <w:t>空心板</w:t>
      </w:r>
      <w:r>
        <w:rPr>
          <w:rFonts w:hint="eastAsia"/>
        </w:rPr>
        <w:t>端部应有堵头，堵头深度不应小于1.5倍板在梁上的搁置长度，并应采用强度等级不低于C2</w:t>
      </w:r>
      <w:r>
        <w:t>5</w:t>
      </w:r>
      <w:r>
        <w:rPr>
          <w:rFonts w:hint="eastAsia"/>
        </w:rPr>
        <w:t>的混凝土浇灌密实。</w:t>
      </w:r>
      <w:bookmarkEnd w:id="345"/>
    </w:p>
    <w:p>
      <w:pPr>
        <w:pStyle w:val="4"/>
      </w:pPr>
      <w:bookmarkStart w:id="346" w:name="_Ref172278723"/>
      <w:r>
        <w:rPr>
          <w:rFonts w:hint="eastAsia"/>
        </w:rPr>
        <w:t>当采用自复位梁柱节点时，预制楼板与框架梁端部1</w:t>
      </w:r>
      <w:r>
        <w:t>/4</w:t>
      </w:r>
      <w:r>
        <w:rPr>
          <w:rFonts w:hint="eastAsia"/>
        </w:rPr>
        <w:t>净跨范围内的连接宜不传递弯矩仅传递楼板平面内剪力。</w:t>
      </w:r>
      <w:bookmarkEnd w:id="346"/>
    </w:p>
    <w:p>
      <w:pPr>
        <w:pStyle w:val="4"/>
      </w:pPr>
      <w:bookmarkStart w:id="347" w:name="_Toc86067939"/>
      <w:r>
        <w:t>钢筋桁架混凝土叠合板</w:t>
      </w:r>
      <w:r>
        <w:rPr>
          <w:rFonts w:hint="eastAsia"/>
        </w:rPr>
        <w:t>与叠合</w:t>
      </w:r>
      <w:r>
        <w:t>梁</w:t>
      </w:r>
      <w:r>
        <w:rPr>
          <w:rFonts w:hint="eastAsia"/>
        </w:rPr>
        <w:t>连接</w:t>
      </w:r>
      <w:r>
        <w:t>应符合现行国家标准《装配式混凝土建筑技术标准》GB/T 51231的</w:t>
      </w:r>
      <w:r>
        <w:rPr>
          <w:rFonts w:hint="eastAsia"/>
        </w:rPr>
        <w:t>有关规定</w:t>
      </w:r>
      <w:r>
        <w:t>。</w:t>
      </w:r>
      <w:bookmarkEnd w:id="347"/>
    </w:p>
    <w:p>
      <w:pPr>
        <w:pStyle w:val="5"/>
      </w:pPr>
    </w:p>
    <w:p>
      <w:pPr>
        <w:pStyle w:val="5"/>
      </w:pPr>
      <w:r>
        <w:br w:type="page"/>
      </w:r>
    </w:p>
    <w:p>
      <w:pPr>
        <w:pStyle w:val="2"/>
      </w:pPr>
      <w:r>
        <w:t>　</w:t>
      </w:r>
      <w:bookmarkStart w:id="348" w:name="_Ref178256367"/>
      <w:bookmarkStart w:id="349" w:name="_Toc202345823"/>
      <w:r>
        <w:rPr>
          <w:rFonts w:hint="eastAsia"/>
        </w:rPr>
        <w:t>构件制作</w:t>
      </w:r>
      <w:bookmarkEnd w:id="348"/>
      <w:r>
        <w:rPr>
          <w:rFonts w:hint="eastAsia"/>
        </w:rPr>
        <w:t>与运输</w:t>
      </w:r>
      <w:bookmarkEnd w:id="349"/>
    </w:p>
    <w:p>
      <w:pPr>
        <w:pStyle w:val="3"/>
      </w:pPr>
      <w:bookmarkStart w:id="350" w:name="_Toc202345824"/>
      <w:bookmarkStart w:id="351" w:name="_Toc91664524"/>
      <w:bookmarkStart w:id="352" w:name="_Toc173143032"/>
      <w:bookmarkStart w:id="353" w:name="_Toc91664414"/>
      <w:bookmarkStart w:id="354" w:name="_Toc92182260"/>
      <w:bookmarkStart w:id="355" w:name="_Toc55293915"/>
      <w:bookmarkStart w:id="356" w:name="_Toc172211461"/>
      <w:bookmarkStart w:id="357" w:name="_Toc86067941"/>
      <w:r>
        <w:t>一般规定</w:t>
      </w:r>
      <w:bookmarkEnd w:id="350"/>
      <w:bookmarkEnd w:id="351"/>
      <w:bookmarkEnd w:id="352"/>
      <w:bookmarkEnd w:id="353"/>
      <w:bookmarkEnd w:id="354"/>
      <w:bookmarkEnd w:id="355"/>
      <w:bookmarkEnd w:id="356"/>
      <w:bookmarkEnd w:id="357"/>
      <w:bookmarkStart w:id="358" w:name="_Toc197444886"/>
      <w:bookmarkEnd w:id="358"/>
    </w:p>
    <w:p>
      <w:pPr>
        <w:pStyle w:val="4"/>
      </w:pPr>
      <w:bookmarkStart w:id="359" w:name="_Ref198040450"/>
      <w:bookmarkStart w:id="360" w:name="_Ref86139174"/>
      <w:bookmarkStart w:id="361" w:name="_Toc86067944"/>
      <w:r>
        <w:rPr>
          <w:rFonts w:hint="eastAsia"/>
        </w:rPr>
        <w:t>预制构件制作单位应具备满足条件的生产设施和技术能力，应有完善的质量管理体系和相应的质量控制制度，应配备必要的实验检测条件，并宜采用信息化手段进行管理。</w:t>
      </w:r>
      <w:bookmarkEnd w:id="359"/>
    </w:p>
    <w:p>
      <w:pPr>
        <w:pStyle w:val="4"/>
      </w:pPr>
      <w:r>
        <w:rPr>
          <w:rFonts w:hint="eastAsia"/>
        </w:rPr>
        <w:t>预制构件制作前，应根据施工图设计文件和施工条件进行深化设计，深化设计文件应经设计单位和施工单位认可。</w:t>
      </w:r>
    </w:p>
    <w:p>
      <w:pPr>
        <w:pStyle w:val="4"/>
      </w:pPr>
      <w:bookmarkStart w:id="362" w:name="_Ref198040487"/>
      <w:r>
        <w:rPr>
          <w:rFonts w:hint="eastAsia"/>
        </w:rPr>
        <w:t>预制构件制作前应编制生产方案，高温及冬期生产时还应编制专项方案</w:t>
      </w:r>
      <w:r>
        <w:t>。</w:t>
      </w:r>
      <w:bookmarkEnd w:id="360"/>
      <w:bookmarkEnd w:id="361"/>
      <w:bookmarkEnd w:id="362"/>
    </w:p>
    <w:p>
      <w:pPr>
        <w:pStyle w:val="4"/>
      </w:pPr>
      <w:bookmarkStart w:id="363" w:name="_Ref198040528"/>
      <w:r>
        <w:rPr>
          <w:rFonts w:hint="eastAsia"/>
        </w:rPr>
        <w:t>预制构件制作应建立首件验收制度。</w:t>
      </w:r>
      <w:bookmarkEnd w:id="363"/>
    </w:p>
    <w:p>
      <w:pPr>
        <w:pStyle w:val="4"/>
      </w:pPr>
      <w:r>
        <w:rPr>
          <w:rFonts w:hint="eastAsia"/>
        </w:rPr>
        <w:t>预制构件制作宜采用钢制模具，应满足强度、刚度和整体稳定性要求，并应满足预留孔洞、预埋件的定位要求。</w:t>
      </w:r>
    </w:p>
    <w:p>
      <w:pPr>
        <w:pStyle w:val="4"/>
      </w:pPr>
      <w:bookmarkStart w:id="364" w:name="_Ref198040570"/>
      <w:r>
        <w:rPr>
          <w:rFonts w:hint="eastAsia"/>
        </w:rPr>
        <w:t>预制构件质量检验应按模具、钢筋、混凝土、预制构件等四个检验项目进行，对新制或改制后的模具、预制构件成品应逐件检验，对原材料、预埋件、钢筋半成品等应进行随机抽样检验，对混凝土强度和构件结构性能应按批检验。压接装配结构中梁、板、柱等预制构件出厂检查宜按本规程</w:t>
      </w:r>
      <w:r>
        <w:fldChar w:fldCharType="begin"/>
      </w:r>
      <w:r>
        <w:instrText xml:space="preserve"> </w:instrText>
      </w:r>
      <w:r>
        <w:rPr>
          <w:rFonts w:hint="eastAsia"/>
        </w:rPr>
        <w:instrText xml:space="preserve">REF _Ref172214235 \r \h</w:instrText>
      </w:r>
      <w:r>
        <w:instrText xml:space="preserve">  \* MERGEFORMAT </w:instrText>
      </w:r>
      <w:r>
        <w:fldChar w:fldCharType="separate"/>
      </w:r>
      <w:r>
        <w:rPr>
          <w:rFonts w:hint="eastAsia"/>
        </w:rPr>
        <w:t>附录C</w:t>
      </w:r>
      <w:r>
        <w:fldChar w:fldCharType="end"/>
      </w:r>
      <w:r>
        <w:rPr>
          <w:rFonts w:hint="eastAsia"/>
        </w:rPr>
        <w:t>执行。</w:t>
      </w:r>
      <w:bookmarkEnd w:id="364"/>
    </w:p>
    <w:p>
      <w:pPr>
        <w:pStyle w:val="4"/>
      </w:pPr>
      <w:bookmarkStart w:id="365" w:name="_Toc86067945"/>
      <w:r>
        <w:rPr>
          <w:rFonts w:hint="eastAsia"/>
        </w:rPr>
        <w:t>预制构件制作、储运和检验除应符合本规程要求外，尚应符合国家现行标准《混凝土结构工程施工规范》GB 50666、《混凝土结构工程施工质量验收规范》GB</w:t>
      </w:r>
      <w:r>
        <w:t xml:space="preserve"> </w:t>
      </w:r>
      <w:r>
        <w:rPr>
          <w:rFonts w:hint="eastAsia"/>
        </w:rPr>
        <w:t>50204、《装配式混凝土建筑技术标准》GB/T 51231 和《装配式混凝土结构技术规程》JGJ 1 的有关规定</w:t>
      </w:r>
      <w:r>
        <w:t>。</w:t>
      </w:r>
      <w:bookmarkEnd w:id="365"/>
    </w:p>
    <w:p/>
    <w:p>
      <w:pPr>
        <w:pStyle w:val="3"/>
      </w:pPr>
      <w:bookmarkStart w:id="366" w:name="_Toc172211462"/>
      <w:bookmarkStart w:id="367" w:name="_Toc86067946"/>
      <w:bookmarkStart w:id="368" w:name="_Toc92182261"/>
      <w:bookmarkStart w:id="369" w:name="_Toc91664415"/>
      <w:bookmarkStart w:id="370" w:name="_Toc173143033"/>
      <w:bookmarkStart w:id="371" w:name="_Toc91664525"/>
      <w:bookmarkStart w:id="372" w:name="_Toc202345825"/>
      <w:r>
        <w:rPr>
          <w:rFonts w:hint="eastAsia"/>
        </w:rPr>
        <w:t>构件</w:t>
      </w:r>
      <w:r>
        <w:t>深化</w:t>
      </w:r>
      <w:bookmarkEnd w:id="366"/>
      <w:bookmarkEnd w:id="367"/>
      <w:bookmarkEnd w:id="368"/>
      <w:bookmarkEnd w:id="369"/>
      <w:bookmarkEnd w:id="370"/>
      <w:bookmarkEnd w:id="371"/>
      <w:bookmarkEnd w:id="372"/>
      <w:bookmarkStart w:id="373" w:name="_Toc197444887"/>
      <w:bookmarkEnd w:id="373"/>
    </w:p>
    <w:p>
      <w:pPr>
        <w:pStyle w:val="4"/>
      </w:pPr>
      <w:bookmarkStart w:id="374" w:name="_Ref198040648"/>
      <w:bookmarkStart w:id="375" w:name="_Toc86067947"/>
      <w:bookmarkStart w:id="376" w:name="_Ref86139290"/>
      <w:r>
        <w:rPr>
          <w:rFonts w:hint="eastAsia"/>
        </w:rPr>
        <w:t>构件深化设计宜采用BIM技术进行一体化设计，应进行结构整体装配碰撞检查。</w:t>
      </w:r>
      <w:bookmarkEnd w:id="374"/>
    </w:p>
    <w:p>
      <w:pPr>
        <w:pStyle w:val="4"/>
      </w:pPr>
      <w:bookmarkStart w:id="377" w:name="_Ref198040702"/>
      <w:r>
        <w:rPr>
          <w:rFonts w:hint="eastAsia"/>
        </w:rPr>
        <w:t>构件</w:t>
      </w:r>
      <w:r>
        <w:t>深化设计应符合下</w:t>
      </w:r>
      <w:r>
        <w:rPr>
          <w:rFonts w:hint="eastAsia"/>
        </w:rPr>
        <w:t>列规定</w:t>
      </w:r>
      <w:r>
        <w:t>：</w:t>
      </w:r>
      <w:bookmarkEnd w:id="375"/>
      <w:bookmarkEnd w:id="376"/>
      <w:bookmarkEnd w:id="377"/>
    </w:p>
    <w:p>
      <w:pPr>
        <w:tabs>
          <w:tab w:val="left" w:pos="840"/>
        </w:tabs>
        <w:snapToGrid w:val="0"/>
        <w:spacing w:line="360" w:lineRule="auto"/>
        <w:ind w:firstLine="481" w:firstLineChars="200"/>
      </w:pPr>
      <w:r>
        <w:rPr>
          <w:rFonts w:hint="eastAsia"/>
          <w:b/>
          <w:bCs/>
        </w:rPr>
        <w:t>1</w:t>
      </w:r>
      <w:r>
        <w:rPr>
          <w:b/>
          <w:bCs/>
        </w:rPr>
        <w:tab/>
      </w:r>
      <w:r>
        <w:rPr>
          <w:rFonts w:hint="eastAsia"/>
        </w:rPr>
        <w:t>深化设计文件应符合施工图设计文件的规定，并应结合生产条件、技术工艺、构件储运能力和施工现场装配方案确定。</w:t>
      </w:r>
    </w:p>
    <w:p>
      <w:pPr>
        <w:tabs>
          <w:tab w:val="left" w:pos="840"/>
        </w:tabs>
        <w:snapToGrid w:val="0"/>
        <w:spacing w:line="360" w:lineRule="auto"/>
        <w:ind w:firstLine="481" w:firstLineChars="200"/>
      </w:pPr>
      <w:r>
        <w:rPr>
          <w:rFonts w:hint="eastAsia"/>
          <w:b/>
          <w:bCs/>
        </w:rPr>
        <w:t>2</w:t>
      </w:r>
      <w:r>
        <w:rPr>
          <w:b/>
          <w:bCs/>
        </w:rPr>
        <w:tab/>
      </w:r>
      <w:r>
        <w:rPr>
          <w:rFonts w:hint="eastAsia"/>
        </w:rPr>
        <w:t>深化设计文件应包括图纸目录、深化设计说明、构件统计表、构件平面布置图、构件加工详图（模板图、配筋图）、预留预埋等通用详图以及构件制作、运输、起吊和安装阶段受力验算资料等内容。</w:t>
      </w:r>
    </w:p>
    <w:p>
      <w:pPr>
        <w:pStyle w:val="70"/>
      </w:pPr>
      <w:r>
        <w:rPr>
          <w:rFonts w:hint="eastAsia"/>
          <w:b/>
        </w:rPr>
        <w:t>3</w:t>
      </w:r>
      <w:r>
        <w:rPr>
          <w:b/>
        </w:rPr>
        <w:tab/>
      </w:r>
      <w:r>
        <w:rPr>
          <w:rFonts w:hint="eastAsia"/>
        </w:rPr>
        <w:t>预制构件应按照构件类型进行编码，每个构件的编码宜具有唯一性</w:t>
      </w:r>
      <w:r>
        <w:t>。</w:t>
      </w:r>
    </w:p>
    <w:p>
      <w:pPr>
        <w:pStyle w:val="4"/>
      </w:pPr>
      <w:bookmarkStart w:id="378" w:name="_Ref198040761"/>
      <w:r>
        <w:rPr>
          <w:rFonts w:hint="eastAsia"/>
        </w:rPr>
        <w:t>压接装配框架结构中梁柱接缝宽度宜取25mm~30mm，接缝处梁柱内预埋金属波纹管应伸出端面5mm~10mm，接缝宽度范围内金属波纹管对接口应采用缠绕密封牢固，防止漏浆</w:t>
      </w:r>
      <w:r>
        <w:t>（图</w:t>
      </w:r>
      <w:r>
        <w:fldChar w:fldCharType="begin"/>
      </w:r>
      <w:r>
        <w:instrText xml:space="preserve"> STYLEREF 3 \s </w:instrText>
      </w:r>
      <w:r>
        <w:fldChar w:fldCharType="separate"/>
      </w:r>
      <w:r>
        <w:t>6. 2. 3</w:t>
      </w:r>
      <w:r>
        <w:fldChar w:fldCharType="end"/>
      </w:r>
      <w:r>
        <w:t>）</w:t>
      </w:r>
      <w:r>
        <w:rPr>
          <w:rFonts w:hint="eastAsia"/>
        </w:rPr>
        <w:t>。</w:t>
      </w:r>
      <w:bookmarkEnd w:id="378"/>
    </w:p>
    <w:p>
      <w:pPr>
        <w:spacing w:after="80"/>
        <w:ind w:firstLine="496"/>
        <w:jc w:val="center"/>
        <w:rPr>
          <w:sz w:val="21"/>
        </w:rPr>
      </w:pPr>
      <w:r>
        <w:rPr>
          <w:sz w:val="21"/>
        </w:rPr>
        <w:drawing>
          <wp:inline distT="0" distB="0" distL="0" distR="0">
            <wp:extent cx="2520315" cy="1725295"/>
            <wp:effectExtent l="0" t="0" r="0" b="825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2520315" cy="1725295"/>
                    </a:xfrm>
                    <a:prstGeom prst="rect">
                      <a:avLst/>
                    </a:prstGeom>
                    <a:noFill/>
                    <a:ln>
                      <a:noFill/>
                    </a:ln>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6. 2. 3</w:t>
      </w:r>
      <w:r>
        <w:rPr>
          <w:sz w:val="21"/>
        </w:rPr>
        <w:fldChar w:fldCharType="end"/>
      </w:r>
      <w:r>
        <w:rPr>
          <w:sz w:val="21"/>
        </w:rPr>
        <w:t xml:space="preserve"> 梁柱接缝波纹管对接</w:t>
      </w:r>
      <w:r>
        <w:rPr>
          <w:rFonts w:hint="eastAsia"/>
          <w:sz w:val="21"/>
        </w:rPr>
        <w:t>示意</w:t>
      </w:r>
    </w:p>
    <w:p>
      <w:pPr>
        <w:pStyle w:val="69"/>
      </w:pPr>
      <w:r>
        <w:t>预制柱；2—预制梁；3—胶带</w:t>
      </w:r>
      <w:r>
        <w:rPr>
          <w:rFonts w:hint="eastAsia"/>
        </w:rPr>
        <w:t>密封</w:t>
      </w:r>
      <w:r>
        <w:t>；4—金属波纹管</w:t>
      </w:r>
    </w:p>
    <w:p>
      <w:pPr>
        <w:pStyle w:val="4"/>
      </w:pPr>
      <w:bookmarkStart w:id="379" w:name="_Ref86139392"/>
      <w:bookmarkStart w:id="380" w:name="_Toc86067948"/>
      <w:r>
        <w:rPr>
          <w:rFonts w:hint="eastAsia"/>
        </w:rPr>
        <w:t>压接装配框架结构</w:t>
      </w:r>
      <w:r>
        <w:t>预制柱深化设计应符合下</w:t>
      </w:r>
      <w:r>
        <w:rPr>
          <w:rFonts w:hint="eastAsia"/>
        </w:rPr>
        <w:t>列规定</w:t>
      </w:r>
      <w:r>
        <w:t>：</w:t>
      </w:r>
      <w:bookmarkEnd w:id="379"/>
      <w:bookmarkEnd w:id="380"/>
    </w:p>
    <w:p>
      <w:pPr>
        <w:tabs>
          <w:tab w:val="left" w:pos="840"/>
        </w:tabs>
        <w:snapToGrid w:val="0"/>
        <w:spacing w:line="360" w:lineRule="auto"/>
        <w:ind w:firstLine="481" w:firstLineChars="200"/>
      </w:pPr>
      <w:r>
        <w:rPr>
          <w:b/>
        </w:rPr>
        <w:t>1</w:t>
      </w:r>
      <w:r>
        <w:rPr>
          <w:rFonts w:hint="eastAsia"/>
        </w:rPr>
        <w:tab/>
      </w:r>
      <w:r>
        <w:rPr>
          <w:rFonts w:hint="eastAsia"/>
        </w:rPr>
        <w:t>预制柱应进行脱模、吊装、翻转和运输阶段验算，并在深化设计文件中注明预制柱翻身和吊装方式，并注明所需预埋件型号及加固措施。</w:t>
      </w:r>
    </w:p>
    <w:p>
      <w:pPr>
        <w:tabs>
          <w:tab w:val="left" w:pos="840"/>
        </w:tabs>
        <w:snapToGrid w:val="0"/>
        <w:spacing w:line="360" w:lineRule="auto"/>
        <w:ind w:firstLine="481" w:firstLineChars="200"/>
      </w:pPr>
      <w:r>
        <w:rPr>
          <w:b/>
        </w:rPr>
        <w:t>2</w:t>
      </w:r>
      <w:r>
        <w:rPr>
          <w:rFonts w:hint="eastAsia"/>
        </w:rPr>
        <w:tab/>
      </w:r>
      <w:r>
        <w:rPr>
          <w:rFonts w:hint="eastAsia"/>
        </w:rPr>
        <w:t>预制柱间钢筋连接宜选用全灌浆套筒钢筋连接接头，并宜采用在预制柱中预埋集中灌浆管的高位集中注浆工艺。</w:t>
      </w:r>
    </w:p>
    <w:p>
      <w:pPr>
        <w:tabs>
          <w:tab w:val="left" w:pos="840"/>
        </w:tabs>
        <w:snapToGrid w:val="0"/>
        <w:spacing w:line="360" w:lineRule="auto"/>
        <w:ind w:firstLine="481" w:firstLineChars="200"/>
      </w:pPr>
      <w:r>
        <w:rPr>
          <w:b/>
        </w:rPr>
        <w:t>3</w:t>
      </w:r>
      <w:r>
        <w:rPr>
          <w:rFonts w:hint="eastAsia"/>
        </w:rPr>
        <w:tab/>
      </w:r>
      <w:r>
        <w:rPr>
          <w:rFonts w:hint="eastAsia"/>
        </w:rPr>
        <w:t>预制柱中预埋预应力钢绞线的金属波纹管直径除应符合本规程表</w:t>
      </w:r>
      <w:r>
        <w:rPr>
          <w:rFonts w:hint="eastAsia"/>
          <w:lang w:eastAsia="zh"/>
        </w:rPr>
        <w:t>3.2.9</w:t>
      </w:r>
      <w:r>
        <w:rPr>
          <w:rFonts w:hint="eastAsia"/>
        </w:rPr>
        <w:t>的规定外，还应与相连的预制梁中预埋的金属波纹管直径一致。</w:t>
      </w:r>
    </w:p>
    <w:p>
      <w:pPr>
        <w:tabs>
          <w:tab w:val="left" w:pos="840"/>
        </w:tabs>
        <w:snapToGrid w:val="0"/>
        <w:spacing w:line="360" w:lineRule="auto"/>
        <w:ind w:firstLine="481" w:firstLineChars="200"/>
      </w:pPr>
      <w:r>
        <w:rPr>
          <w:b/>
        </w:rPr>
        <w:t>4</w:t>
      </w:r>
      <w:r>
        <w:rPr>
          <w:rFonts w:hint="eastAsia"/>
        </w:rPr>
        <w:tab/>
      </w:r>
      <w:r>
        <w:rPr>
          <w:rFonts w:hint="eastAsia"/>
        </w:rPr>
        <w:t>预制柱中预埋预应力钢绞线的金属波纹管边缘至构件边缘的净距不应小于60mm，且不应小于孔道直径的50%。锚具下承压钢板边缘至构件边缘距离不应小于40mm。</w:t>
      </w:r>
    </w:p>
    <w:p>
      <w:pPr>
        <w:tabs>
          <w:tab w:val="left" w:pos="840"/>
        </w:tabs>
        <w:snapToGrid w:val="0"/>
        <w:spacing w:line="360" w:lineRule="auto"/>
        <w:ind w:firstLine="481" w:firstLineChars="200"/>
      </w:pPr>
      <w:r>
        <w:rPr>
          <w:b/>
        </w:rPr>
        <w:t>5</w:t>
      </w:r>
      <w:r>
        <w:rPr>
          <w:rFonts w:hint="eastAsia"/>
        </w:rPr>
        <w:tab/>
      </w:r>
      <w:r>
        <w:rPr>
          <w:rFonts w:hint="eastAsia"/>
        </w:rPr>
        <w:t>梁柱复合节点的预制柱表面与预制梁的交接面应设置内凹键槽，键槽表面宜设置粗糙面。柱内金属波纹管端部应与柱外表面平齐，宜伸出柱凹槽端面10mm（图</w:t>
      </w:r>
      <w:r>
        <w:fldChar w:fldCharType="begin"/>
      </w:r>
      <w:r>
        <w:instrText xml:space="preserve"> </w:instrText>
      </w:r>
      <w:r>
        <w:rPr>
          <w:rFonts w:hint="eastAsia"/>
        </w:rPr>
        <w:instrText xml:space="preserve">REF _Ref86139392 \r \h</w:instrText>
      </w:r>
      <w:r>
        <w:instrText xml:space="preserve"> </w:instrText>
      </w:r>
      <w:r>
        <w:fldChar w:fldCharType="separate"/>
      </w:r>
      <w:r>
        <w:t>6. 2. 4</w:t>
      </w:r>
      <w:r>
        <w:fldChar w:fldCharType="end"/>
      </w:r>
      <w:r>
        <w:rPr>
          <w:rFonts w:hint="eastAsia"/>
        </w:rPr>
        <w:t>）。</w:t>
      </w:r>
    </w:p>
    <w:p>
      <w:pPr>
        <w:spacing w:after="80"/>
        <w:ind w:firstLine="496"/>
        <w:jc w:val="center"/>
        <w:rPr>
          <w:sz w:val="21"/>
        </w:rPr>
      </w:pPr>
      <w:r>
        <w:rPr>
          <w:sz w:val="21"/>
        </w:rPr>
        <w:drawing>
          <wp:inline distT="0" distB="0" distL="0" distR="0">
            <wp:extent cx="2520315" cy="179070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2520315" cy="1790700"/>
                    </a:xfrm>
                    <a:prstGeom prst="rect">
                      <a:avLst/>
                    </a:prstGeom>
                    <a:noFill/>
                    <a:ln>
                      <a:noFill/>
                    </a:ln>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6. 2. 4</w:t>
      </w:r>
      <w:r>
        <w:rPr>
          <w:sz w:val="21"/>
        </w:rPr>
        <w:fldChar w:fldCharType="end"/>
      </w:r>
      <w:r>
        <w:rPr>
          <w:sz w:val="21"/>
        </w:rPr>
        <w:t xml:space="preserve"> 预制柱端面</w:t>
      </w:r>
      <w:r>
        <w:rPr>
          <w:rFonts w:hint="eastAsia"/>
          <w:sz w:val="21"/>
        </w:rPr>
        <w:t>键</w:t>
      </w:r>
      <w:r>
        <w:rPr>
          <w:sz w:val="21"/>
        </w:rPr>
        <w:t>槽</w:t>
      </w:r>
    </w:p>
    <w:p>
      <w:pPr>
        <w:spacing w:after="80"/>
        <w:ind w:firstLine="496"/>
        <w:jc w:val="center"/>
        <w:rPr>
          <w:sz w:val="21"/>
        </w:rPr>
      </w:pPr>
      <w:r>
        <w:rPr>
          <w:sz w:val="21"/>
        </w:rPr>
        <w:t>1—预制柱；2—键槽；3—</w:t>
      </w:r>
      <w:r>
        <w:rPr>
          <w:rFonts w:hint="eastAsia"/>
          <w:sz w:val="21"/>
        </w:rPr>
        <w:t>钢筋连接用直螺纹套筒</w:t>
      </w:r>
      <w:r>
        <w:rPr>
          <w:sz w:val="21"/>
        </w:rPr>
        <w:t>；4—金属波纹管；5—预埋耗能钢筋；6—</w:t>
      </w:r>
      <w:r>
        <w:rPr>
          <w:rFonts w:hint="eastAsia"/>
          <w:sz w:val="21"/>
        </w:rPr>
        <w:t>柱</w:t>
      </w:r>
      <w:r>
        <w:rPr>
          <w:sz w:val="21"/>
        </w:rPr>
        <w:t>箍</w:t>
      </w:r>
      <w:r>
        <w:rPr>
          <w:rFonts w:hint="eastAsia"/>
          <w:sz w:val="21"/>
        </w:rPr>
        <w:t>筋</w:t>
      </w:r>
    </w:p>
    <w:p>
      <w:pPr>
        <w:tabs>
          <w:tab w:val="left" w:pos="840"/>
        </w:tabs>
        <w:snapToGrid w:val="0"/>
        <w:spacing w:line="360" w:lineRule="auto"/>
        <w:ind w:firstLine="481" w:firstLineChars="200"/>
      </w:pPr>
      <w:r>
        <w:rPr>
          <w:b/>
        </w:rPr>
        <w:t>6</w:t>
      </w:r>
      <w:r>
        <w:rPr>
          <w:rFonts w:hint="eastAsia"/>
        </w:rPr>
        <w:tab/>
      </w:r>
      <w:r>
        <w:rPr>
          <w:rFonts w:hint="eastAsia"/>
        </w:rPr>
        <w:t>预制柱内预埋耗能钢筋及钢筋连接用直螺纹套筒宜单排居中布置，并宜采用相同规格。</w:t>
      </w:r>
    </w:p>
    <w:p>
      <w:pPr>
        <w:tabs>
          <w:tab w:val="left" w:pos="840"/>
        </w:tabs>
        <w:snapToGrid w:val="0"/>
        <w:spacing w:line="360" w:lineRule="auto"/>
        <w:ind w:firstLine="481" w:firstLineChars="200"/>
      </w:pPr>
      <w:r>
        <w:rPr>
          <w:b/>
        </w:rPr>
        <w:t>7</w:t>
      </w:r>
      <w:r>
        <w:rPr>
          <w:rFonts w:hint="eastAsia"/>
        </w:rPr>
        <w:tab/>
      </w:r>
      <w:r>
        <w:rPr>
          <w:rFonts w:hint="eastAsia"/>
        </w:rPr>
        <w:t>采用自复位梁柱节点的预制柱的耗能钢筋和梁底筋孔道宜采用预埋金属波纹管成型，宜单排布置，预埋波纹管直径不应小于2倍钢筋直径。</w:t>
      </w:r>
    </w:p>
    <w:p>
      <w:pPr>
        <w:pStyle w:val="4"/>
      </w:pPr>
      <w:bookmarkStart w:id="381" w:name="_Ref86139507"/>
      <w:bookmarkStart w:id="382" w:name="_Ref88828826"/>
      <w:bookmarkStart w:id="383" w:name="_Toc86067949"/>
      <w:r>
        <w:rPr>
          <w:rFonts w:hint="eastAsia"/>
        </w:rPr>
        <w:t>压接装配框架结构预制梁</w:t>
      </w:r>
      <w:r>
        <w:t>深化设计应符合下</w:t>
      </w:r>
      <w:r>
        <w:rPr>
          <w:rFonts w:hint="eastAsia"/>
        </w:rPr>
        <w:t>列规定</w:t>
      </w:r>
      <w:r>
        <w:t>：</w:t>
      </w:r>
      <w:bookmarkEnd w:id="381"/>
      <w:bookmarkEnd w:id="382"/>
      <w:bookmarkEnd w:id="383"/>
    </w:p>
    <w:p>
      <w:pPr>
        <w:tabs>
          <w:tab w:val="left" w:pos="840"/>
        </w:tabs>
        <w:snapToGrid w:val="0"/>
        <w:spacing w:line="360" w:lineRule="auto"/>
        <w:ind w:firstLine="481" w:firstLineChars="200"/>
      </w:pPr>
      <w:r>
        <w:rPr>
          <w:rFonts w:hint="eastAsia"/>
          <w:b/>
        </w:rPr>
        <w:t>1</w:t>
      </w:r>
      <w:r>
        <w:rPr>
          <w:rFonts w:hint="eastAsia"/>
        </w:rPr>
        <w:tab/>
      </w:r>
      <w:r>
        <w:rPr>
          <w:rFonts w:hint="eastAsia"/>
        </w:rPr>
        <w:t>预制梁中预埋的预应力钢绞线金属波纹管直径除应符合本规程表</w:t>
      </w:r>
      <w:r>
        <w:rPr>
          <w:rFonts w:hint="eastAsia"/>
          <w:lang w:eastAsia="zh"/>
        </w:rPr>
        <w:t>3.2.9</w:t>
      </w:r>
      <w:r>
        <w:rPr>
          <w:rFonts w:hint="eastAsia"/>
        </w:rPr>
        <w:t>的规定外，还应与相连的预制柱中预埋的金属波纹管直径一致。</w:t>
      </w:r>
    </w:p>
    <w:p>
      <w:pPr>
        <w:tabs>
          <w:tab w:val="left" w:pos="840"/>
        </w:tabs>
        <w:snapToGrid w:val="0"/>
        <w:spacing w:line="360" w:lineRule="auto"/>
        <w:ind w:firstLine="481" w:firstLineChars="200"/>
      </w:pPr>
      <w:r>
        <w:rPr>
          <w:rFonts w:hint="eastAsia"/>
          <w:b/>
        </w:rPr>
        <w:t>2</w:t>
      </w:r>
      <w:r>
        <w:rPr>
          <w:rFonts w:hint="eastAsia"/>
        </w:rPr>
        <w:tab/>
      </w:r>
      <w:r>
        <w:rPr>
          <w:rFonts w:hint="eastAsia"/>
        </w:rPr>
        <w:t>预应力钢绞线孔道外壁与梁底、梁侧的距离分别不宜小于100mm和50mm，且不宜小于孔道直径的50%。</w:t>
      </w:r>
    </w:p>
    <w:p>
      <w:pPr>
        <w:tabs>
          <w:tab w:val="left" w:pos="840"/>
        </w:tabs>
        <w:snapToGrid w:val="0"/>
        <w:spacing w:line="360" w:lineRule="auto"/>
        <w:ind w:firstLine="481" w:firstLineChars="200"/>
      </w:pPr>
      <w:r>
        <w:rPr>
          <w:rFonts w:hint="eastAsia"/>
          <w:b/>
        </w:rPr>
        <w:t>3</w:t>
      </w:r>
      <w:r>
        <w:tab/>
      </w:r>
      <w:r>
        <w:rPr>
          <w:rFonts w:hint="eastAsia"/>
        </w:rPr>
        <w:t>预应力孔道灌浆孔的间距大于30m时，应选择中部区间的梁上方增设灌浆排气孔，排气孔应与预埋金属波纹管道紧密连接。</w:t>
      </w:r>
    </w:p>
    <w:p>
      <w:pPr>
        <w:tabs>
          <w:tab w:val="left" w:pos="840"/>
        </w:tabs>
        <w:snapToGrid w:val="0"/>
        <w:spacing w:line="360" w:lineRule="auto"/>
        <w:ind w:firstLine="481" w:firstLineChars="200"/>
      </w:pPr>
      <w:r>
        <w:rPr>
          <w:b/>
        </w:rPr>
        <w:t>4</w:t>
      </w:r>
      <w:r>
        <w:rPr>
          <w:rFonts w:hint="eastAsia"/>
        </w:rPr>
        <w:tab/>
      </w:r>
      <w:r>
        <w:rPr>
          <w:rFonts w:hint="eastAsia"/>
        </w:rPr>
        <w:t>与预制柱相接的预制梁端面构造应符合本规程</w:t>
      </w:r>
      <w:r>
        <w:fldChar w:fldCharType="begin"/>
      </w:r>
      <w:r>
        <w:instrText xml:space="preserve"> </w:instrText>
      </w:r>
      <w:r>
        <w:rPr>
          <w:rFonts w:hint="eastAsia"/>
        </w:rPr>
        <w:instrText xml:space="preserve">REF _Ref167092387 \r \h</w:instrText>
      </w:r>
      <w:r>
        <w:instrText xml:space="preserve"> </w:instrText>
      </w:r>
      <w:r>
        <w:fldChar w:fldCharType="separate"/>
      </w:r>
      <w:r>
        <w:t>5. 3. 1</w:t>
      </w:r>
      <w:r>
        <w:fldChar w:fldCharType="end"/>
      </w:r>
      <w:r>
        <w:rPr>
          <w:rFonts w:hint="eastAsia"/>
        </w:rPr>
        <w:t>条的规定。</w:t>
      </w:r>
    </w:p>
    <w:p>
      <w:pPr>
        <w:tabs>
          <w:tab w:val="left" w:pos="840"/>
        </w:tabs>
        <w:snapToGrid w:val="0"/>
        <w:spacing w:line="360" w:lineRule="auto"/>
        <w:ind w:firstLine="481" w:firstLineChars="200"/>
      </w:pPr>
      <w:r>
        <w:rPr>
          <w:b/>
        </w:rPr>
        <w:t>5</w:t>
      </w:r>
      <w:r>
        <w:rPr>
          <w:rFonts w:hint="eastAsia"/>
        </w:rPr>
        <w:tab/>
      </w:r>
      <w:r>
        <w:rPr>
          <w:rFonts w:hint="eastAsia"/>
        </w:rPr>
        <w:t>复合梁柱节点的叠合梁上部梁端耗能钢筋外皮应与上侧、左右侧相临箍筋外皮预留不少于10mm</w:t>
      </w:r>
      <w:r>
        <w:t>~15</w:t>
      </w:r>
      <w:r>
        <w:rPr>
          <w:rFonts w:hint="eastAsia"/>
        </w:rPr>
        <w:t>mm的安装间隙（图</w:t>
      </w:r>
      <w:r>
        <w:fldChar w:fldCharType="begin"/>
      </w:r>
      <w:r>
        <w:instrText xml:space="preserve"> </w:instrText>
      </w:r>
      <w:r>
        <w:rPr>
          <w:rFonts w:hint="eastAsia"/>
        </w:rPr>
        <w:instrText xml:space="preserve">REF _Ref88828826 \r \h</w:instrText>
      </w:r>
      <w:r>
        <w:instrText xml:space="preserve"> </w:instrText>
      </w:r>
      <w:r>
        <w:fldChar w:fldCharType="separate"/>
      </w:r>
      <w:r>
        <w:t>6. 2. 5</w:t>
      </w:r>
      <w:r>
        <w:fldChar w:fldCharType="end"/>
      </w:r>
      <w:r>
        <w:rPr>
          <w:rFonts w:hint="eastAsia"/>
        </w:rPr>
        <w:t>）。叠合梁上部现浇叠合层内钢筋，包括梁端耗能钢筋和跨中构造钢筋宜在预制工厂内加工安装，并与构件一同出厂。</w:t>
      </w:r>
    </w:p>
    <w:p>
      <w:pPr>
        <w:spacing w:after="80"/>
        <w:ind w:firstLine="496"/>
        <w:jc w:val="center"/>
        <w:rPr>
          <w:sz w:val="21"/>
        </w:rPr>
      </w:pPr>
      <w:r>
        <w:rPr>
          <w:sz w:val="21"/>
        </w:rPr>
        <w:drawing>
          <wp:inline distT="0" distB="0" distL="0" distR="0">
            <wp:extent cx="3185160" cy="1451610"/>
            <wp:effectExtent l="0" t="0" r="0" b="0"/>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3193575" cy="1455517"/>
                    </a:xfrm>
                    <a:prstGeom prst="rect">
                      <a:avLst/>
                    </a:prstGeom>
                    <a:noFill/>
                    <a:ln>
                      <a:noFill/>
                    </a:ln>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6. 2. 5</w:t>
      </w:r>
      <w:r>
        <w:rPr>
          <w:sz w:val="21"/>
        </w:rPr>
        <w:fldChar w:fldCharType="end"/>
      </w:r>
      <w:r>
        <w:rPr>
          <w:sz w:val="21"/>
        </w:rPr>
        <w:t>　梁端耗能钢筋与箍筋</w:t>
      </w:r>
      <w:r>
        <w:rPr>
          <w:rFonts w:hint="eastAsia"/>
          <w:sz w:val="21"/>
        </w:rPr>
        <w:t>预留安装</w:t>
      </w:r>
      <w:r>
        <w:rPr>
          <w:sz w:val="21"/>
        </w:rPr>
        <w:t>间隙</w:t>
      </w:r>
    </w:p>
    <w:p>
      <w:pPr>
        <w:spacing w:after="80"/>
        <w:ind w:firstLine="496"/>
        <w:jc w:val="center"/>
        <w:rPr>
          <w:sz w:val="21"/>
        </w:rPr>
      </w:pPr>
      <w:r>
        <w:rPr>
          <w:sz w:val="21"/>
        </w:rPr>
        <w:t>1—预制梁；2—梁</w:t>
      </w:r>
      <w:r>
        <w:rPr>
          <w:rFonts w:hint="eastAsia"/>
          <w:sz w:val="21"/>
        </w:rPr>
        <w:t>端</w:t>
      </w:r>
      <w:r>
        <w:rPr>
          <w:sz w:val="21"/>
        </w:rPr>
        <w:t>耗能钢筋；3—梁箍筋；4—梁端耗能钢筋与相邻箍筋间隙</w:t>
      </w:r>
    </w:p>
    <w:p>
      <w:pPr>
        <w:tabs>
          <w:tab w:val="left" w:pos="840"/>
        </w:tabs>
        <w:snapToGrid w:val="0"/>
        <w:spacing w:line="360" w:lineRule="auto"/>
        <w:ind w:firstLine="481" w:firstLineChars="200"/>
      </w:pPr>
      <w:r>
        <w:rPr>
          <w:b/>
        </w:rPr>
        <w:t>6</w:t>
      </w:r>
      <w:r>
        <w:rPr>
          <w:rFonts w:hint="eastAsia"/>
        </w:rPr>
        <w:tab/>
      </w:r>
      <w:r>
        <w:rPr>
          <w:rFonts w:hint="eastAsia"/>
        </w:rPr>
        <w:t>当施工荷载较大时，预制梁中部宜局部设置与板顶平齐的用于支撑回顶上一层荷载的预制凸台。</w:t>
      </w:r>
    </w:p>
    <w:p>
      <w:pPr>
        <w:spacing w:after="80" w:line="360" w:lineRule="auto"/>
        <w:ind w:firstLine="481" w:firstLineChars="200"/>
      </w:pPr>
      <w:r>
        <w:rPr>
          <w:rFonts w:hint="eastAsia"/>
          <w:b/>
        </w:rPr>
        <w:t>7</w:t>
      </w:r>
      <w:r>
        <w:rPr>
          <w:rFonts w:hint="eastAsia"/>
        </w:rPr>
        <w:tab/>
      </w:r>
      <w:r>
        <w:rPr>
          <w:rFonts w:hint="eastAsia"/>
        </w:rPr>
        <w:t>采用自复位梁柱节点的压接装配框架中框架梁构件应采用全截面预制梁，通过预留耗能钢筋和底筋孔道后注浆实现梁柱连接；穿筋孔道宜采用预埋金属波纹管，宜单排布置，预埋波纹管直径不应小于2倍钢筋直径。</w:t>
      </w:r>
    </w:p>
    <w:p>
      <w:pPr>
        <w:pStyle w:val="4"/>
      </w:pPr>
      <w:bookmarkStart w:id="384" w:name="_Ref173418548"/>
      <w:r>
        <w:rPr>
          <w:rFonts w:hint="eastAsia"/>
        </w:rPr>
        <w:t>压接装配板柱的构件深化设计应符合下列规定：</w:t>
      </w:r>
      <w:bookmarkEnd w:id="384"/>
    </w:p>
    <w:p>
      <w:pPr>
        <w:pStyle w:val="5"/>
        <w:ind w:firstLine="482"/>
      </w:pPr>
      <w:r>
        <w:rPr>
          <w:rFonts w:hint="eastAsia"/>
          <w:b/>
        </w:rPr>
        <w:t>1</w:t>
      </w:r>
      <w:r>
        <w:rPr>
          <w:rFonts w:hint="eastAsia"/>
          <w:b/>
        </w:rPr>
        <w:tab/>
      </w:r>
      <w:r>
        <w:rPr>
          <w:rFonts w:hint="eastAsia"/>
        </w:rPr>
        <w:t>上下层预制柱间连接位置应选在板面以上0.2m~0.8m处，钢筋连接方式宜选用全灌浆套筒钢筋连接接头。</w:t>
      </w:r>
    </w:p>
    <w:p>
      <w:pPr>
        <w:pStyle w:val="5"/>
        <w:ind w:firstLine="482"/>
      </w:pPr>
      <w:r>
        <w:rPr>
          <w:rFonts w:hint="eastAsia"/>
          <w:b/>
        </w:rPr>
        <w:t>2</w:t>
      </w:r>
      <w:r>
        <w:rPr>
          <w:rFonts w:hint="eastAsia"/>
        </w:rPr>
        <w:tab/>
      </w:r>
      <w:r>
        <w:rPr>
          <w:rFonts w:hint="eastAsia"/>
        </w:rPr>
        <w:t>预制柱预留预应力筋孔道应采用预埋PVC管方式成型。当采用预埋金属管时，楼层结构端部的预制柱预应力孔道内不应留有金属管。预应力孔道直径应符合本规程表</w:t>
      </w:r>
      <w:r>
        <w:fldChar w:fldCharType="begin"/>
      </w:r>
      <w:r>
        <w:instrText xml:space="preserve"> </w:instrText>
      </w:r>
      <w:r>
        <w:rPr>
          <w:rFonts w:hint="eastAsia"/>
        </w:rPr>
        <w:instrText xml:space="preserve">REF _Ref197699087 \r \h</w:instrText>
      </w:r>
      <w:r>
        <w:instrText xml:space="preserve"> </w:instrText>
      </w:r>
      <w:r>
        <w:fldChar w:fldCharType="separate"/>
      </w:r>
      <w:r>
        <w:t>4. 2. 3</w:t>
      </w:r>
      <w:r>
        <w:fldChar w:fldCharType="end"/>
      </w:r>
      <w:r>
        <w:rPr>
          <w:rFonts w:hint="eastAsia"/>
        </w:rPr>
        <w:t>的规定。</w:t>
      </w:r>
    </w:p>
    <w:p>
      <w:pPr>
        <w:pStyle w:val="5"/>
        <w:ind w:firstLine="482"/>
      </w:pPr>
      <w:r>
        <w:rPr>
          <w:rFonts w:hint="eastAsia"/>
          <w:b/>
        </w:rPr>
        <w:t>3</w:t>
      </w:r>
      <w:r>
        <w:rPr>
          <w:b/>
        </w:rPr>
        <w:tab/>
      </w:r>
      <w:r>
        <w:rPr>
          <w:rFonts w:hint="eastAsia"/>
        </w:rPr>
        <w:t>楼板拆分时应根据工厂制作条件及设备限制情况进行，同时应考虑储运和现场装配条件。应拆分为矩形平面构件，与预制柱接触的板角预留直角缺口。</w:t>
      </w:r>
    </w:p>
    <w:p>
      <w:pPr>
        <w:pStyle w:val="5"/>
        <w:ind w:firstLine="482"/>
      </w:pPr>
      <w:r>
        <w:rPr>
          <w:rFonts w:hint="eastAsia"/>
          <w:b/>
        </w:rPr>
        <w:t>4</w:t>
      </w:r>
      <w:r>
        <w:rPr>
          <w:b/>
        </w:rPr>
        <w:tab/>
      </w:r>
      <w:r>
        <w:rPr>
          <w:rFonts w:hint="eastAsia"/>
        </w:rPr>
        <w:t>楼板上部有现浇叠合层时，接触面应设置为粗糙面，粗糙深度≥4mm且面积不宜小于结合面80%。</w:t>
      </w:r>
    </w:p>
    <w:p>
      <w:pPr>
        <w:pStyle w:val="5"/>
        <w:ind w:firstLine="482"/>
      </w:pPr>
      <w:r>
        <w:rPr>
          <w:rFonts w:hint="eastAsia"/>
          <w:b/>
        </w:rPr>
        <w:t>5</w:t>
      </w:r>
      <w:r>
        <w:rPr>
          <w:b/>
        </w:rPr>
        <w:tab/>
      </w:r>
      <w:r>
        <w:rPr>
          <w:rFonts w:hint="eastAsia"/>
        </w:rPr>
        <w:t>楼板边肋靠近明槽的侧面应设置抗剪键槽，并可设通长凸缘。当明槽底部有剪力墙时，不应设置通长凸缘（图</w:t>
      </w:r>
      <w:r>
        <w:rPr>
          <w:bCs/>
        </w:rPr>
        <w:fldChar w:fldCharType="begin"/>
      </w:r>
      <w:r>
        <w:instrText xml:space="preserve"> </w:instrText>
      </w:r>
      <w:r>
        <w:rPr>
          <w:rFonts w:hint="eastAsia"/>
        </w:rPr>
        <w:instrText xml:space="preserve">REF _Ref173418548 \r \h</w:instrText>
      </w:r>
      <w:r>
        <w:instrText xml:space="preserve"> </w:instrText>
      </w:r>
      <w:r>
        <w:rPr>
          <w:bCs/>
        </w:rPr>
        <w:fldChar w:fldCharType="separate"/>
      </w:r>
      <w:r>
        <w:t>6. 2. 6</w:t>
      </w:r>
      <w:r>
        <w:rPr>
          <w:bCs/>
        </w:rPr>
        <w:fldChar w:fldCharType="end"/>
      </w:r>
      <w:r>
        <w:rPr>
          <w:rFonts w:hint="eastAsia"/>
          <w:bCs/>
        </w:rPr>
        <w:t>-1</w:t>
      </w:r>
      <w:r>
        <w:rPr>
          <w:rFonts w:hint="eastAsia"/>
        </w:rPr>
        <w:t>）。</w:t>
      </w:r>
    </w:p>
    <w:p>
      <w:pPr>
        <w:pStyle w:val="69"/>
      </w:pPr>
      <w:r>
        <w:drawing>
          <wp:inline distT="0" distB="0" distL="0" distR="0">
            <wp:extent cx="4251960" cy="1411605"/>
            <wp:effectExtent l="0" t="0" r="0" b="0"/>
            <wp:docPr id="201724527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17245273" name="图片 10"/>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4261189" cy="1414925"/>
                    </a:xfrm>
                    <a:prstGeom prst="rect">
                      <a:avLst/>
                    </a:prstGeom>
                    <a:noFill/>
                    <a:ln>
                      <a:noFill/>
                    </a:ln>
                  </pic:spPr>
                </pic:pic>
              </a:graphicData>
            </a:graphic>
          </wp:inline>
        </w:drawing>
      </w:r>
    </w:p>
    <w:p>
      <w:pPr>
        <w:pStyle w:val="69"/>
      </w:pPr>
      <w:r>
        <w:t>图</w:t>
      </w:r>
      <w:r>
        <w:rPr>
          <w:bCs/>
        </w:rPr>
        <w:fldChar w:fldCharType="begin"/>
      </w:r>
      <w:r>
        <w:instrText xml:space="preserve"> </w:instrText>
      </w:r>
      <w:r>
        <w:rPr>
          <w:rFonts w:hint="eastAsia"/>
        </w:rPr>
        <w:instrText xml:space="preserve">REF _Ref173418548 \r \h</w:instrText>
      </w:r>
      <w:r>
        <w:instrText xml:space="preserve"> </w:instrText>
      </w:r>
      <w:r>
        <w:rPr>
          <w:bCs/>
        </w:rPr>
        <w:fldChar w:fldCharType="separate"/>
      </w:r>
      <w:r>
        <w:t>6. 2. 6</w:t>
      </w:r>
      <w:r>
        <w:rPr>
          <w:bCs/>
        </w:rPr>
        <w:fldChar w:fldCharType="end"/>
      </w:r>
      <w:r>
        <w:rPr>
          <w:rFonts w:hint="eastAsia"/>
        </w:rPr>
        <w:t>-1</w:t>
      </w:r>
      <w:r>
        <w:t>　</w:t>
      </w:r>
      <w:r>
        <w:rPr>
          <w:rFonts w:hint="eastAsia"/>
        </w:rPr>
        <w:t>键槽及凸缘的构造尺寸</w:t>
      </w:r>
    </w:p>
    <w:p>
      <w:pPr>
        <w:pStyle w:val="69"/>
      </w:pPr>
      <w:r>
        <w:t>1—</w:t>
      </w:r>
      <w:r>
        <w:rPr>
          <w:rFonts w:hint="eastAsia"/>
        </w:rPr>
        <w:t>接缝面</w:t>
      </w:r>
      <w:r>
        <w:t>；</w:t>
      </w:r>
      <w:r>
        <w:rPr>
          <w:rFonts w:hint="eastAsia"/>
        </w:rPr>
        <w:t>a</w:t>
      </w:r>
      <w:r>
        <w:t>—</w:t>
      </w:r>
      <w:r>
        <w:rPr>
          <w:rFonts w:hint="eastAsia"/>
        </w:rPr>
        <w:t>接缝面宽度</w:t>
      </w:r>
    </w:p>
    <w:p>
      <w:pPr>
        <w:pStyle w:val="5"/>
        <w:ind w:firstLine="482"/>
      </w:pPr>
      <w:r>
        <w:rPr>
          <w:rFonts w:hint="eastAsia"/>
          <w:b/>
        </w:rPr>
        <w:t>6</w:t>
      </w:r>
      <w:r>
        <w:rPr>
          <w:b/>
        </w:rPr>
        <w:tab/>
      </w:r>
      <w:r>
        <w:rPr>
          <w:rFonts w:hint="eastAsia"/>
        </w:rPr>
        <w:t>当采用拼板时垫块高度宜与楼板高度一致，垫块尺寸宜与预制柱截面尺寸一致；当采用预制（现浇）扁垫块时，其尺寸应与楼板拼缝明槽尺寸一致（图</w:t>
      </w:r>
      <w:r>
        <w:rPr>
          <w:bCs/>
        </w:rPr>
        <w:fldChar w:fldCharType="begin"/>
      </w:r>
      <w:r>
        <w:instrText xml:space="preserve"> </w:instrText>
      </w:r>
      <w:r>
        <w:rPr>
          <w:rFonts w:hint="eastAsia"/>
        </w:rPr>
        <w:instrText xml:space="preserve">REF _Ref173418548 \r \h</w:instrText>
      </w:r>
      <w:r>
        <w:instrText xml:space="preserve"> </w:instrText>
      </w:r>
      <w:r>
        <w:rPr>
          <w:bCs/>
        </w:rPr>
        <w:fldChar w:fldCharType="separate"/>
      </w:r>
      <w:r>
        <w:t>6. 2. 6</w:t>
      </w:r>
      <w:r>
        <w:rPr>
          <w:bCs/>
        </w:rPr>
        <w:fldChar w:fldCharType="end"/>
      </w:r>
      <w:r>
        <w:rPr>
          <w:rFonts w:hint="eastAsia"/>
          <w:bCs/>
        </w:rPr>
        <w:t>-2</w:t>
      </w:r>
      <w:r>
        <w:rPr>
          <w:rFonts w:hint="eastAsia"/>
        </w:rPr>
        <w:t>）。</w:t>
      </w:r>
    </w:p>
    <w:p>
      <w:pPr>
        <w:pStyle w:val="69"/>
      </w:pPr>
      <w:r>
        <w:drawing>
          <wp:inline distT="0" distB="0" distL="0" distR="0">
            <wp:extent cx="2125980" cy="2352675"/>
            <wp:effectExtent l="0" t="0" r="7620" b="9525"/>
            <wp:docPr id="176844951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8449512" name="图片 6"/>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2135651" cy="2363700"/>
                    </a:xfrm>
                    <a:prstGeom prst="rect">
                      <a:avLst/>
                    </a:prstGeom>
                    <a:noFill/>
                    <a:ln>
                      <a:noFill/>
                    </a:ln>
                  </pic:spPr>
                </pic:pic>
              </a:graphicData>
            </a:graphic>
          </wp:inline>
        </w:drawing>
      </w:r>
    </w:p>
    <w:p>
      <w:pPr>
        <w:pStyle w:val="69"/>
      </w:pPr>
      <w:r>
        <w:t>图</w:t>
      </w:r>
      <w:r>
        <w:rPr>
          <w:bCs/>
        </w:rPr>
        <w:fldChar w:fldCharType="begin"/>
      </w:r>
      <w:r>
        <w:instrText xml:space="preserve"> </w:instrText>
      </w:r>
      <w:r>
        <w:rPr>
          <w:rFonts w:hint="eastAsia"/>
        </w:rPr>
        <w:instrText xml:space="preserve">REF _Ref173418548 \r \h</w:instrText>
      </w:r>
      <w:r>
        <w:instrText xml:space="preserve"> </w:instrText>
      </w:r>
      <w:r>
        <w:rPr>
          <w:bCs/>
        </w:rPr>
        <w:fldChar w:fldCharType="separate"/>
      </w:r>
      <w:r>
        <w:t>6. 2. 6</w:t>
      </w:r>
      <w:r>
        <w:rPr>
          <w:bCs/>
        </w:rPr>
        <w:fldChar w:fldCharType="end"/>
      </w:r>
      <w:r>
        <w:t>-2　</w:t>
      </w:r>
      <w:r>
        <w:rPr>
          <w:rFonts w:hint="eastAsia"/>
        </w:rPr>
        <w:t>拼板预制扁垫块</w:t>
      </w:r>
    </w:p>
    <w:p>
      <w:pPr>
        <w:pStyle w:val="69"/>
      </w:pPr>
      <w:r>
        <w:t>1—</w:t>
      </w:r>
      <w:r>
        <w:rPr>
          <w:rFonts w:hint="eastAsia"/>
        </w:rPr>
        <w:t>预制拼板</w:t>
      </w:r>
      <w:r>
        <w:t>；</w:t>
      </w:r>
      <w:r>
        <w:rPr>
          <w:rFonts w:hint="eastAsia"/>
        </w:rPr>
        <w:t>7</w:t>
      </w:r>
      <w:r>
        <w:t>—</w:t>
      </w:r>
      <w:r>
        <w:rPr>
          <w:rFonts w:hint="eastAsia"/>
        </w:rPr>
        <w:t>扁垫块</w:t>
      </w:r>
      <w:r>
        <w:t>；</w:t>
      </w:r>
      <w:r>
        <w:rPr>
          <w:rFonts w:hint="eastAsia"/>
        </w:rPr>
        <w:t>8</w:t>
      </w:r>
      <w:r>
        <w:t>—</w:t>
      </w:r>
      <w:r>
        <w:rPr>
          <w:rFonts w:hint="eastAsia"/>
        </w:rPr>
        <w:t>拼缝明槽</w:t>
      </w:r>
    </w:p>
    <w:p/>
    <w:p>
      <w:pPr>
        <w:pStyle w:val="3"/>
      </w:pPr>
      <w:bookmarkStart w:id="385" w:name="_Toc91664526"/>
      <w:bookmarkStart w:id="386" w:name="_Toc55293916"/>
      <w:bookmarkStart w:id="387" w:name="_Toc91664416"/>
      <w:bookmarkStart w:id="388" w:name="_Toc173143034"/>
      <w:bookmarkStart w:id="389" w:name="_Toc92182262"/>
      <w:bookmarkStart w:id="390" w:name="_Toc172211463"/>
      <w:bookmarkStart w:id="391" w:name="_Toc86067950"/>
      <w:bookmarkStart w:id="392" w:name="_Toc202345826"/>
      <w:r>
        <w:t>构件制作</w:t>
      </w:r>
      <w:bookmarkEnd w:id="385"/>
      <w:bookmarkEnd w:id="386"/>
      <w:bookmarkEnd w:id="387"/>
      <w:bookmarkEnd w:id="388"/>
      <w:bookmarkEnd w:id="389"/>
      <w:bookmarkEnd w:id="390"/>
      <w:bookmarkEnd w:id="391"/>
      <w:bookmarkEnd w:id="392"/>
      <w:bookmarkStart w:id="393" w:name="_Toc197444888"/>
      <w:bookmarkEnd w:id="393"/>
    </w:p>
    <w:p>
      <w:pPr>
        <w:pStyle w:val="4"/>
      </w:pPr>
      <w:r>
        <w:rPr>
          <w:rFonts w:hint="eastAsia"/>
        </w:rPr>
        <w:t>预制构件制作的原材料及配件进厂质量检验应符合下列规定：</w:t>
      </w:r>
    </w:p>
    <w:p>
      <w:pPr>
        <w:tabs>
          <w:tab w:val="left" w:pos="840"/>
        </w:tabs>
        <w:snapToGrid w:val="0"/>
        <w:spacing w:line="360" w:lineRule="auto"/>
        <w:ind w:firstLine="481" w:firstLineChars="200"/>
      </w:pPr>
      <w:r>
        <w:rPr>
          <w:rFonts w:hint="eastAsia"/>
          <w:b/>
        </w:rPr>
        <w:t>1</w:t>
      </w:r>
      <w:r>
        <w:rPr>
          <w:rFonts w:hint="eastAsia"/>
        </w:rPr>
        <w:tab/>
      </w:r>
      <w:r>
        <w:rPr>
          <w:rFonts w:hint="eastAsia"/>
        </w:rPr>
        <w:t>钢筋、水泥、预应力钢绞线（钢丝）、预应力混凝土用金属波纹管、预应力用锚具、夹具和连接器、钢筋连接用灌浆套筒、钢筋锚固板、预埋件、螺栓等原材料及配件应进行进厂验收，其质量应符合本规程第3章和国家现行标准的规定，以及设计文件或合同要求。</w:t>
      </w:r>
    </w:p>
    <w:p>
      <w:pPr>
        <w:tabs>
          <w:tab w:val="left" w:pos="840"/>
        </w:tabs>
        <w:snapToGrid w:val="0"/>
        <w:spacing w:line="360" w:lineRule="auto"/>
        <w:ind w:firstLine="481" w:firstLineChars="200"/>
      </w:pPr>
      <w:r>
        <w:rPr>
          <w:rFonts w:hint="eastAsia"/>
          <w:b/>
        </w:rPr>
        <w:t>2</w:t>
      </w:r>
      <w:r>
        <w:rPr>
          <w:rFonts w:hint="eastAsia"/>
        </w:rPr>
        <w:tab/>
      </w:r>
      <w:r>
        <w:rPr>
          <w:rFonts w:hint="eastAsia"/>
        </w:rPr>
        <w:t>采用灌浆套筒连接的预制柱，应对灌浆接头进行工艺检验，检验合格后方可使用。灌浆接头工艺检验应符合现行行业标准《钢筋套筒灌浆连接应用技术规程》JGJ 355和现行北京市地方标准《钢筋套筒灌浆连接技术规程》DB11/T 1470的有关规定。</w:t>
      </w:r>
    </w:p>
    <w:p>
      <w:pPr>
        <w:tabs>
          <w:tab w:val="left" w:pos="840"/>
        </w:tabs>
        <w:snapToGrid w:val="0"/>
        <w:spacing w:line="360" w:lineRule="auto"/>
        <w:ind w:firstLine="481" w:firstLineChars="200"/>
      </w:pPr>
      <w:r>
        <w:rPr>
          <w:rFonts w:hint="eastAsia"/>
          <w:b/>
        </w:rPr>
        <w:t>3</w:t>
      </w:r>
      <w:r>
        <w:rPr>
          <w:rFonts w:hint="eastAsia"/>
        </w:rPr>
        <w:tab/>
      </w:r>
      <w:r>
        <w:rPr>
          <w:rFonts w:hint="eastAsia"/>
        </w:rPr>
        <w:t>原材料及配件进厂检验应符合现行国家标准《混凝土结构工程施工质量验收规范》GB 50204、《装配式混凝土建筑技术标准》GB/T 51231和现行北京市地方标准《预制混凝土构件质量检验标准》DB11/T</w:t>
      </w:r>
      <w:r>
        <w:t xml:space="preserve"> </w:t>
      </w:r>
      <w:r>
        <w:rPr>
          <w:rFonts w:hint="eastAsia"/>
        </w:rPr>
        <w:t>968、《预制混凝土构件质量控制标准》DB11/T 1312的有关规定。</w:t>
      </w:r>
    </w:p>
    <w:p>
      <w:pPr>
        <w:pStyle w:val="4"/>
      </w:pPr>
      <w:bookmarkStart w:id="394" w:name="_Ref87274492"/>
      <w:r>
        <w:rPr>
          <w:rFonts w:hint="eastAsia"/>
        </w:rPr>
        <w:t>压接装配结构预制梁柱构件模具宜采用成组模具批量制作，也可采用单个模具。</w:t>
      </w:r>
      <w:bookmarkEnd w:id="394"/>
      <w:r>
        <w:rPr>
          <w:rFonts w:hint="eastAsia"/>
        </w:rPr>
        <w:t>用作底模的台座、胎膜、地坪及铺设的底板等应平整光洁，不得有下沉、裂缝和起鼓等问题。</w:t>
      </w:r>
    </w:p>
    <w:p>
      <w:pPr>
        <w:pStyle w:val="4"/>
      </w:pPr>
      <w:bookmarkStart w:id="395" w:name="_Ref87344311"/>
      <w:r>
        <w:rPr>
          <w:rFonts w:hint="eastAsia"/>
        </w:rPr>
        <w:t>预制梁柱模具宜采用模数化设计，宜符合下列规定：</w:t>
      </w:r>
      <w:bookmarkEnd w:id="395"/>
    </w:p>
    <w:p>
      <w:pPr>
        <w:tabs>
          <w:tab w:val="left" w:pos="840"/>
        </w:tabs>
        <w:snapToGrid w:val="0"/>
        <w:spacing w:line="360" w:lineRule="auto"/>
        <w:ind w:firstLine="481" w:firstLineChars="200"/>
      </w:pPr>
      <w:r>
        <w:rPr>
          <w:b/>
        </w:rPr>
        <w:t>1</w:t>
      </w:r>
      <w:r>
        <w:tab/>
      </w:r>
      <w:r>
        <w:rPr>
          <w:rFonts w:hint="eastAsia"/>
        </w:rPr>
        <w:t>边模基本长度可取为5m、4m、2m、1m，可另设计0.</w:t>
      </w:r>
      <w:r>
        <w:t>5</w:t>
      </w:r>
      <w:r>
        <w:rPr>
          <w:rFonts w:hint="eastAsia"/>
        </w:rPr>
        <w:t>m、0.</w:t>
      </w:r>
      <w:r>
        <w:t>2</w:t>
      </w:r>
      <w:r>
        <w:rPr>
          <w:rFonts w:hint="eastAsia"/>
        </w:rPr>
        <w:t>m长度的边模自由组合成不同长度的梁模，边模间宜采用螺栓纵向连接；</w:t>
      </w:r>
    </w:p>
    <w:p>
      <w:pPr>
        <w:tabs>
          <w:tab w:val="left" w:pos="840"/>
        </w:tabs>
        <w:snapToGrid w:val="0"/>
        <w:spacing w:line="360" w:lineRule="auto"/>
        <w:ind w:firstLine="481" w:firstLineChars="200"/>
      </w:pPr>
      <w:r>
        <w:rPr>
          <w:rFonts w:hint="eastAsia"/>
          <w:b/>
        </w:rPr>
        <w:t>2</w:t>
      </w:r>
      <w:r>
        <w:rPr>
          <w:rFonts w:hint="eastAsia"/>
        </w:rPr>
        <w:tab/>
      </w:r>
      <w:r>
        <w:rPr>
          <w:rFonts w:hint="eastAsia"/>
        </w:rPr>
        <w:t>边模基本高度可取为450mm，可另设计10</w:t>
      </w:r>
      <w:r>
        <w:t>0</w:t>
      </w:r>
      <w:r>
        <w:rPr>
          <w:rFonts w:hint="eastAsia"/>
        </w:rPr>
        <w:t>mm、</w:t>
      </w:r>
      <w:r>
        <w:t>5</w:t>
      </w:r>
      <w:r>
        <w:rPr>
          <w:rFonts w:hint="eastAsia"/>
        </w:rPr>
        <w:t>0mm、</w:t>
      </w:r>
      <w:r>
        <w:t>2</w:t>
      </w:r>
      <w:r>
        <w:rPr>
          <w:rFonts w:hint="eastAsia"/>
        </w:rPr>
        <w:t>0mm高度的边模自由组合成不同高度的梁模，边模间宜采用螺栓竖向连接；</w:t>
      </w:r>
    </w:p>
    <w:p>
      <w:pPr>
        <w:tabs>
          <w:tab w:val="left" w:pos="840"/>
        </w:tabs>
        <w:snapToGrid w:val="0"/>
        <w:spacing w:line="360" w:lineRule="auto"/>
        <w:ind w:firstLine="481" w:firstLineChars="200"/>
      </w:pPr>
      <w:r>
        <w:rPr>
          <w:rFonts w:hint="eastAsia"/>
          <w:b/>
        </w:rPr>
        <w:t>3</w:t>
      </w:r>
      <w:r>
        <w:rPr>
          <w:rFonts w:hint="eastAsia"/>
        </w:rPr>
        <w:tab/>
      </w:r>
      <w:r>
        <w:rPr>
          <w:rFonts w:hint="eastAsia"/>
        </w:rPr>
        <w:t>侧模设计宜考虑构件内预埋件与模板加固件的位置，侧模与底模宜采用方便装拆的连接方式（图</w:t>
      </w:r>
      <w:r>
        <w:fldChar w:fldCharType="begin"/>
      </w:r>
      <w:r>
        <w:instrText xml:space="preserve"> </w:instrText>
      </w:r>
      <w:r>
        <w:rPr>
          <w:rFonts w:hint="eastAsia"/>
        </w:rPr>
        <w:instrText xml:space="preserve">REF _Ref87344311 \r \h</w:instrText>
      </w:r>
      <w:r>
        <w:instrText xml:space="preserve"> </w:instrText>
      </w:r>
      <w:r>
        <w:fldChar w:fldCharType="separate"/>
      </w:r>
      <w:r>
        <w:t>6. 3. 3</w:t>
      </w:r>
      <w:r>
        <w:fldChar w:fldCharType="end"/>
      </w:r>
      <w:r>
        <w:rPr>
          <w:rFonts w:hint="eastAsia"/>
        </w:rPr>
        <w:t>）；</w:t>
      </w:r>
    </w:p>
    <w:p>
      <w:pPr>
        <w:spacing w:after="80"/>
        <w:ind w:firstLine="496"/>
        <w:jc w:val="center"/>
        <w:rPr>
          <w:rFonts w:eastAsia="黑体"/>
          <w:b/>
          <w:bCs/>
          <w:sz w:val="28"/>
          <w:szCs w:val="28"/>
        </w:rPr>
      </w:pPr>
      <w:r>
        <w:rPr>
          <w:sz w:val="21"/>
        </w:rPr>
        <w:drawing>
          <wp:inline distT="0" distB="0" distL="0" distR="0">
            <wp:extent cx="3042920" cy="1862455"/>
            <wp:effectExtent l="0" t="0" r="5080" b="444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36"/>
                    <a:stretch>
                      <a:fillRect/>
                    </a:stretch>
                  </pic:blipFill>
                  <pic:spPr>
                    <a:xfrm>
                      <a:off x="0" y="0"/>
                      <a:ext cx="3078516" cy="1884692"/>
                    </a:xfrm>
                    <a:prstGeom prst="rect">
                      <a:avLst/>
                    </a:prstGeom>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6. 3. 3</w:t>
      </w:r>
      <w:r>
        <w:rPr>
          <w:sz w:val="21"/>
        </w:rPr>
        <w:fldChar w:fldCharType="end"/>
      </w:r>
      <w:r>
        <w:rPr>
          <w:sz w:val="21"/>
        </w:rPr>
        <w:t>　预制梁柱模具侧模组拼</w:t>
      </w:r>
    </w:p>
    <w:p>
      <w:pPr>
        <w:tabs>
          <w:tab w:val="left" w:pos="840"/>
        </w:tabs>
        <w:snapToGrid w:val="0"/>
        <w:spacing w:line="360" w:lineRule="auto"/>
        <w:ind w:firstLine="481" w:firstLineChars="200"/>
      </w:pPr>
      <w:r>
        <w:rPr>
          <w:rFonts w:hint="eastAsia"/>
          <w:b/>
        </w:rPr>
        <w:t>4</w:t>
      </w:r>
      <w:r>
        <w:rPr>
          <w:rFonts w:hint="eastAsia"/>
        </w:rPr>
        <w:tab/>
      </w:r>
      <w:r>
        <w:rPr>
          <w:rFonts w:hint="eastAsia"/>
        </w:rPr>
        <w:t>模具宜按照生产工期、构件类型、构件外形尺寸、生产产能等因素统一制定配置方案</w:t>
      </w:r>
      <w:r>
        <w:t>。</w:t>
      </w:r>
    </w:p>
    <w:p>
      <w:pPr>
        <w:pStyle w:val="4"/>
      </w:pPr>
      <w:bookmarkStart w:id="396" w:name="_Toc86067955"/>
      <w:bookmarkStart w:id="397" w:name="_Ref86139783"/>
      <w:r>
        <w:rPr>
          <w:rFonts w:hint="eastAsia"/>
        </w:rPr>
        <w:t>压接装配结构的预制柱和预制梁中耗能</w:t>
      </w:r>
      <w:r>
        <w:t>钢筋</w:t>
      </w:r>
      <w:r>
        <w:rPr>
          <w:rFonts w:hint="eastAsia"/>
        </w:rPr>
        <w:t>与钢筋连接接头</w:t>
      </w:r>
      <w:r>
        <w:t>加工应符合下列规定：</w:t>
      </w:r>
      <w:bookmarkEnd w:id="396"/>
      <w:bookmarkEnd w:id="397"/>
    </w:p>
    <w:p>
      <w:pPr>
        <w:tabs>
          <w:tab w:val="left" w:pos="840"/>
        </w:tabs>
        <w:snapToGrid w:val="0"/>
        <w:spacing w:line="360" w:lineRule="auto"/>
        <w:ind w:firstLine="481" w:firstLineChars="200"/>
      </w:pPr>
      <w:r>
        <w:rPr>
          <w:rFonts w:hint="eastAsia"/>
          <w:b/>
        </w:rPr>
        <w:t>1</w:t>
      </w:r>
      <w:r>
        <w:rPr>
          <w:rFonts w:hint="eastAsia"/>
        </w:rPr>
        <w:tab/>
      </w:r>
      <w:r>
        <w:rPr>
          <w:rFonts w:hint="eastAsia"/>
        </w:rPr>
        <w:t>耗能钢筋的削弱段应采用机械切削加工成形，宜沿钢筋圆周均匀切削或沿截面对称切削, 不应采用火焰切割。加工完成后应及时用隔离材料包裹封闭。</w:t>
      </w:r>
    </w:p>
    <w:p>
      <w:pPr>
        <w:tabs>
          <w:tab w:val="left" w:pos="840"/>
        </w:tabs>
        <w:snapToGrid w:val="0"/>
        <w:spacing w:line="360" w:lineRule="auto"/>
        <w:ind w:firstLine="481" w:firstLineChars="200"/>
      </w:pPr>
      <w:r>
        <w:rPr>
          <w:rFonts w:hint="eastAsia"/>
          <w:b/>
        </w:rPr>
        <w:t>2</w:t>
      </w:r>
      <w:r>
        <w:rPr>
          <w:rFonts w:hint="eastAsia"/>
        </w:rPr>
        <w:tab/>
      </w:r>
      <w:r>
        <w:rPr>
          <w:rFonts w:hint="eastAsia"/>
        </w:rPr>
        <w:t>节点区相连的直螺纹钢筋连接接头宜采用标准型滚轧直螺纹套筒，钢筋规格和套筒的规格应一致，钢筋和套筒的丝扣应干净、完好无损，检查合格的丝头应用保护帽拧紧保护，按规格分类堆放整齐</w:t>
      </w:r>
      <w:r>
        <w:t>。</w:t>
      </w:r>
      <w:bookmarkStart w:id="398" w:name="_Toc86067957"/>
    </w:p>
    <w:p>
      <w:pPr>
        <w:pStyle w:val="4"/>
      </w:pPr>
      <w:bookmarkStart w:id="399" w:name="_Ref86139890"/>
      <w:r>
        <w:rPr>
          <w:rFonts w:hint="eastAsia"/>
        </w:rPr>
        <w:t>构件内</w:t>
      </w:r>
      <w:r>
        <w:t>预埋件的安装与检验应符合下列规定：</w:t>
      </w:r>
      <w:bookmarkEnd w:id="398"/>
      <w:bookmarkEnd w:id="399"/>
    </w:p>
    <w:p>
      <w:pPr>
        <w:tabs>
          <w:tab w:val="left" w:pos="840"/>
        </w:tabs>
        <w:snapToGrid w:val="0"/>
        <w:spacing w:line="360" w:lineRule="auto"/>
        <w:ind w:firstLine="481" w:firstLineChars="200"/>
      </w:pPr>
      <w:r>
        <w:rPr>
          <w:rFonts w:hint="eastAsia"/>
          <w:b/>
        </w:rPr>
        <w:t>1</w:t>
      </w:r>
      <w:r>
        <w:tab/>
      </w:r>
      <w:r>
        <w:t>柱</w:t>
      </w:r>
      <w:r>
        <w:rPr>
          <w:rFonts w:hint="eastAsia"/>
        </w:rPr>
        <w:t>内预埋金属波纹管不应拼接，梁内预埋金属波纹管拼接接头不应多于一个。混凝土浇筑前应认真检查金属波纹管的拼接接头质量，并应在拼接接头处设置附加固定架立钢筋。</w:t>
      </w:r>
    </w:p>
    <w:p>
      <w:pPr>
        <w:pStyle w:val="5"/>
      </w:pPr>
      <w:r>
        <w:rPr>
          <w:rFonts w:hint="eastAsia"/>
        </w:rPr>
        <w:t>金属波纹管接长时，应采用与被连接管波形相同，且尺寸大一个规格的连接管进行连接。连接管的长度可取为金属波纹管公称内径的4 倍且不应小于200mm，被连接管端部应切割平整并紧密贴合，连接处应用密封胶带或热塑性塑料管封口。</w:t>
      </w:r>
    </w:p>
    <w:p>
      <w:pPr>
        <w:tabs>
          <w:tab w:val="left" w:pos="840"/>
        </w:tabs>
        <w:snapToGrid w:val="0"/>
        <w:spacing w:line="360" w:lineRule="auto"/>
        <w:ind w:firstLine="481" w:firstLineChars="200"/>
      </w:pPr>
      <w:r>
        <w:rPr>
          <w:rFonts w:hint="eastAsia"/>
          <w:b/>
        </w:rPr>
        <w:t>2</w:t>
      </w:r>
      <w:r>
        <w:rPr>
          <w:rFonts w:hint="eastAsia"/>
        </w:rPr>
        <w:tab/>
      </w:r>
      <w:r>
        <w:rPr>
          <w:rFonts w:hint="eastAsia"/>
        </w:rPr>
        <w:t>设有锚固端的预制柱，预应力锚垫板应通过螺栓或其他可靠方式固定在模具上，锚垫板面应紧贴模具面。柱内金属波纹管一端应伸入锚垫板管口20mm~50mm，金属波纹管外壁与锚垫板管口内壁间隙应填塞密实，另一端应通过模具预留孔定位。</w:t>
      </w:r>
    </w:p>
    <w:p>
      <w:pPr>
        <w:tabs>
          <w:tab w:val="left" w:pos="840"/>
        </w:tabs>
        <w:snapToGrid w:val="0"/>
        <w:spacing w:line="360" w:lineRule="auto"/>
        <w:ind w:firstLine="481" w:firstLineChars="200"/>
      </w:pPr>
      <w:r>
        <w:rPr>
          <w:b/>
        </w:rPr>
        <w:t>3</w:t>
      </w:r>
      <w:r>
        <w:rPr>
          <w:rFonts w:hint="eastAsia"/>
        </w:rPr>
        <w:tab/>
      </w:r>
      <w:r>
        <w:rPr>
          <w:rFonts w:hint="eastAsia"/>
        </w:rPr>
        <w:t>混凝土浇筑前金属波纹管应进行牢固定位并严格封堵。对于预制梁中的直线形金属波纹管，可采用直径略小的通长圆钢管穿入其中进行临时固定，临时固定圆钢管应在混凝土初凝后及时抽出（图</w:t>
      </w:r>
      <w:r>
        <w:fldChar w:fldCharType="begin"/>
      </w:r>
      <w:r>
        <w:instrText xml:space="preserve"> </w:instrText>
      </w:r>
      <w:r>
        <w:rPr>
          <w:rFonts w:hint="eastAsia"/>
        </w:rPr>
        <w:instrText xml:space="preserve">REF _Ref86139890 \r \h</w:instrText>
      </w:r>
      <w:r>
        <w:instrText xml:space="preserve"> </w:instrText>
      </w:r>
      <w:r>
        <w:fldChar w:fldCharType="separate"/>
      </w:r>
      <w:r>
        <w:t>6. 3. 5</w:t>
      </w:r>
      <w:r>
        <w:fldChar w:fldCharType="end"/>
      </w:r>
      <w:r>
        <w:rPr>
          <w:rFonts w:hint="eastAsia"/>
        </w:rPr>
        <w:t>）。对于预制梁中的曲线形金属波纹管，可采用定位钢筋绑扎牢固，定位钢筋直径不宜小于10mm，间距不宜大于1.2m。</w:t>
      </w:r>
    </w:p>
    <w:p>
      <w:pPr>
        <w:spacing w:after="80"/>
        <w:ind w:firstLine="496"/>
        <w:jc w:val="center"/>
        <w:rPr>
          <w:sz w:val="21"/>
        </w:rPr>
      </w:pPr>
      <w:r>
        <w:rPr>
          <w:sz w:val="21"/>
        </w:rPr>
        <w:drawing>
          <wp:inline distT="0" distB="0" distL="0" distR="0">
            <wp:extent cx="1466850" cy="1762760"/>
            <wp:effectExtent l="0" t="0" r="0" b="8890"/>
            <wp:docPr id="17" name="图片 17" descr="C:\Users\admin\AppData\Local\Temp\WeChat Files\d926945b4bce52fa80d00b9d0b8fb0f.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C:\Users\admin\AppData\Local\Temp\WeChat Files\d926945b4bce52fa80d00b9d0b8fb0f.png"/>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512162" cy="1817291"/>
                    </a:xfrm>
                    <a:prstGeom prst="rect">
                      <a:avLst/>
                    </a:prstGeom>
                    <a:noFill/>
                    <a:ln>
                      <a:noFill/>
                    </a:ln>
                  </pic:spPr>
                </pic:pic>
              </a:graphicData>
            </a:graphic>
          </wp:inline>
        </w:drawing>
      </w:r>
      <w:r>
        <w:t xml:space="preserve"> </w:t>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6. 3. 5</w:t>
      </w:r>
      <w:r>
        <w:rPr>
          <w:sz w:val="21"/>
        </w:rPr>
        <w:fldChar w:fldCharType="end"/>
      </w:r>
      <w:r>
        <w:rPr>
          <w:sz w:val="21"/>
        </w:rPr>
        <w:t>　预制梁</w:t>
      </w:r>
      <w:r>
        <w:rPr>
          <w:rFonts w:hint="eastAsia"/>
          <w:sz w:val="21"/>
        </w:rPr>
        <w:t>内直线型金属波纹管临时固定</w:t>
      </w:r>
      <w:r>
        <w:rPr>
          <w:sz w:val="21"/>
        </w:rPr>
        <w:t>钢管</w:t>
      </w:r>
    </w:p>
    <w:p>
      <w:pPr>
        <w:tabs>
          <w:tab w:val="left" w:pos="840"/>
        </w:tabs>
        <w:snapToGrid w:val="0"/>
        <w:spacing w:line="360" w:lineRule="auto"/>
        <w:ind w:firstLine="481" w:firstLineChars="200"/>
      </w:pPr>
      <w:r>
        <w:rPr>
          <w:b/>
        </w:rPr>
        <w:t>4</w:t>
      </w:r>
      <w:r>
        <w:rPr>
          <w:rFonts w:hint="eastAsia"/>
        </w:rPr>
        <w:tab/>
      </w:r>
      <w:r>
        <w:rPr>
          <w:rFonts w:hint="eastAsia"/>
        </w:rPr>
        <w:t>柱内预埋的灌浆套筒、耗能钢筋及钢筋连接器应与模板进行刚性固定，钢筋连接器内螺纹应采取封堵措施防止漏浆。</w:t>
      </w:r>
    </w:p>
    <w:p>
      <w:pPr>
        <w:tabs>
          <w:tab w:val="left" w:pos="840"/>
        </w:tabs>
        <w:snapToGrid w:val="0"/>
        <w:spacing w:line="360" w:lineRule="auto"/>
        <w:ind w:firstLine="481" w:firstLineChars="200"/>
      </w:pPr>
      <w:r>
        <w:rPr>
          <w:b/>
        </w:rPr>
        <w:t>5</w:t>
      </w:r>
      <w:r>
        <w:tab/>
      </w:r>
      <w:r>
        <w:t>混</w:t>
      </w:r>
      <w:r>
        <w:rPr>
          <w:rFonts w:hint="eastAsia"/>
        </w:rPr>
        <w:t>凝土浇筑前，应逐项对模具、垫块、支架、钢筋、连接套管、连接件、预埋件、吊具、预留孔洞等进行检查验收，做好隐蔽工程验收记录</w:t>
      </w:r>
      <w:r>
        <w:t>。位置偏差</w:t>
      </w:r>
      <w:r>
        <w:rPr>
          <w:rFonts w:hint="eastAsia"/>
        </w:rPr>
        <w:t>应</w:t>
      </w:r>
      <w:r>
        <w:t>符合表</w:t>
      </w:r>
      <w:r>
        <w:fldChar w:fldCharType="begin"/>
      </w:r>
      <w:r>
        <w:instrText xml:space="preserve"> REF _Ref86139890 \n \h </w:instrText>
      </w:r>
      <w:r>
        <w:fldChar w:fldCharType="separate"/>
      </w:r>
      <w:r>
        <w:t>6. 3. 5</w:t>
      </w:r>
      <w:r>
        <w:fldChar w:fldCharType="end"/>
      </w:r>
      <w:r>
        <w:t>的规定。</w:t>
      </w:r>
    </w:p>
    <w:p>
      <w:pPr>
        <w:pStyle w:val="68"/>
      </w:pPr>
      <w:r>
        <w:t>表</w:t>
      </w:r>
      <w:r>
        <w:fldChar w:fldCharType="begin"/>
      </w:r>
      <w:r>
        <w:instrText xml:space="preserve"> STYLEREF 3 \s </w:instrText>
      </w:r>
      <w:r>
        <w:fldChar w:fldCharType="separate"/>
      </w:r>
      <w:r>
        <w:t>6. 3. 5</w:t>
      </w:r>
      <w:r>
        <w:fldChar w:fldCharType="end"/>
      </w:r>
      <w:r>
        <w:t xml:space="preserve">  钢筋连接器、预埋件、连接件、预留孔洞等的允许偏差</w:t>
      </w:r>
      <w:r>
        <w:rPr>
          <w:rFonts w:hint="eastAsia"/>
        </w:rPr>
        <w:t>及检验方法</w:t>
      </w:r>
      <w:r>
        <w:t>（mm）</w:t>
      </w:r>
    </w:p>
    <w:tbl>
      <w:tblPr>
        <w:tblStyle w:val="8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56"/>
        <w:gridCol w:w="975"/>
        <w:gridCol w:w="4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2" w:type="dxa"/>
            <w:gridSpan w:val="2"/>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项目</w:t>
            </w:r>
          </w:p>
        </w:tc>
        <w:tc>
          <w:tcPr>
            <w:tcW w:w="971"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偏差</w:t>
            </w:r>
          </w:p>
        </w:tc>
        <w:tc>
          <w:tcPr>
            <w:tcW w:w="4659"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restart"/>
            <w:vAlign w:val="center"/>
          </w:tcPr>
          <w:p>
            <w:pPr>
              <w:pStyle w:val="65"/>
              <w:rPr>
                <w:rFonts w:hint="eastAsia" w:ascii="MS Sans Serif" w:hAnsi="MS Sans Serif"/>
              </w:rPr>
            </w:pPr>
            <w:r>
              <w:rPr>
                <w:rFonts w:ascii="MS Sans Serif" w:hAnsi="MS Sans Serif"/>
              </w:rPr>
              <w:t>钢筋直螺纹连接器、钢筋灌浆套筒</w:t>
            </w:r>
          </w:p>
        </w:tc>
        <w:tc>
          <w:tcPr>
            <w:tcW w:w="1654" w:type="dxa"/>
            <w:vAlign w:val="center"/>
          </w:tcPr>
          <w:p>
            <w:pPr>
              <w:pStyle w:val="65"/>
              <w:rPr>
                <w:rFonts w:hint="eastAsia" w:ascii="MS Sans Serif" w:hAnsi="MS Sans Serif"/>
              </w:rPr>
            </w:pPr>
            <w:r>
              <w:rPr>
                <w:rFonts w:ascii="MS Sans Serif" w:hAnsi="MS Sans Serif"/>
              </w:rPr>
              <w:t>中心位置</w:t>
            </w:r>
          </w:p>
        </w:tc>
        <w:tc>
          <w:tcPr>
            <w:tcW w:w="971" w:type="dxa"/>
            <w:vAlign w:val="center"/>
          </w:tcPr>
          <w:p>
            <w:pPr>
              <w:pStyle w:val="65"/>
              <w:rPr>
                <w:rFonts w:hint="eastAsia" w:ascii="MS Sans Serif" w:hAnsi="MS Sans Serif"/>
              </w:rPr>
            </w:pPr>
            <w:r>
              <w:rPr>
                <w:rFonts w:ascii="MS Sans Serif" w:hAnsi="MS Sans Serif"/>
              </w:rPr>
              <w:t>±3</w:t>
            </w:r>
          </w:p>
        </w:tc>
        <w:tc>
          <w:tcPr>
            <w:tcW w:w="4659"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pPr>
              <w:pStyle w:val="65"/>
              <w:rPr>
                <w:rFonts w:hint="eastAsia" w:ascii="MS Sans Serif" w:hAnsi="MS Sans Serif"/>
              </w:rPr>
            </w:pPr>
          </w:p>
        </w:tc>
        <w:tc>
          <w:tcPr>
            <w:tcW w:w="1654" w:type="dxa"/>
            <w:vAlign w:val="center"/>
          </w:tcPr>
          <w:p>
            <w:pPr>
              <w:pStyle w:val="65"/>
              <w:rPr>
                <w:rFonts w:hint="eastAsia" w:ascii="MS Sans Serif" w:hAnsi="MS Sans Serif"/>
              </w:rPr>
            </w:pPr>
            <w:r>
              <w:rPr>
                <w:rFonts w:ascii="MS Sans Serif" w:hAnsi="MS Sans Serif"/>
              </w:rPr>
              <w:t>安装垂直度</w:t>
            </w:r>
          </w:p>
        </w:tc>
        <w:tc>
          <w:tcPr>
            <w:tcW w:w="971" w:type="dxa"/>
            <w:vAlign w:val="center"/>
          </w:tcPr>
          <w:p>
            <w:pPr>
              <w:pStyle w:val="65"/>
              <w:rPr>
                <w:rFonts w:hint="eastAsia" w:ascii="MS Sans Serif" w:hAnsi="MS Sans Serif"/>
              </w:rPr>
            </w:pPr>
            <w:r>
              <w:rPr>
                <w:rFonts w:ascii="MS Sans Serif" w:hAnsi="MS Sans Serif"/>
              </w:rPr>
              <w:t>1/40</w:t>
            </w:r>
          </w:p>
        </w:tc>
        <w:tc>
          <w:tcPr>
            <w:tcW w:w="4659" w:type="dxa"/>
            <w:vAlign w:val="center"/>
          </w:tcPr>
          <w:p>
            <w:pPr>
              <w:pStyle w:val="65"/>
              <w:rPr>
                <w:rFonts w:hint="eastAsia" w:ascii="MS Sans Serif" w:hAnsi="MS Sans Serif"/>
              </w:rPr>
            </w:pPr>
            <w:r>
              <w:rPr>
                <w:rFonts w:ascii="MS Sans Serif" w:hAnsi="MS Sans Serif"/>
              </w:rPr>
              <w:t>拉水平线、竖直线测量两端差值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pPr>
              <w:pStyle w:val="65"/>
              <w:rPr>
                <w:rFonts w:hint="eastAsia" w:ascii="MS Sans Serif" w:hAnsi="MS Sans Serif"/>
              </w:rPr>
            </w:pPr>
          </w:p>
        </w:tc>
        <w:tc>
          <w:tcPr>
            <w:tcW w:w="2625" w:type="dxa"/>
            <w:gridSpan w:val="2"/>
            <w:vAlign w:val="center"/>
          </w:tcPr>
          <w:p>
            <w:pPr>
              <w:pStyle w:val="65"/>
              <w:rPr>
                <w:rFonts w:hint="eastAsia" w:ascii="MS Sans Serif" w:hAnsi="MS Sans Serif"/>
              </w:rPr>
            </w:pPr>
            <w:r>
              <w:rPr>
                <w:rFonts w:ascii="MS Sans Serif" w:hAnsi="MS Sans Serif"/>
              </w:rPr>
              <w:t>连接器与钢筋连接螺纹外露长度；钢筋连接器、钢筋灌浆套筒端口封闭</w:t>
            </w:r>
          </w:p>
        </w:tc>
        <w:tc>
          <w:tcPr>
            <w:tcW w:w="4659" w:type="dxa"/>
            <w:vAlign w:val="center"/>
          </w:tcPr>
          <w:p>
            <w:pPr>
              <w:pStyle w:val="65"/>
              <w:rPr>
                <w:rFonts w:hint="eastAsia" w:ascii="MS Sans Serif" w:hAnsi="MS Sans Serif"/>
              </w:rPr>
            </w:pPr>
            <w:r>
              <w:rPr>
                <w:rFonts w:ascii="MS Sans Serif" w:hAnsi="MS Sans Serif"/>
              </w:rPr>
              <w:t>目视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restart"/>
            <w:vAlign w:val="center"/>
          </w:tcPr>
          <w:p>
            <w:pPr>
              <w:pStyle w:val="65"/>
              <w:rPr>
                <w:rFonts w:hint="eastAsia" w:ascii="MS Sans Serif" w:hAnsi="MS Sans Serif"/>
              </w:rPr>
            </w:pPr>
            <w:r>
              <w:rPr>
                <w:rFonts w:ascii="MS Sans Serif" w:hAnsi="MS Sans Serif"/>
              </w:rPr>
              <w:t>插筋、螺栓、吊具等预埋件</w:t>
            </w:r>
          </w:p>
        </w:tc>
        <w:tc>
          <w:tcPr>
            <w:tcW w:w="1654" w:type="dxa"/>
            <w:vAlign w:val="center"/>
          </w:tcPr>
          <w:p>
            <w:pPr>
              <w:pStyle w:val="65"/>
              <w:rPr>
                <w:rFonts w:hint="eastAsia" w:ascii="MS Sans Serif" w:hAnsi="MS Sans Serif"/>
              </w:rPr>
            </w:pPr>
            <w:r>
              <w:rPr>
                <w:rFonts w:ascii="MS Sans Serif" w:hAnsi="MS Sans Serif"/>
              </w:rPr>
              <w:t>中心位置</w:t>
            </w:r>
          </w:p>
        </w:tc>
        <w:tc>
          <w:tcPr>
            <w:tcW w:w="971" w:type="dxa"/>
            <w:vAlign w:val="center"/>
          </w:tcPr>
          <w:p>
            <w:pPr>
              <w:pStyle w:val="65"/>
              <w:rPr>
                <w:rFonts w:hint="eastAsia" w:ascii="MS Sans Serif" w:hAnsi="MS Sans Serif"/>
              </w:rPr>
            </w:pPr>
            <w:r>
              <w:rPr>
                <w:rFonts w:ascii="MS Sans Serif" w:hAnsi="MS Sans Serif"/>
              </w:rPr>
              <w:t>±5</w:t>
            </w:r>
          </w:p>
        </w:tc>
        <w:tc>
          <w:tcPr>
            <w:tcW w:w="4659"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pPr>
              <w:pStyle w:val="65"/>
              <w:rPr>
                <w:rFonts w:hint="eastAsia" w:ascii="MS Sans Serif" w:hAnsi="MS Sans Serif"/>
              </w:rPr>
            </w:pPr>
          </w:p>
        </w:tc>
        <w:tc>
          <w:tcPr>
            <w:tcW w:w="1654" w:type="dxa"/>
            <w:vAlign w:val="center"/>
          </w:tcPr>
          <w:p>
            <w:pPr>
              <w:pStyle w:val="65"/>
              <w:rPr>
                <w:rFonts w:hint="eastAsia" w:ascii="MS Sans Serif" w:hAnsi="MS Sans Serif"/>
              </w:rPr>
            </w:pPr>
            <w:r>
              <w:rPr>
                <w:rFonts w:ascii="MS Sans Serif" w:hAnsi="MS Sans Serif"/>
              </w:rPr>
              <w:t>外漏长度</w:t>
            </w:r>
          </w:p>
        </w:tc>
        <w:tc>
          <w:tcPr>
            <w:tcW w:w="971" w:type="dxa"/>
            <w:vAlign w:val="center"/>
          </w:tcPr>
          <w:p>
            <w:pPr>
              <w:pStyle w:val="65"/>
              <w:rPr>
                <w:rFonts w:hint="eastAsia" w:ascii="MS Sans Serif" w:hAnsi="MS Sans Serif"/>
              </w:rPr>
            </w:pPr>
            <w:r>
              <w:rPr>
                <w:rFonts w:ascii="MS Sans Serif" w:hAnsi="MS Sans Serif"/>
              </w:rPr>
              <w:t>+5～0</w:t>
            </w:r>
          </w:p>
        </w:tc>
        <w:tc>
          <w:tcPr>
            <w:tcW w:w="4659"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pPr>
              <w:pStyle w:val="65"/>
              <w:rPr>
                <w:rFonts w:hint="eastAsia" w:ascii="MS Sans Serif" w:hAnsi="MS Sans Serif"/>
              </w:rPr>
            </w:pPr>
          </w:p>
        </w:tc>
        <w:tc>
          <w:tcPr>
            <w:tcW w:w="1654" w:type="dxa"/>
            <w:vAlign w:val="center"/>
          </w:tcPr>
          <w:p>
            <w:pPr>
              <w:pStyle w:val="65"/>
              <w:rPr>
                <w:rFonts w:hint="eastAsia" w:ascii="MS Sans Serif" w:hAnsi="MS Sans Serif"/>
              </w:rPr>
            </w:pPr>
            <w:r>
              <w:rPr>
                <w:rFonts w:ascii="MS Sans Serif" w:hAnsi="MS Sans Serif"/>
              </w:rPr>
              <w:t>安装垂直度</w:t>
            </w:r>
          </w:p>
        </w:tc>
        <w:tc>
          <w:tcPr>
            <w:tcW w:w="971" w:type="dxa"/>
            <w:vAlign w:val="center"/>
          </w:tcPr>
          <w:p>
            <w:pPr>
              <w:pStyle w:val="65"/>
              <w:rPr>
                <w:rFonts w:hint="eastAsia" w:ascii="MS Sans Serif" w:hAnsi="MS Sans Serif"/>
              </w:rPr>
            </w:pPr>
            <w:r>
              <w:rPr>
                <w:rFonts w:ascii="MS Sans Serif" w:hAnsi="MS Sans Serif"/>
              </w:rPr>
              <w:t>1/40</w:t>
            </w:r>
          </w:p>
        </w:tc>
        <w:tc>
          <w:tcPr>
            <w:tcW w:w="4659" w:type="dxa"/>
            <w:vAlign w:val="center"/>
          </w:tcPr>
          <w:p>
            <w:pPr>
              <w:pStyle w:val="65"/>
              <w:rPr>
                <w:rFonts w:hint="eastAsia" w:ascii="MS Sans Serif" w:hAnsi="MS Sans Serif"/>
              </w:rPr>
            </w:pPr>
            <w:r>
              <w:rPr>
                <w:rFonts w:ascii="MS Sans Serif" w:hAnsi="MS Sans Serif"/>
              </w:rPr>
              <w:t>拉水平线、竖直线测量两端差值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restart"/>
            <w:vAlign w:val="center"/>
          </w:tcPr>
          <w:p>
            <w:pPr>
              <w:pStyle w:val="65"/>
              <w:rPr>
                <w:rFonts w:hint="eastAsia" w:ascii="MS Sans Serif" w:hAnsi="MS Sans Serif"/>
              </w:rPr>
            </w:pPr>
            <w:r>
              <w:rPr>
                <w:rFonts w:ascii="MS Sans Serif" w:hAnsi="MS Sans Serif"/>
              </w:rPr>
              <w:t>预留孔洞</w:t>
            </w:r>
          </w:p>
        </w:tc>
        <w:tc>
          <w:tcPr>
            <w:tcW w:w="1654" w:type="dxa"/>
            <w:vAlign w:val="center"/>
          </w:tcPr>
          <w:p>
            <w:pPr>
              <w:pStyle w:val="65"/>
              <w:rPr>
                <w:rFonts w:hint="eastAsia" w:ascii="MS Sans Serif" w:hAnsi="MS Sans Serif"/>
              </w:rPr>
            </w:pPr>
            <w:r>
              <w:rPr>
                <w:rFonts w:ascii="MS Sans Serif" w:hAnsi="MS Sans Serif"/>
              </w:rPr>
              <w:t>中心位置</w:t>
            </w:r>
          </w:p>
        </w:tc>
        <w:tc>
          <w:tcPr>
            <w:tcW w:w="971" w:type="dxa"/>
            <w:vAlign w:val="center"/>
          </w:tcPr>
          <w:p>
            <w:pPr>
              <w:pStyle w:val="65"/>
              <w:rPr>
                <w:rFonts w:hint="eastAsia" w:ascii="MS Sans Serif" w:hAnsi="MS Sans Serif"/>
              </w:rPr>
            </w:pPr>
            <w:r>
              <w:rPr>
                <w:rFonts w:ascii="MS Sans Serif" w:hAnsi="MS Sans Serif"/>
              </w:rPr>
              <w:t>±5</w:t>
            </w:r>
          </w:p>
        </w:tc>
        <w:tc>
          <w:tcPr>
            <w:tcW w:w="4659"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Merge w:val="continue"/>
            <w:vAlign w:val="center"/>
          </w:tcPr>
          <w:p>
            <w:pPr>
              <w:pStyle w:val="65"/>
              <w:rPr>
                <w:rFonts w:hint="eastAsia" w:ascii="MS Sans Serif" w:hAnsi="MS Sans Serif"/>
              </w:rPr>
            </w:pPr>
          </w:p>
        </w:tc>
        <w:tc>
          <w:tcPr>
            <w:tcW w:w="1654" w:type="dxa"/>
            <w:vAlign w:val="center"/>
          </w:tcPr>
          <w:p>
            <w:pPr>
              <w:pStyle w:val="65"/>
              <w:rPr>
                <w:rFonts w:hint="eastAsia" w:ascii="MS Sans Serif" w:hAnsi="MS Sans Serif"/>
              </w:rPr>
            </w:pPr>
            <w:r>
              <w:rPr>
                <w:rFonts w:ascii="MS Sans Serif" w:hAnsi="MS Sans Serif"/>
              </w:rPr>
              <w:t>尺寸</w:t>
            </w:r>
          </w:p>
        </w:tc>
        <w:tc>
          <w:tcPr>
            <w:tcW w:w="971" w:type="dxa"/>
            <w:vAlign w:val="center"/>
          </w:tcPr>
          <w:p>
            <w:pPr>
              <w:pStyle w:val="65"/>
              <w:rPr>
                <w:rFonts w:hint="eastAsia" w:ascii="MS Sans Serif" w:hAnsi="MS Sans Serif"/>
              </w:rPr>
            </w:pPr>
            <w:r>
              <w:rPr>
                <w:rFonts w:ascii="MS Sans Serif" w:hAnsi="MS Sans Serif"/>
              </w:rPr>
              <w:t>+8,0</w:t>
            </w:r>
          </w:p>
        </w:tc>
        <w:tc>
          <w:tcPr>
            <w:tcW w:w="4659"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8" w:type="dxa"/>
            <w:vAlign w:val="center"/>
          </w:tcPr>
          <w:p>
            <w:pPr>
              <w:pStyle w:val="65"/>
              <w:rPr>
                <w:rFonts w:hint="eastAsia" w:ascii="MS Sans Serif" w:hAnsi="MS Sans Serif"/>
              </w:rPr>
            </w:pPr>
            <w:r>
              <w:rPr>
                <w:rFonts w:ascii="MS Sans Serif" w:hAnsi="MS Sans Serif"/>
              </w:rPr>
              <w:t>其</w:t>
            </w:r>
            <w:r>
              <w:rPr>
                <w:rFonts w:hint="eastAsia" w:ascii="MS Sans Serif" w:hAnsi="MS Sans Serif"/>
              </w:rPr>
              <w:t>他预埋</w:t>
            </w:r>
            <w:r>
              <w:rPr>
                <w:rFonts w:ascii="MS Sans Serif" w:hAnsi="MS Sans Serif"/>
              </w:rPr>
              <w:t>件</w:t>
            </w:r>
          </w:p>
        </w:tc>
        <w:tc>
          <w:tcPr>
            <w:tcW w:w="2625" w:type="dxa"/>
            <w:gridSpan w:val="2"/>
            <w:vAlign w:val="center"/>
          </w:tcPr>
          <w:p>
            <w:pPr>
              <w:pStyle w:val="65"/>
              <w:rPr>
                <w:rFonts w:hint="eastAsia" w:ascii="MS Sans Serif" w:hAnsi="MS Sans Serif"/>
              </w:rPr>
            </w:pPr>
            <w:r>
              <w:rPr>
                <w:rFonts w:ascii="MS Sans Serif" w:hAnsi="MS Sans Serif"/>
              </w:rPr>
              <w:t>种类、数量、位置、固定</w:t>
            </w:r>
            <w:r>
              <w:rPr>
                <w:rFonts w:hint="eastAsia" w:ascii="MS Sans Serif" w:hAnsi="MS Sans Serif"/>
              </w:rPr>
              <w:t>等</w:t>
            </w:r>
            <w:r>
              <w:rPr>
                <w:rFonts w:ascii="MS Sans Serif" w:hAnsi="MS Sans Serif"/>
              </w:rPr>
              <w:t>安装状况</w:t>
            </w:r>
          </w:p>
        </w:tc>
        <w:tc>
          <w:tcPr>
            <w:tcW w:w="4659" w:type="dxa"/>
            <w:vAlign w:val="center"/>
          </w:tcPr>
          <w:p>
            <w:pPr>
              <w:pStyle w:val="65"/>
              <w:rPr>
                <w:rFonts w:hint="eastAsia" w:ascii="MS Sans Serif" w:hAnsi="MS Sans Serif"/>
              </w:rPr>
            </w:pPr>
            <w:r>
              <w:rPr>
                <w:rFonts w:ascii="MS Sans Serif" w:hAnsi="MS Sans Serif"/>
              </w:rPr>
              <w:t>与构件制作图对照及目视</w:t>
            </w:r>
          </w:p>
        </w:tc>
      </w:tr>
    </w:tbl>
    <w:p>
      <w:bookmarkStart w:id="400" w:name="_Toc86067960"/>
      <w:bookmarkStart w:id="401" w:name="_Ref87344583"/>
    </w:p>
    <w:p>
      <w:pPr>
        <w:pStyle w:val="4"/>
      </w:pPr>
      <w:bookmarkStart w:id="402" w:name="_Ref172618104"/>
      <w:bookmarkStart w:id="403" w:name="_Ref185944624"/>
      <w:r>
        <w:rPr>
          <w:rFonts w:hint="eastAsia"/>
        </w:rPr>
        <w:t>预制构件脱模起吊时，同条件养护试块的立方体抗压强度值应满足设计要求，且不应小于15N/mm</w:t>
      </w:r>
      <w:r>
        <w:rPr>
          <w:rFonts w:hint="eastAsia"/>
          <w:vertAlign w:val="superscript"/>
        </w:rPr>
        <w:t>2</w:t>
      </w:r>
      <w:r>
        <w:rPr>
          <w:rFonts w:hint="eastAsia"/>
        </w:rPr>
        <w:t>。</w:t>
      </w:r>
    </w:p>
    <w:p>
      <w:pPr>
        <w:pStyle w:val="4"/>
      </w:pPr>
      <w:r>
        <w:t>预制构件的成品检验应符合下列规定：</w:t>
      </w:r>
      <w:bookmarkEnd w:id="400"/>
      <w:bookmarkEnd w:id="401"/>
      <w:bookmarkEnd w:id="402"/>
      <w:bookmarkEnd w:id="403"/>
    </w:p>
    <w:p>
      <w:pPr>
        <w:tabs>
          <w:tab w:val="left" w:pos="840"/>
        </w:tabs>
        <w:snapToGrid w:val="0"/>
        <w:spacing w:line="360" w:lineRule="auto"/>
        <w:ind w:firstLine="481" w:firstLineChars="200"/>
      </w:pPr>
      <w:r>
        <w:rPr>
          <w:b/>
        </w:rPr>
        <w:t>1</w:t>
      </w:r>
      <w:r>
        <w:tab/>
      </w:r>
      <w:r>
        <w:t>预</w:t>
      </w:r>
      <w:r>
        <w:rPr>
          <w:rFonts w:hint="eastAsia"/>
        </w:rPr>
        <w:t>制柱应重点检查预埋金属波纹管、预埋钢筋连接器和预埋套筒的位置。应检查预埋金属波纹管、钢筋连接器和灌浆套筒内部不应有异物或堵塞。预制柱预埋直螺纹连接器外露部分丝口深度应符合钢筋连接要求，且应有保护帽拧紧保护。</w:t>
      </w:r>
    </w:p>
    <w:p>
      <w:pPr>
        <w:tabs>
          <w:tab w:val="left" w:pos="840"/>
        </w:tabs>
        <w:snapToGrid w:val="0"/>
        <w:spacing w:line="360" w:lineRule="auto"/>
        <w:ind w:firstLine="481" w:firstLineChars="200"/>
      </w:pPr>
      <w:r>
        <w:rPr>
          <w:rFonts w:hint="eastAsia"/>
          <w:b/>
          <w:bCs/>
        </w:rPr>
        <w:t>2</w:t>
      </w:r>
      <w:r>
        <w:rPr>
          <w:b/>
          <w:bCs/>
        </w:rPr>
        <w:tab/>
      </w:r>
      <w:r>
        <w:rPr>
          <w:rFonts w:hint="eastAsia"/>
          <w:bCs/>
        </w:rPr>
        <w:t>预制梁应重点检查预埋金属波纹管位置及露出长度、梁端箍筋露出高度、箍筋水平位置和梁长度。</w:t>
      </w:r>
      <w:r>
        <w:rPr>
          <w:rFonts w:hint="eastAsia"/>
        </w:rPr>
        <w:t>预埋金属波纹管应平直，管内部不应有异物堵塞；</w:t>
      </w:r>
      <w:r>
        <w:rPr>
          <w:rFonts w:hint="eastAsia"/>
          <w:bCs/>
        </w:rPr>
        <w:t>梁端部L/3范围内的箍筋外伸高度</w:t>
      </w:r>
      <w:r>
        <w:t>（图</w:t>
      </w:r>
      <w:r>
        <w:fldChar w:fldCharType="begin"/>
      </w:r>
      <w:r>
        <w:instrText xml:space="preserve"> REF _Ref185944624 \r \h </w:instrText>
      </w:r>
      <w:r>
        <w:fldChar w:fldCharType="separate"/>
      </w:r>
      <w:r>
        <w:t>6. 3. 6</w:t>
      </w:r>
      <w:r>
        <w:fldChar w:fldCharType="end"/>
      </w:r>
      <w:r>
        <w:t>）</w:t>
      </w:r>
      <w:r>
        <w:rPr>
          <w:rFonts w:hint="eastAsia"/>
        </w:rPr>
        <w:t>向上允许偏差为</w:t>
      </w:r>
      <w:r>
        <w:t>+10mm</w:t>
      </w:r>
      <w:r>
        <w:rPr>
          <w:rFonts w:hint="eastAsia"/>
        </w:rPr>
        <w:t>，向下允许偏差为</w:t>
      </w:r>
      <w:r>
        <w:t>5mm</w:t>
      </w:r>
      <w:r>
        <w:rPr>
          <w:rFonts w:hint="eastAsia"/>
        </w:rPr>
        <w:t>；箍筋水平位置偏差不应大于±</w:t>
      </w:r>
      <w:r>
        <w:t>5mm。</w:t>
      </w:r>
    </w:p>
    <w:p>
      <w:pPr>
        <w:tabs>
          <w:tab w:val="left" w:pos="840"/>
        </w:tabs>
        <w:snapToGrid w:val="0"/>
        <w:spacing w:line="360" w:lineRule="auto"/>
        <w:ind w:firstLine="480" w:firstLineChars="200"/>
        <w:jc w:val="center"/>
        <w:rPr>
          <w:b/>
          <w:sz w:val="18"/>
          <w:szCs w:val="18"/>
        </w:rPr>
      </w:pPr>
      <w:r>
        <w:rPr>
          <w:rFonts w:hint="eastAsia"/>
        </w:rPr>
        <w:drawing>
          <wp:inline distT="0" distB="0" distL="114300" distR="114300">
            <wp:extent cx="1454150" cy="1437640"/>
            <wp:effectExtent l="0" t="0" r="0" b="0"/>
            <wp:docPr id="28" name="图片 28"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片2"/>
                    <pic:cNvPicPr>
                      <a:picLocks noChangeAspect="true"/>
                    </pic:cNvPicPr>
                  </pic:nvPicPr>
                  <pic:blipFill>
                    <a:blip r:embed="rId38"/>
                    <a:stretch>
                      <a:fillRect/>
                    </a:stretch>
                  </pic:blipFill>
                  <pic:spPr>
                    <a:xfrm>
                      <a:off x="0" y="0"/>
                      <a:ext cx="1479891" cy="1463713"/>
                    </a:xfrm>
                    <a:prstGeom prst="rect">
                      <a:avLst/>
                    </a:prstGeom>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6. 3. 7</w:t>
      </w:r>
      <w:r>
        <w:rPr>
          <w:sz w:val="21"/>
        </w:rPr>
        <w:fldChar w:fldCharType="end"/>
      </w:r>
      <w:r>
        <w:rPr>
          <w:sz w:val="21"/>
        </w:rPr>
        <w:t xml:space="preserve"> 预制梁端</w:t>
      </w:r>
      <w:r>
        <w:rPr>
          <w:rFonts w:hint="eastAsia"/>
          <w:sz w:val="21"/>
        </w:rPr>
        <w:t>部</w:t>
      </w:r>
      <w:r>
        <w:rPr>
          <w:sz w:val="21"/>
        </w:rPr>
        <w:t>箍筋露出高度</w:t>
      </w:r>
    </w:p>
    <w:p>
      <w:pPr>
        <w:tabs>
          <w:tab w:val="left" w:pos="840"/>
        </w:tabs>
        <w:snapToGrid w:val="0"/>
        <w:spacing w:line="360" w:lineRule="auto"/>
        <w:ind w:firstLine="481" w:firstLineChars="200"/>
      </w:pPr>
      <w:r>
        <w:rPr>
          <w:rFonts w:hint="eastAsia"/>
          <w:b/>
        </w:rPr>
        <w:t>3</w:t>
      </w:r>
      <w:r>
        <w:tab/>
      </w:r>
      <w:bookmarkStart w:id="404" w:name="_Toc458608236"/>
      <w:r>
        <w:rPr>
          <w:rFonts w:hint="eastAsia"/>
        </w:rPr>
        <w:t>梁端面预应力孔道中心的允许偏差为5mm，梁内部预应力孔道中心的允许偏差为20mm，孔内径的允许偏差为+10mm至-5mm。</w:t>
      </w:r>
    </w:p>
    <w:p>
      <w:pPr>
        <w:tabs>
          <w:tab w:val="left" w:pos="840"/>
        </w:tabs>
        <w:snapToGrid w:val="0"/>
        <w:spacing w:line="360" w:lineRule="auto"/>
        <w:ind w:firstLine="481" w:firstLineChars="200"/>
      </w:pPr>
      <w:r>
        <w:rPr>
          <w:rFonts w:hint="eastAsia"/>
          <w:b/>
        </w:rPr>
        <w:t>4</w:t>
      </w:r>
      <w:r>
        <w:rPr>
          <w:rFonts w:hint="eastAsia"/>
        </w:rPr>
        <w:tab/>
      </w:r>
      <w:r>
        <w:rPr>
          <w:rFonts w:hint="eastAsia"/>
        </w:rPr>
        <w:t>预制构件不应有影响安装、使用功能和结构性能的尺寸偏差，对超过尺寸偏差且影响结构性能和安装使用功能的部位应依规进行处理，并重新检查验收。预制构件尺寸允许偏差应符合</w:t>
      </w:r>
      <w:r>
        <w:t>表</w:t>
      </w:r>
      <w:r>
        <w:fldChar w:fldCharType="begin"/>
      </w:r>
      <w:r>
        <w:instrText xml:space="preserve"> STYLEREF 3 \s </w:instrText>
      </w:r>
      <w:r>
        <w:fldChar w:fldCharType="separate"/>
      </w:r>
      <w:r>
        <w:t>6. 3. 7</w:t>
      </w:r>
      <w:r>
        <w:fldChar w:fldCharType="end"/>
      </w:r>
      <w:r>
        <w:t>的规定。</w:t>
      </w:r>
    </w:p>
    <w:bookmarkEnd w:id="404"/>
    <w:p>
      <w:pPr>
        <w:pStyle w:val="68"/>
      </w:pPr>
      <w:r>
        <w:t>表</w:t>
      </w:r>
      <w:r>
        <w:fldChar w:fldCharType="begin"/>
      </w:r>
      <w:r>
        <w:instrText xml:space="preserve"> STYLEREF 3 \s </w:instrText>
      </w:r>
      <w:r>
        <w:fldChar w:fldCharType="separate"/>
      </w:r>
      <w:r>
        <w:t>6. 3. 7</w:t>
      </w:r>
      <w:r>
        <w:fldChar w:fldCharType="end"/>
      </w:r>
      <w:r>
        <w:t xml:space="preserve"> 预制构件尺寸允许偏差</w:t>
      </w:r>
      <w:r>
        <w:rPr>
          <w:rFonts w:hint="eastAsia"/>
        </w:rPr>
        <w:t>及检验方法</w:t>
      </w:r>
      <w:r>
        <w:t>（mm）</w:t>
      </w:r>
    </w:p>
    <w:tbl>
      <w:tblPr>
        <w:tblStyle w:val="8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884"/>
        <w:gridCol w:w="2175"/>
        <w:gridCol w:w="1543"/>
        <w:gridCol w:w="2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7" w:type="dxa"/>
            <w:gridSpan w:val="3"/>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检查项目</w:t>
            </w:r>
          </w:p>
        </w:tc>
        <w:tc>
          <w:tcPr>
            <w:tcW w:w="1498"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允许偏差</w:t>
            </w:r>
          </w:p>
        </w:tc>
        <w:tc>
          <w:tcPr>
            <w:tcW w:w="2528"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检</w:t>
            </w:r>
            <w:r>
              <w:rPr>
                <w:rFonts w:hint="eastAsia" w:ascii="MS Sans Serif" w:hAnsi="MS Sans Serif" w:eastAsia="宋体"/>
                <w:b/>
              </w:rPr>
              <w:t>验</w:t>
            </w:r>
            <w:r>
              <w:rPr>
                <w:rFonts w:ascii="MS Sans Serif" w:hAnsi="MS Sans Serif" w:eastAsia="宋体"/>
                <w:b/>
              </w:rPr>
              <w:t>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长度</w:t>
            </w:r>
          </w:p>
        </w:tc>
        <w:tc>
          <w:tcPr>
            <w:tcW w:w="858" w:type="dxa"/>
            <w:vMerge w:val="restart"/>
            <w:vAlign w:val="center"/>
          </w:tcPr>
          <w:p>
            <w:pPr>
              <w:pStyle w:val="65"/>
              <w:rPr>
                <w:rFonts w:hint="eastAsia" w:ascii="MS Sans Serif" w:hAnsi="MS Sans Serif"/>
              </w:rPr>
            </w:pPr>
            <w:r>
              <w:rPr>
                <w:rFonts w:hint="eastAsia" w:ascii="MS Sans Serif" w:hAnsi="MS Sans Serif"/>
              </w:rPr>
              <w:t xml:space="preserve">  </w:t>
            </w:r>
            <w:r>
              <w:rPr>
                <w:rFonts w:ascii="MS Sans Serif" w:hAnsi="MS Sans Serif"/>
              </w:rPr>
              <w:t>梁</w:t>
            </w:r>
            <w:r>
              <w:rPr>
                <w:rFonts w:hint="eastAsia" w:ascii="MS Sans Serif" w:hAnsi="MS Sans Serif"/>
              </w:rPr>
              <w:t>、</w:t>
            </w:r>
            <w:r>
              <w:rPr>
                <w:rFonts w:ascii="MS Sans Serif" w:hAnsi="MS Sans Serif"/>
              </w:rPr>
              <w:t>板、柱</w:t>
            </w:r>
          </w:p>
        </w:tc>
        <w:tc>
          <w:tcPr>
            <w:tcW w:w="2112" w:type="dxa"/>
            <w:vAlign w:val="center"/>
          </w:tcPr>
          <w:p>
            <w:pPr>
              <w:pStyle w:val="65"/>
              <w:rPr>
                <w:rFonts w:hint="eastAsia" w:ascii="MS Sans Serif" w:hAnsi="MS Sans Serif"/>
              </w:rPr>
            </w:pPr>
            <w:r>
              <w:rPr>
                <w:rFonts w:ascii="MS Sans Serif" w:hAnsi="MS Sans Serif"/>
              </w:rPr>
              <w:t>＜12m</w:t>
            </w:r>
          </w:p>
        </w:tc>
        <w:tc>
          <w:tcPr>
            <w:tcW w:w="1498" w:type="dxa"/>
            <w:vAlign w:val="center"/>
          </w:tcPr>
          <w:p>
            <w:pPr>
              <w:pStyle w:val="65"/>
              <w:rPr>
                <w:rFonts w:hint="eastAsia" w:ascii="MS Sans Serif" w:hAnsi="MS Sans Serif"/>
              </w:rPr>
            </w:pPr>
            <w:r>
              <w:rPr>
                <w:rFonts w:ascii="MS Sans Serif" w:hAnsi="MS Sans Serif"/>
              </w:rPr>
              <w:t>-</w:t>
            </w:r>
            <w:r>
              <w:rPr>
                <w:rFonts w:hint="eastAsia" w:ascii="MS Sans Serif" w:hAnsi="MS Sans Serif"/>
              </w:rPr>
              <w:t>5</w:t>
            </w:r>
            <w:r>
              <w:rPr>
                <w:rFonts w:ascii="MS Sans Serif" w:hAnsi="MS Sans Serif"/>
              </w:rPr>
              <w:t>，</w:t>
            </w:r>
            <w:r>
              <w:rPr>
                <w:rFonts w:hint="eastAsia" w:ascii="MS Sans Serif" w:hAnsi="MS Sans Serif"/>
              </w:rPr>
              <w:t>0</w:t>
            </w:r>
          </w:p>
        </w:tc>
        <w:tc>
          <w:tcPr>
            <w:tcW w:w="2528" w:type="dxa"/>
            <w:vMerge w:val="restart"/>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858" w:type="dxa"/>
            <w:vMerge w:val="continue"/>
            <w:vAlign w:val="center"/>
          </w:tcPr>
          <w:p>
            <w:pPr>
              <w:pStyle w:val="65"/>
              <w:rPr>
                <w:rFonts w:hint="eastAsia" w:ascii="MS Sans Serif" w:hAnsi="MS Sans Serif"/>
              </w:rPr>
            </w:pPr>
          </w:p>
        </w:tc>
        <w:tc>
          <w:tcPr>
            <w:tcW w:w="2112" w:type="dxa"/>
            <w:vAlign w:val="center"/>
          </w:tcPr>
          <w:p>
            <w:pPr>
              <w:pStyle w:val="65"/>
              <w:rPr>
                <w:rFonts w:hint="eastAsia" w:ascii="MS Sans Serif" w:hAnsi="MS Sans Serif"/>
              </w:rPr>
            </w:pPr>
            <w:r>
              <w:rPr>
                <w:rFonts w:ascii="MS Sans Serif" w:hAnsi="MS Sans Serif"/>
              </w:rPr>
              <w:t>≥12m且＜18m</w:t>
            </w:r>
          </w:p>
        </w:tc>
        <w:tc>
          <w:tcPr>
            <w:tcW w:w="1498" w:type="dxa"/>
            <w:vAlign w:val="center"/>
          </w:tcPr>
          <w:p>
            <w:pPr>
              <w:pStyle w:val="65"/>
              <w:rPr>
                <w:rFonts w:hint="eastAsia" w:ascii="MS Sans Serif" w:hAnsi="MS Sans Serif"/>
              </w:rPr>
            </w:pPr>
            <w:r>
              <w:rPr>
                <w:rFonts w:ascii="MS Sans Serif" w:hAnsi="MS Sans Serif"/>
              </w:rPr>
              <w:t>-</w:t>
            </w:r>
            <w:r>
              <w:rPr>
                <w:rFonts w:hint="eastAsia" w:ascii="MS Sans Serif" w:hAnsi="MS Sans Serif"/>
              </w:rPr>
              <w:t>10</w:t>
            </w:r>
            <w:r>
              <w:rPr>
                <w:rFonts w:ascii="MS Sans Serif" w:hAnsi="MS Sans Serif"/>
              </w:rPr>
              <w:t>，</w:t>
            </w:r>
            <w:r>
              <w:rPr>
                <w:rFonts w:hint="eastAsia"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858" w:type="dxa"/>
            <w:vMerge w:val="continue"/>
            <w:vAlign w:val="center"/>
          </w:tcPr>
          <w:p>
            <w:pPr>
              <w:pStyle w:val="65"/>
              <w:rPr>
                <w:rFonts w:hint="eastAsia" w:ascii="MS Sans Serif" w:hAnsi="MS Sans Serif"/>
              </w:rPr>
            </w:pPr>
          </w:p>
        </w:tc>
        <w:tc>
          <w:tcPr>
            <w:tcW w:w="2112" w:type="dxa"/>
            <w:vAlign w:val="center"/>
          </w:tcPr>
          <w:p>
            <w:pPr>
              <w:pStyle w:val="65"/>
              <w:rPr>
                <w:rFonts w:hint="eastAsia" w:ascii="MS Sans Serif" w:hAnsi="MS Sans Serif"/>
              </w:rPr>
            </w:pPr>
            <w:r>
              <w:rPr>
                <w:rFonts w:ascii="MS Sans Serif" w:hAnsi="MS Sans Serif"/>
              </w:rPr>
              <w:t>≥18m</w:t>
            </w:r>
          </w:p>
        </w:tc>
        <w:tc>
          <w:tcPr>
            <w:tcW w:w="1498" w:type="dxa"/>
            <w:vAlign w:val="center"/>
          </w:tcPr>
          <w:p>
            <w:pPr>
              <w:pStyle w:val="65"/>
              <w:rPr>
                <w:rFonts w:hint="eastAsia" w:ascii="MS Sans Serif" w:hAnsi="MS Sans Serif"/>
              </w:rPr>
            </w:pPr>
            <w:r>
              <w:rPr>
                <w:rFonts w:ascii="MS Sans Serif" w:hAnsi="MS Sans Serif"/>
              </w:rPr>
              <w:t>-20，10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多节柱预埋金属波纹管</w:t>
            </w:r>
          </w:p>
          <w:p>
            <w:pPr>
              <w:pStyle w:val="65"/>
              <w:rPr>
                <w:rFonts w:hint="eastAsia" w:ascii="MS Sans Serif" w:hAnsi="MS Sans Serif"/>
              </w:rPr>
            </w:pPr>
            <w:r>
              <w:rPr>
                <w:rFonts w:ascii="MS Sans Serif" w:hAnsi="MS Sans Serif"/>
              </w:rPr>
              <w:t>孔</w:t>
            </w:r>
            <w:r>
              <w:rPr>
                <w:rFonts w:hint="eastAsia" w:ascii="MS Sans Serif" w:hAnsi="MS Sans Serif"/>
              </w:rPr>
              <w:t>中心</w:t>
            </w:r>
            <w:r>
              <w:rPr>
                <w:rFonts w:ascii="MS Sans Serif" w:hAnsi="MS Sans Serif"/>
              </w:rPr>
              <w:t>距</w:t>
            </w:r>
          </w:p>
        </w:tc>
        <w:tc>
          <w:tcPr>
            <w:tcW w:w="1498" w:type="dxa"/>
            <w:vAlign w:val="center"/>
          </w:tcPr>
          <w:p>
            <w:pPr>
              <w:pStyle w:val="65"/>
              <w:rPr>
                <w:rFonts w:hint="eastAsia" w:ascii="MS Sans Serif" w:hAnsi="MS Sans Serif"/>
              </w:rPr>
            </w:pPr>
            <w:r>
              <w:rPr>
                <w:rFonts w:ascii="MS Sans Serif" w:hAnsi="MS Sans Serif"/>
              </w:rPr>
              <w:t>±3</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hint="eastAsia" w:ascii="MS Sans Serif" w:hAnsi="MS Sans Serif"/>
              </w:rPr>
              <w:t>预制框架梁柱预埋金属波纹管端部外伸长度</w:t>
            </w:r>
          </w:p>
        </w:tc>
        <w:tc>
          <w:tcPr>
            <w:tcW w:w="1498" w:type="dxa"/>
            <w:vAlign w:val="center"/>
          </w:tcPr>
          <w:p>
            <w:pPr>
              <w:pStyle w:val="65"/>
              <w:rPr>
                <w:rFonts w:hint="eastAsia" w:ascii="MS Sans Serif" w:hAnsi="MS Sans Serif"/>
              </w:rPr>
            </w:pPr>
            <w:r>
              <w:rPr>
                <w:rFonts w:hint="eastAsia" w:ascii="MS Sans Serif" w:hAnsi="MS Sans Serif"/>
              </w:rPr>
              <w:t>+20，0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宽</w:t>
            </w:r>
            <w:r>
              <w:rPr>
                <w:rFonts w:hint="eastAsia" w:ascii="MS Sans Serif" w:hAnsi="MS Sans Serif"/>
              </w:rPr>
              <w:t>、</w:t>
            </w:r>
            <w:r>
              <w:rPr>
                <w:rFonts w:ascii="MS Sans Serif" w:hAnsi="MS Sans Serif"/>
              </w:rPr>
              <w:t>高度</w:t>
            </w:r>
          </w:p>
        </w:tc>
        <w:tc>
          <w:tcPr>
            <w:tcW w:w="2970" w:type="dxa"/>
            <w:gridSpan w:val="2"/>
            <w:vAlign w:val="center"/>
          </w:tcPr>
          <w:p>
            <w:pPr>
              <w:pStyle w:val="65"/>
              <w:rPr>
                <w:rFonts w:hint="eastAsia" w:ascii="MS Sans Serif" w:hAnsi="MS Sans Serif"/>
              </w:rPr>
            </w:pPr>
            <w:r>
              <w:rPr>
                <w:rFonts w:ascii="MS Sans Serif" w:hAnsi="MS Sans Serif"/>
              </w:rPr>
              <w:t>梁、柱</w:t>
            </w:r>
          </w:p>
        </w:tc>
        <w:tc>
          <w:tcPr>
            <w:tcW w:w="1498" w:type="dxa"/>
            <w:vAlign w:val="center"/>
          </w:tcPr>
          <w:p>
            <w:pPr>
              <w:pStyle w:val="65"/>
              <w:rPr>
                <w:rFonts w:hint="eastAsia" w:ascii="MS Sans Serif" w:hAnsi="MS Sans Serif"/>
              </w:rPr>
            </w:pPr>
            <w:r>
              <w:rPr>
                <w:rFonts w:ascii="MS Sans Serif" w:hAnsi="MS Sans Serif"/>
              </w:rPr>
              <w:t>±</w:t>
            </w:r>
            <w:r>
              <w:rPr>
                <w:rFonts w:hint="eastAsia" w:ascii="MS Sans Serif" w:hAnsi="MS Sans Serif"/>
              </w:rPr>
              <w:t>3</w:t>
            </w:r>
          </w:p>
        </w:tc>
        <w:tc>
          <w:tcPr>
            <w:tcW w:w="2528" w:type="dxa"/>
            <w:vMerge w:val="restart"/>
            <w:vAlign w:val="center"/>
          </w:tcPr>
          <w:p>
            <w:pPr>
              <w:pStyle w:val="65"/>
              <w:rPr>
                <w:rFonts w:hint="eastAsia" w:ascii="MS Sans Serif" w:hAnsi="MS Sans Serif"/>
              </w:rPr>
            </w:pPr>
            <w:r>
              <w:rPr>
                <w:rFonts w:ascii="MS Sans Serif" w:hAnsi="MS Sans Serif"/>
              </w:rPr>
              <w:t>钢尺量</w:t>
            </w:r>
            <w:r>
              <w:rPr>
                <w:rFonts w:hint="eastAsia" w:ascii="MS Sans Serif" w:hAnsi="MS Sans Serif"/>
              </w:rPr>
              <w:t>两</w:t>
            </w:r>
            <w:r>
              <w:rPr>
                <w:rFonts w:ascii="MS Sans Serif" w:hAnsi="MS Sans Serif"/>
              </w:rPr>
              <w:t>端及中部，取其中</w:t>
            </w:r>
            <w:r>
              <w:rPr>
                <w:rFonts w:hint="eastAsia" w:ascii="MS Sans Serif" w:hAnsi="MS Sans Serif"/>
              </w:rPr>
              <w:t>最</w:t>
            </w:r>
            <w:r>
              <w:rPr>
                <w:rFonts w:ascii="MS Sans Serif" w:hAnsi="MS Sans Serif"/>
              </w:rPr>
              <w:t>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hint="eastAsia" w:ascii="MS Sans Serif" w:hAnsi="MS Sans Serif"/>
              </w:rPr>
              <w:t>板</w:t>
            </w:r>
          </w:p>
        </w:tc>
        <w:tc>
          <w:tcPr>
            <w:tcW w:w="1498" w:type="dxa"/>
            <w:vAlign w:val="center"/>
          </w:tcPr>
          <w:p>
            <w:pPr>
              <w:pStyle w:val="65"/>
              <w:rPr>
                <w:rFonts w:hint="eastAsia" w:ascii="MS Sans Serif" w:hAnsi="MS Sans Serif"/>
              </w:rPr>
            </w:pPr>
            <w:r>
              <w:rPr>
                <w:rFonts w:ascii="MS Sans Serif" w:hAnsi="MS Sans Serif"/>
              </w:rPr>
              <w:t>±</w:t>
            </w:r>
            <w:r>
              <w:rPr>
                <w:rFonts w:hint="eastAsia" w:ascii="MS Sans Serif" w:hAnsi="MS Sans Serif"/>
              </w:rPr>
              <w:t>3</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hint="eastAsia" w:ascii="MS Sans Serif" w:hAnsi="MS Sans Serif"/>
              </w:rPr>
              <w:t>预制框架梁端L/3范围内箍筋露出高度</w:t>
            </w:r>
          </w:p>
        </w:tc>
        <w:tc>
          <w:tcPr>
            <w:tcW w:w="1498" w:type="dxa"/>
            <w:vAlign w:val="center"/>
          </w:tcPr>
          <w:p>
            <w:pPr>
              <w:pStyle w:val="65"/>
              <w:rPr>
                <w:rFonts w:hint="eastAsia" w:ascii="MS Sans Serif" w:hAnsi="MS Sans Serif"/>
              </w:rPr>
            </w:pPr>
            <w:r>
              <w:rPr>
                <w:rFonts w:hint="eastAsia" w:ascii="MS Sans Serif" w:hAnsi="MS Sans Serif"/>
              </w:rPr>
              <w:t>+10，0</w:t>
            </w:r>
          </w:p>
        </w:tc>
        <w:tc>
          <w:tcPr>
            <w:tcW w:w="2528" w:type="dxa"/>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Align w:val="center"/>
          </w:tcPr>
          <w:p>
            <w:pPr>
              <w:pStyle w:val="65"/>
              <w:rPr>
                <w:rFonts w:hint="eastAsia" w:ascii="MS Sans Serif" w:hAnsi="MS Sans Serif"/>
              </w:rPr>
            </w:pPr>
            <w:r>
              <w:rPr>
                <w:rFonts w:ascii="MS Sans Serif" w:hAnsi="MS Sans Serif"/>
              </w:rPr>
              <w:t>表面平整度</w:t>
            </w:r>
          </w:p>
        </w:tc>
        <w:tc>
          <w:tcPr>
            <w:tcW w:w="2970" w:type="dxa"/>
            <w:gridSpan w:val="2"/>
            <w:vAlign w:val="center"/>
          </w:tcPr>
          <w:p>
            <w:pPr>
              <w:pStyle w:val="65"/>
              <w:rPr>
                <w:rFonts w:hint="eastAsia" w:ascii="MS Sans Serif" w:hAnsi="MS Sans Serif"/>
              </w:rPr>
            </w:pPr>
            <w:r>
              <w:rPr>
                <w:rFonts w:ascii="MS Sans Serif" w:hAnsi="MS Sans Serif"/>
              </w:rPr>
              <w:t>梁、板、柱、墙内表面</w:t>
            </w:r>
          </w:p>
        </w:tc>
        <w:tc>
          <w:tcPr>
            <w:tcW w:w="1498" w:type="dxa"/>
            <w:vAlign w:val="center"/>
          </w:tcPr>
          <w:p>
            <w:pPr>
              <w:pStyle w:val="65"/>
              <w:rPr>
                <w:rFonts w:hint="eastAsia" w:ascii="MS Sans Serif" w:hAnsi="MS Sans Serif"/>
              </w:rPr>
            </w:pPr>
            <w:r>
              <w:rPr>
                <w:rFonts w:hint="eastAsia" w:ascii="MS Sans Serif" w:hAnsi="MS Sans Serif"/>
              </w:rPr>
              <w:t>3</w:t>
            </w:r>
          </w:p>
        </w:tc>
        <w:tc>
          <w:tcPr>
            <w:tcW w:w="2528" w:type="dxa"/>
            <w:vAlign w:val="center"/>
          </w:tcPr>
          <w:p>
            <w:pPr>
              <w:pStyle w:val="65"/>
              <w:rPr>
                <w:rFonts w:hint="eastAsia" w:ascii="MS Sans Serif" w:hAnsi="MS Sans Serif"/>
              </w:rPr>
            </w:pPr>
            <w:r>
              <w:rPr>
                <w:rFonts w:ascii="MS Sans Serif" w:hAnsi="MS Sans Serif"/>
              </w:rPr>
              <w:t>2m靠尺和塞尺检查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侧向弯曲</w:t>
            </w:r>
          </w:p>
        </w:tc>
        <w:tc>
          <w:tcPr>
            <w:tcW w:w="2970" w:type="dxa"/>
            <w:gridSpan w:val="2"/>
            <w:vAlign w:val="center"/>
          </w:tcPr>
          <w:p>
            <w:pPr>
              <w:pStyle w:val="65"/>
              <w:rPr>
                <w:rFonts w:hint="eastAsia" w:ascii="MS Sans Serif" w:hAnsi="MS Sans Serif"/>
              </w:rPr>
            </w:pPr>
            <w:r>
              <w:rPr>
                <w:rFonts w:ascii="MS Sans Serif" w:hAnsi="MS Sans Serif"/>
              </w:rPr>
              <w:t>梁、柱</w:t>
            </w:r>
          </w:p>
        </w:tc>
        <w:tc>
          <w:tcPr>
            <w:tcW w:w="1498" w:type="dxa"/>
            <w:vAlign w:val="center"/>
          </w:tcPr>
          <w:p>
            <w:pPr>
              <w:pStyle w:val="65"/>
              <w:rPr>
                <w:rFonts w:hint="eastAsia" w:ascii="MS Sans Serif" w:hAnsi="MS Sans Serif"/>
              </w:rPr>
            </w:pPr>
            <w:r>
              <w:rPr>
                <w:rFonts w:ascii="MS Sans Serif" w:hAnsi="MS Sans Serif"/>
                <w:i/>
              </w:rPr>
              <w:t>L</w:t>
            </w:r>
            <w:r>
              <w:rPr>
                <w:rFonts w:ascii="MS Sans Serif" w:hAnsi="MS Sans Serif"/>
              </w:rPr>
              <w:t>/1000且≤10</w:t>
            </w:r>
          </w:p>
        </w:tc>
        <w:tc>
          <w:tcPr>
            <w:tcW w:w="2528" w:type="dxa"/>
            <w:vMerge w:val="restart"/>
            <w:vAlign w:val="center"/>
          </w:tcPr>
          <w:p>
            <w:pPr>
              <w:pStyle w:val="65"/>
              <w:rPr>
                <w:rFonts w:hint="eastAsia" w:ascii="MS Sans Serif" w:hAnsi="MS Sans Serif"/>
              </w:rPr>
            </w:pPr>
            <w:r>
              <w:rPr>
                <w:rFonts w:ascii="MS Sans Serif" w:hAnsi="MS Sans Serif"/>
              </w:rPr>
              <w:t>拉线、钢尺量最大侧向弯曲处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hint="eastAsia" w:ascii="MS Sans Serif" w:hAnsi="MS Sans Serif"/>
              </w:rPr>
              <w:t>板</w:t>
            </w:r>
          </w:p>
        </w:tc>
        <w:tc>
          <w:tcPr>
            <w:tcW w:w="1498" w:type="dxa"/>
            <w:vAlign w:val="center"/>
          </w:tcPr>
          <w:p>
            <w:pPr>
              <w:pStyle w:val="65"/>
              <w:rPr>
                <w:rFonts w:hint="eastAsia" w:ascii="MS Sans Serif" w:hAnsi="MS Sans Serif"/>
                <w:i/>
              </w:rPr>
            </w:pPr>
            <w:r>
              <w:rPr>
                <w:rFonts w:ascii="MS Sans Serif" w:hAnsi="MS Sans Serif"/>
                <w:i/>
              </w:rPr>
              <w:t>L</w:t>
            </w:r>
            <w:r>
              <w:rPr>
                <w:rFonts w:ascii="MS Sans Serif" w:hAnsi="MS Sans Serif"/>
              </w:rPr>
              <w:t>/1000且≤8</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墙板、门窗口</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预埋件</w:t>
            </w:r>
          </w:p>
        </w:tc>
        <w:tc>
          <w:tcPr>
            <w:tcW w:w="2970" w:type="dxa"/>
            <w:gridSpan w:val="2"/>
            <w:vAlign w:val="center"/>
          </w:tcPr>
          <w:p>
            <w:pPr>
              <w:pStyle w:val="65"/>
              <w:rPr>
                <w:rFonts w:hint="eastAsia" w:ascii="MS Sans Serif" w:hAnsi="MS Sans Serif"/>
              </w:rPr>
            </w:pPr>
            <w:r>
              <w:rPr>
                <w:rFonts w:ascii="MS Sans Serif" w:hAnsi="MS Sans Serif"/>
              </w:rPr>
              <w:t>预埋板、吊环、吊钉中心线位置</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restart"/>
            <w:vAlign w:val="center"/>
          </w:tcPr>
          <w:p>
            <w:pPr>
              <w:pStyle w:val="65"/>
              <w:rPr>
                <w:rFonts w:hint="eastAsia" w:ascii="MS Sans Serif" w:hAnsi="MS Sans Serif"/>
              </w:rPr>
            </w:pPr>
            <w:r>
              <w:rPr>
                <w:rFonts w:ascii="MS Sans Serif" w:hAnsi="MS Sans Serif"/>
              </w:rPr>
              <w:t>钢尺检查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预埋套筒、钢筋连接器、螺栓、螺母中心位置</w:t>
            </w:r>
          </w:p>
        </w:tc>
        <w:tc>
          <w:tcPr>
            <w:tcW w:w="1498" w:type="dxa"/>
            <w:vAlign w:val="center"/>
          </w:tcPr>
          <w:p>
            <w:pPr>
              <w:pStyle w:val="65"/>
              <w:rPr>
                <w:rFonts w:hint="eastAsia" w:ascii="MS Sans Serif" w:hAnsi="MS Sans Serif"/>
              </w:rPr>
            </w:pPr>
            <w:r>
              <w:rPr>
                <w:rFonts w:ascii="MS Sans Serif" w:hAnsi="MS Sans Serif"/>
              </w:rPr>
              <w:t>2</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预埋板、</w:t>
            </w:r>
            <w:r>
              <w:rPr>
                <w:rFonts w:hint="eastAsia" w:ascii="MS Sans Serif" w:hAnsi="MS Sans Serif"/>
              </w:rPr>
              <w:t>预埋</w:t>
            </w:r>
            <w:r>
              <w:rPr>
                <w:rFonts w:ascii="MS Sans Serif" w:hAnsi="MS Sans Serif"/>
              </w:rPr>
              <w:t>套筒、螺母与混凝土面平面高差</w:t>
            </w:r>
          </w:p>
        </w:tc>
        <w:tc>
          <w:tcPr>
            <w:tcW w:w="1498" w:type="dxa"/>
            <w:vAlign w:val="center"/>
          </w:tcPr>
          <w:p>
            <w:pPr>
              <w:pStyle w:val="65"/>
              <w:rPr>
                <w:rFonts w:hint="eastAsia" w:ascii="MS Sans Serif" w:hAnsi="MS Sans Serif"/>
              </w:rPr>
            </w:pPr>
            <w:r>
              <w:rPr>
                <w:rFonts w:ascii="MS Sans Serif" w:hAnsi="MS Sans Serif"/>
              </w:rPr>
              <w:t>-5，0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螺栓外露长度</w:t>
            </w:r>
          </w:p>
        </w:tc>
        <w:tc>
          <w:tcPr>
            <w:tcW w:w="1498" w:type="dxa"/>
            <w:vAlign w:val="center"/>
          </w:tcPr>
          <w:p>
            <w:pPr>
              <w:pStyle w:val="65"/>
              <w:rPr>
                <w:rFonts w:hint="eastAsia" w:ascii="MS Sans Serif" w:hAnsi="MS Sans Serif"/>
              </w:rPr>
            </w:pPr>
            <w:r>
              <w:rPr>
                <w:rFonts w:ascii="MS Sans Serif" w:hAnsi="MS Sans Serif"/>
              </w:rPr>
              <w:t>-5，+10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7" w:type="dxa"/>
            <w:gridSpan w:val="3"/>
            <w:vAlign w:val="center"/>
          </w:tcPr>
          <w:p>
            <w:pPr>
              <w:pStyle w:val="65"/>
              <w:rPr>
                <w:rFonts w:hint="eastAsia" w:ascii="MS Sans Serif" w:hAnsi="MS Sans Serif"/>
              </w:rPr>
            </w:pPr>
            <w:r>
              <w:rPr>
                <w:rFonts w:ascii="MS Sans Serif" w:hAnsi="MS Sans Serif"/>
              </w:rPr>
              <w:t>预留孔、预埋管中心位置</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预留插筋</w:t>
            </w:r>
          </w:p>
        </w:tc>
        <w:tc>
          <w:tcPr>
            <w:tcW w:w="2970" w:type="dxa"/>
            <w:gridSpan w:val="2"/>
            <w:vAlign w:val="center"/>
          </w:tcPr>
          <w:p>
            <w:pPr>
              <w:pStyle w:val="65"/>
              <w:rPr>
                <w:rFonts w:hint="eastAsia" w:ascii="MS Sans Serif" w:hAnsi="MS Sans Serif"/>
              </w:rPr>
            </w:pPr>
            <w:r>
              <w:rPr>
                <w:rFonts w:ascii="MS Sans Serif" w:hAnsi="MS Sans Serif"/>
              </w:rPr>
              <w:t>中心位置</w:t>
            </w:r>
          </w:p>
        </w:tc>
        <w:tc>
          <w:tcPr>
            <w:tcW w:w="1498" w:type="dxa"/>
            <w:vAlign w:val="center"/>
          </w:tcPr>
          <w:p>
            <w:pPr>
              <w:pStyle w:val="65"/>
              <w:rPr>
                <w:rFonts w:hint="eastAsia" w:ascii="MS Sans Serif" w:hAnsi="MS Sans Serif"/>
              </w:rPr>
            </w:pPr>
            <w:r>
              <w:rPr>
                <w:rFonts w:ascii="MS Sans Serif" w:hAnsi="MS Sans Serif"/>
              </w:rPr>
              <w:t>3</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外露长度</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Align w:val="center"/>
          </w:tcPr>
          <w:p>
            <w:pPr>
              <w:pStyle w:val="65"/>
              <w:rPr>
                <w:rFonts w:hint="eastAsia" w:ascii="MS Sans Serif" w:hAnsi="MS Sans Serif"/>
              </w:rPr>
            </w:pPr>
            <w:r>
              <w:rPr>
                <w:rFonts w:ascii="MS Sans Serif" w:hAnsi="MS Sans Serif"/>
              </w:rPr>
              <w:t>格构钢筋</w:t>
            </w:r>
          </w:p>
        </w:tc>
        <w:tc>
          <w:tcPr>
            <w:tcW w:w="2970" w:type="dxa"/>
            <w:gridSpan w:val="2"/>
            <w:vAlign w:val="center"/>
          </w:tcPr>
          <w:p>
            <w:pPr>
              <w:pStyle w:val="65"/>
              <w:rPr>
                <w:rFonts w:hint="eastAsia" w:ascii="MS Sans Serif" w:hAnsi="MS Sans Serif"/>
              </w:rPr>
            </w:pPr>
            <w:r>
              <w:rPr>
                <w:rFonts w:ascii="MS Sans Serif" w:hAnsi="MS Sans Serif"/>
              </w:rPr>
              <w:t>高度</w:t>
            </w:r>
          </w:p>
        </w:tc>
        <w:tc>
          <w:tcPr>
            <w:tcW w:w="1498" w:type="dxa"/>
            <w:vAlign w:val="center"/>
          </w:tcPr>
          <w:p>
            <w:pPr>
              <w:pStyle w:val="65"/>
              <w:rPr>
                <w:rFonts w:hint="eastAsia" w:ascii="MS Sans Serif" w:hAnsi="MS Sans Serif"/>
              </w:rPr>
            </w:pPr>
            <w:r>
              <w:rPr>
                <w:rFonts w:ascii="MS Sans Serif" w:hAnsi="MS Sans Serif"/>
              </w:rPr>
              <w:t>0</w:t>
            </w:r>
            <w:r>
              <w:rPr>
                <w:rFonts w:hint="eastAsia" w:ascii="MS Sans Serif" w:hAnsi="MS Sans Serif"/>
              </w:rPr>
              <w:t>，</w:t>
            </w: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键槽</w:t>
            </w:r>
          </w:p>
        </w:tc>
        <w:tc>
          <w:tcPr>
            <w:tcW w:w="2970" w:type="dxa"/>
            <w:gridSpan w:val="2"/>
            <w:vAlign w:val="center"/>
          </w:tcPr>
          <w:p>
            <w:pPr>
              <w:pStyle w:val="65"/>
              <w:rPr>
                <w:rFonts w:hint="eastAsia" w:ascii="MS Sans Serif" w:hAnsi="MS Sans Serif"/>
              </w:rPr>
            </w:pPr>
            <w:r>
              <w:rPr>
                <w:rFonts w:ascii="MS Sans Serif" w:hAnsi="MS Sans Serif"/>
              </w:rPr>
              <w:t>中心位置</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长、宽</w:t>
            </w:r>
          </w:p>
        </w:tc>
        <w:tc>
          <w:tcPr>
            <w:tcW w:w="1498" w:type="dxa"/>
            <w:vAlign w:val="center"/>
          </w:tcPr>
          <w:p>
            <w:pPr>
              <w:pStyle w:val="65"/>
              <w:rPr>
                <w:rFonts w:hint="eastAsia" w:ascii="MS Sans Serif" w:hAnsi="MS Sans Serif"/>
              </w:rPr>
            </w:pPr>
            <w:r>
              <w:rPr>
                <w:rFonts w:ascii="MS Sans Serif" w:hAnsi="MS Sans Serif"/>
              </w:rPr>
              <w:t>±5</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深</w:t>
            </w:r>
          </w:p>
        </w:tc>
        <w:tc>
          <w:tcPr>
            <w:tcW w:w="1498" w:type="dxa"/>
            <w:vAlign w:val="center"/>
          </w:tcPr>
          <w:p>
            <w:pPr>
              <w:pStyle w:val="65"/>
              <w:rPr>
                <w:rFonts w:hint="eastAsia" w:ascii="MS Sans Serif" w:hAnsi="MS Sans Serif"/>
              </w:rPr>
            </w:pPr>
            <w:r>
              <w:rPr>
                <w:rFonts w:ascii="MS Sans Serif" w:hAnsi="MS Sans Serif"/>
              </w:rPr>
              <w:t>±2</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restart"/>
            <w:vAlign w:val="center"/>
          </w:tcPr>
          <w:p>
            <w:pPr>
              <w:pStyle w:val="65"/>
              <w:rPr>
                <w:rFonts w:hint="eastAsia" w:ascii="MS Sans Serif" w:hAnsi="MS Sans Serif"/>
              </w:rPr>
            </w:pPr>
            <w:r>
              <w:rPr>
                <w:rFonts w:ascii="MS Sans Serif" w:hAnsi="MS Sans Serif"/>
              </w:rPr>
              <w:t>一般预留洞</w:t>
            </w:r>
          </w:p>
        </w:tc>
        <w:tc>
          <w:tcPr>
            <w:tcW w:w="2970" w:type="dxa"/>
            <w:gridSpan w:val="2"/>
            <w:vAlign w:val="center"/>
          </w:tcPr>
          <w:p>
            <w:pPr>
              <w:pStyle w:val="65"/>
              <w:rPr>
                <w:rFonts w:hint="eastAsia" w:ascii="MS Sans Serif" w:hAnsi="MS Sans Serif"/>
              </w:rPr>
            </w:pPr>
            <w:r>
              <w:rPr>
                <w:rFonts w:ascii="MS Sans Serif" w:hAnsi="MS Sans Serif"/>
              </w:rPr>
              <w:t>中心位置</w:t>
            </w:r>
          </w:p>
        </w:tc>
        <w:tc>
          <w:tcPr>
            <w:tcW w:w="1498" w:type="dxa"/>
            <w:vAlign w:val="center"/>
          </w:tcPr>
          <w:p>
            <w:pPr>
              <w:pStyle w:val="65"/>
              <w:rPr>
                <w:rFonts w:hint="eastAsia" w:ascii="MS Sans Serif" w:hAnsi="MS Sans Serif"/>
              </w:rPr>
            </w:pPr>
            <w:r>
              <w:rPr>
                <w:rFonts w:ascii="MS Sans Serif" w:hAnsi="MS Sans Serif"/>
              </w:rPr>
              <w:t>10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7" w:type="dxa"/>
            <w:vMerge w:val="continue"/>
            <w:vAlign w:val="center"/>
          </w:tcPr>
          <w:p>
            <w:pPr>
              <w:pStyle w:val="65"/>
              <w:rPr>
                <w:rFonts w:hint="eastAsia" w:ascii="MS Sans Serif" w:hAnsi="MS Sans Serif"/>
              </w:rPr>
            </w:pPr>
          </w:p>
        </w:tc>
        <w:tc>
          <w:tcPr>
            <w:tcW w:w="2970" w:type="dxa"/>
            <w:gridSpan w:val="2"/>
            <w:vAlign w:val="center"/>
          </w:tcPr>
          <w:p>
            <w:pPr>
              <w:pStyle w:val="65"/>
              <w:rPr>
                <w:rFonts w:hint="eastAsia" w:ascii="MS Sans Serif" w:hAnsi="MS Sans Serif"/>
              </w:rPr>
            </w:pPr>
            <w:r>
              <w:rPr>
                <w:rFonts w:ascii="MS Sans Serif" w:hAnsi="MS Sans Serif"/>
              </w:rPr>
              <w:t>尺寸</w:t>
            </w:r>
          </w:p>
        </w:tc>
        <w:tc>
          <w:tcPr>
            <w:tcW w:w="1498" w:type="dxa"/>
            <w:vAlign w:val="center"/>
          </w:tcPr>
          <w:p>
            <w:pPr>
              <w:pStyle w:val="65"/>
              <w:rPr>
                <w:rFonts w:hint="eastAsia" w:ascii="MS Sans Serif" w:hAnsi="MS Sans Serif"/>
              </w:rPr>
            </w:pPr>
            <w:r>
              <w:rPr>
                <w:rFonts w:ascii="MS Sans Serif" w:hAnsi="MS Sans Serif"/>
              </w:rPr>
              <w:t>±10</w:t>
            </w:r>
          </w:p>
        </w:tc>
        <w:tc>
          <w:tcPr>
            <w:tcW w:w="2528"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47" w:type="dxa"/>
            <w:gridSpan w:val="3"/>
            <w:vAlign w:val="center"/>
          </w:tcPr>
          <w:p>
            <w:pPr>
              <w:pStyle w:val="65"/>
              <w:rPr>
                <w:rFonts w:hint="eastAsia" w:ascii="MS Sans Serif" w:hAnsi="MS Sans Serif"/>
              </w:rPr>
            </w:pPr>
            <w:r>
              <w:rPr>
                <w:rFonts w:ascii="MS Sans Serif" w:hAnsi="MS Sans Serif"/>
              </w:rPr>
              <w:t>与现浇部位模板接茬范围表面平整度</w:t>
            </w:r>
          </w:p>
        </w:tc>
        <w:tc>
          <w:tcPr>
            <w:tcW w:w="1498" w:type="dxa"/>
            <w:vAlign w:val="center"/>
          </w:tcPr>
          <w:p>
            <w:pPr>
              <w:pStyle w:val="65"/>
              <w:rPr>
                <w:rFonts w:hint="eastAsia" w:ascii="MS Sans Serif" w:hAnsi="MS Sans Serif"/>
              </w:rPr>
            </w:pPr>
            <w:r>
              <w:rPr>
                <w:rFonts w:ascii="MS Sans Serif" w:hAnsi="MS Sans Serif"/>
              </w:rPr>
              <w:t>2</w:t>
            </w:r>
          </w:p>
        </w:tc>
        <w:tc>
          <w:tcPr>
            <w:tcW w:w="2528" w:type="dxa"/>
            <w:vAlign w:val="center"/>
          </w:tcPr>
          <w:p>
            <w:pPr>
              <w:pStyle w:val="65"/>
              <w:rPr>
                <w:rFonts w:hint="eastAsia" w:ascii="MS Sans Serif" w:hAnsi="MS Sans Serif"/>
              </w:rPr>
            </w:pPr>
            <w:r>
              <w:rPr>
                <w:rFonts w:ascii="MS Sans Serif" w:hAnsi="MS Sans Serif"/>
              </w:rPr>
              <w:t>2m靠尺和塞尺检查</w:t>
            </w:r>
          </w:p>
        </w:tc>
      </w:tr>
    </w:tbl>
    <w:p>
      <w:pPr>
        <w:pStyle w:val="101"/>
        <w:tabs>
          <w:tab w:val="clear" w:pos="420"/>
        </w:tabs>
        <w:ind w:left="840" w:hanging="840"/>
        <w:rPr>
          <w:highlight w:val="yellow"/>
        </w:rPr>
      </w:pPr>
      <w:r>
        <w:t>注：</w:t>
      </w:r>
      <w:r>
        <w:tab/>
      </w:r>
      <w:r>
        <w:rPr>
          <w:i/>
        </w:rPr>
        <w:t>L</w:t>
      </w:r>
      <w:r>
        <w:t>为预制构件长度（mm）。</w:t>
      </w:r>
    </w:p>
    <w:p>
      <w:pPr>
        <w:pStyle w:val="4"/>
      </w:pPr>
      <w:bookmarkStart w:id="405" w:name="_Ref185945560"/>
      <w:bookmarkStart w:id="406" w:name="_Ref87344649"/>
      <w:bookmarkStart w:id="407" w:name="_Toc86067961"/>
      <w:r>
        <w:rPr>
          <w:rFonts w:hint="eastAsia"/>
        </w:rPr>
        <w:t>预制构件检验合格后，应对预留孔道、机械接头套筒、灌浆套筒等进行封闭保护，并应对外露的预留插筋、预埋螺栓及钢埋件进行防护处理。</w:t>
      </w:r>
    </w:p>
    <w:p>
      <w:pPr>
        <w:pStyle w:val="4"/>
      </w:pPr>
      <w:r>
        <w:rPr>
          <w:rFonts w:hint="eastAsia"/>
        </w:rPr>
        <w:t>压接装配框架结构中预制梁和</w:t>
      </w:r>
      <w:r>
        <w:t>预</w:t>
      </w:r>
      <w:r>
        <w:rPr>
          <w:rFonts w:hint="eastAsia"/>
        </w:rPr>
        <w:t>制柱的预埋金属波纹管中心位置应设置安装定位线，并引出至构件边缘。预制梁安装定位线应分别引出至梁两侧和梁底，长度距梁端不应少于500mm；预制柱安装定位线应分别引出至柱侧边和距离金属波纹管中心下方不少于1000mm处。与模板接触面侧的安装定位线可通过在模板上贴线条方式预制成型（图</w:t>
      </w:r>
      <w:r>
        <w:fldChar w:fldCharType="begin"/>
      </w:r>
      <w:r>
        <w:instrText xml:space="preserve"> REF _Ref185945560 \r \h </w:instrText>
      </w:r>
      <w:r>
        <w:fldChar w:fldCharType="separate"/>
      </w:r>
      <w:r>
        <w:t>6. 3. 8</w:t>
      </w:r>
      <w:r>
        <w:fldChar w:fldCharType="end"/>
      </w:r>
      <w:r>
        <w:rPr>
          <w:rFonts w:hint="eastAsia"/>
        </w:rPr>
        <w:t>）</w:t>
      </w:r>
      <w:r>
        <w:t>。</w:t>
      </w:r>
      <w:bookmarkEnd w:id="405"/>
      <w:bookmarkEnd w:id="406"/>
      <w:bookmarkEnd w:id="407"/>
    </w:p>
    <w:p>
      <w:pPr>
        <w:pStyle w:val="69"/>
      </w:pPr>
      <w:r>
        <w:drawing>
          <wp:inline distT="0" distB="0" distL="0" distR="0">
            <wp:extent cx="4220845" cy="2383790"/>
            <wp:effectExtent l="0" t="0" r="8255" b="0"/>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4239954" cy="2395135"/>
                    </a:xfrm>
                    <a:prstGeom prst="rect">
                      <a:avLst/>
                    </a:prstGeom>
                    <a:noFill/>
                    <a:ln>
                      <a:noFill/>
                    </a:ln>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6. 3. 9</w:t>
      </w:r>
      <w:r>
        <w:rPr>
          <w:sz w:val="21"/>
        </w:rPr>
        <w:fldChar w:fldCharType="end"/>
      </w:r>
      <w:r>
        <w:rPr>
          <w:sz w:val="21"/>
        </w:rPr>
        <w:t xml:space="preserve"> 预制梁柱</w:t>
      </w:r>
      <w:r>
        <w:rPr>
          <w:rFonts w:hint="eastAsia"/>
          <w:sz w:val="21"/>
        </w:rPr>
        <w:t>预埋</w:t>
      </w:r>
      <w:r>
        <w:rPr>
          <w:sz w:val="21"/>
        </w:rPr>
        <w:t>金属波纹管安装定位线</w:t>
      </w:r>
    </w:p>
    <w:p>
      <w:pPr>
        <w:spacing w:after="80"/>
        <w:ind w:firstLine="496"/>
        <w:jc w:val="center"/>
        <w:rPr>
          <w:sz w:val="21"/>
        </w:rPr>
      </w:pPr>
      <w:r>
        <w:rPr>
          <w:sz w:val="21"/>
        </w:rPr>
        <w:t>1—预制梁；2—梁体安装定位线；3—预制柱；4—柱体安装定位线</w:t>
      </w:r>
    </w:p>
    <w:p>
      <w:pPr>
        <w:pStyle w:val="4"/>
      </w:pPr>
      <w:bookmarkStart w:id="408" w:name="_Ref198041151"/>
      <w:bookmarkStart w:id="409" w:name="_Ref86140005"/>
      <w:bookmarkStart w:id="410" w:name="_Toc86067962"/>
      <w:r>
        <w:rPr>
          <w:rFonts w:hint="eastAsia"/>
        </w:rPr>
        <w:t>预制构件检验合格后，应在构件上设置明显、清晰的标识。构件标识宜采用射频识别、二维码等信息化技术，并应至少包括项目名称及编号、制作单位、构件型号、生产日期、安装方向、质量验收标志等内容。</w:t>
      </w:r>
      <w:bookmarkEnd w:id="408"/>
    </w:p>
    <w:bookmarkEnd w:id="409"/>
    <w:bookmarkEnd w:id="410"/>
    <w:p>
      <w:pPr>
        <w:pStyle w:val="4"/>
      </w:pPr>
      <w:bookmarkStart w:id="411" w:name="_Ref198041198"/>
      <w:r>
        <w:rPr>
          <w:rFonts w:hint="eastAsia"/>
        </w:rPr>
        <w:t>产品质量证明文件应包括但不限于下列内容：</w:t>
      </w:r>
      <w:bookmarkEnd w:id="411"/>
    </w:p>
    <w:p>
      <w:pPr>
        <w:tabs>
          <w:tab w:val="left" w:pos="840"/>
        </w:tabs>
        <w:snapToGrid w:val="0"/>
        <w:spacing w:line="360" w:lineRule="auto"/>
        <w:ind w:firstLine="481" w:firstLineChars="200"/>
      </w:pPr>
      <w:r>
        <w:rPr>
          <w:rFonts w:hint="eastAsia"/>
          <w:b/>
          <w:bCs/>
        </w:rPr>
        <w:t>1</w:t>
      </w:r>
      <w:r>
        <w:tab/>
      </w:r>
      <w:r>
        <w:rPr>
          <w:rFonts w:hint="eastAsia"/>
        </w:rPr>
        <w:t>出厂合格证及构件编码；</w:t>
      </w:r>
    </w:p>
    <w:p>
      <w:pPr>
        <w:tabs>
          <w:tab w:val="left" w:pos="840"/>
        </w:tabs>
        <w:snapToGrid w:val="0"/>
        <w:spacing w:line="360" w:lineRule="auto"/>
        <w:ind w:firstLine="481" w:firstLineChars="200"/>
      </w:pPr>
      <w:r>
        <w:rPr>
          <w:rFonts w:hint="eastAsia"/>
          <w:b/>
          <w:bCs/>
        </w:rPr>
        <w:t>2</w:t>
      </w:r>
      <w:r>
        <w:rPr>
          <w:b/>
          <w:bCs/>
        </w:rPr>
        <w:tab/>
      </w:r>
      <w:r>
        <w:rPr>
          <w:rFonts w:hint="eastAsia"/>
        </w:rPr>
        <w:t>原材料、预埋件合格证及质量检验（试验）报告；</w:t>
      </w:r>
    </w:p>
    <w:p>
      <w:pPr>
        <w:tabs>
          <w:tab w:val="left" w:pos="840"/>
        </w:tabs>
        <w:snapToGrid w:val="0"/>
        <w:spacing w:line="360" w:lineRule="auto"/>
        <w:ind w:firstLine="481" w:firstLineChars="200"/>
      </w:pPr>
      <w:r>
        <w:rPr>
          <w:rFonts w:hint="eastAsia"/>
          <w:b/>
          <w:bCs/>
        </w:rPr>
        <w:t>3</w:t>
      </w:r>
      <w:r>
        <w:rPr>
          <w:b/>
          <w:bCs/>
        </w:rPr>
        <w:tab/>
      </w:r>
      <w:r>
        <w:rPr>
          <w:rFonts w:hint="eastAsia"/>
        </w:rPr>
        <w:t>钢筋连接套筒合格证及型式检验报告；</w:t>
      </w:r>
    </w:p>
    <w:p>
      <w:pPr>
        <w:tabs>
          <w:tab w:val="left" w:pos="840"/>
        </w:tabs>
        <w:snapToGrid w:val="0"/>
        <w:spacing w:line="360" w:lineRule="auto"/>
        <w:ind w:firstLine="481" w:firstLineChars="200"/>
        <w:rPr>
          <w:b/>
          <w:bCs/>
        </w:rPr>
      </w:pPr>
      <w:r>
        <w:rPr>
          <w:rFonts w:hint="eastAsia"/>
          <w:b/>
          <w:bCs/>
        </w:rPr>
        <w:t>4</w:t>
      </w:r>
      <w:r>
        <w:rPr>
          <w:b/>
          <w:bCs/>
        </w:rPr>
        <w:tab/>
      </w:r>
      <w:r>
        <w:rPr>
          <w:rFonts w:hint="eastAsia"/>
        </w:rPr>
        <w:t>混凝土抗压强度等设计要求的性能试验报告；</w:t>
      </w:r>
    </w:p>
    <w:p>
      <w:pPr>
        <w:tabs>
          <w:tab w:val="left" w:pos="840"/>
        </w:tabs>
        <w:snapToGrid w:val="0"/>
        <w:spacing w:line="360" w:lineRule="auto"/>
        <w:ind w:firstLine="481" w:firstLineChars="200"/>
      </w:pPr>
      <w:r>
        <w:rPr>
          <w:b/>
          <w:bCs/>
        </w:rPr>
        <w:t>5</w:t>
      </w:r>
      <w:r>
        <w:rPr>
          <w:b/>
          <w:bCs/>
        </w:rPr>
        <w:tab/>
      </w:r>
      <w:r>
        <w:rPr>
          <w:rFonts w:hint="eastAsia"/>
        </w:rPr>
        <w:t>结构性能检验报告；</w:t>
      </w:r>
    </w:p>
    <w:p>
      <w:pPr>
        <w:tabs>
          <w:tab w:val="left" w:pos="840"/>
        </w:tabs>
        <w:snapToGrid w:val="0"/>
        <w:spacing w:line="360" w:lineRule="auto"/>
        <w:ind w:firstLine="481" w:firstLineChars="200"/>
      </w:pPr>
      <w:r>
        <w:rPr>
          <w:b/>
          <w:bCs/>
        </w:rPr>
        <w:t>6</w:t>
      </w:r>
      <w:r>
        <w:rPr>
          <w:b/>
          <w:bCs/>
        </w:rPr>
        <w:tab/>
      </w:r>
      <w:r>
        <w:rPr>
          <w:rFonts w:hint="eastAsia"/>
        </w:rPr>
        <w:t>合同要求的其他质量证明文件。</w:t>
      </w:r>
    </w:p>
    <w:p>
      <w:pPr>
        <w:pStyle w:val="4"/>
      </w:pPr>
      <w:r>
        <w:rPr>
          <w:rFonts w:hint="eastAsia"/>
        </w:rPr>
        <w:t>压接装配板柱的双向带肋预制楼板制作，应符合下列规定：</w:t>
      </w:r>
    </w:p>
    <w:p>
      <w:pPr>
        <w:pStyle w:val="5"/>
        <w:ind w:firstLine="482"/>
      </w:pPr>
      <w:r>
        <w:rPr>
          <w:rFonts w:hint="eastAsia"/>
          <w:b/>
        </w:rPr>
        <w:t>1</w:t>
      </w:r>
      <w:r>
        <w:rPr>
          <w:b/>
        </w:rPr>
        <w:tab/>
      </w:r>
      <w:r>
        <w:rPr>
          <w:rFonts w:hint="eastAsia"/>
        </w:rPr>
        <w:t>双向带肋楼板制作时可采用正打工艺或反打工艺制作，当采用反打工艺时，制作工厂应具备构件翻身起吊的条件。</w:t>
      </w:r>
    </w:p>
    <w:p>
      <w:pPr>
        <w:pStyle w:val="5"/>
        <w:ind w:firstLine="482"/>
      </w:pPr>
      <w:r>
        <w:rPr>
          <w:rFonts w:hint="eastAsia"/>
          <w:b/>
        </w:rPr>
        <w:t>2</w:t>
      </w:r>
      <w:r>
        <w:rPr>
          <w:b/>
        </w:rPr>
        <w:tab/>
      </w:r>
      <w:r>
        <w:rPr>
          <w:rFonts w:hint="eastAsia"/>
        </w:rPr>
        <w:t>上部开口的双向带肋楼板可采用小盖板进行封口，小盖板应能承受规定的施工荷载，其空腔内不应有积水。</w:t>
      </w:r>
    </w:p>
    <w:p>
      <w:pPr>
        <w:pStyle w:val="5"/>
        <w:ind w:firstLine="482"/>
      </w:pPr>
      <w:r>
        <w:rPr>
          <w:rFonts w:hint="eastAsia"/>
          <w:b/>
        </w:rPr>
        <w:t>3</w:t>
      </w:r>
      <w:r>
        <w:rPr>
          <w:b/>
        </w:rPr>
        <w:tab/>
      </w:r>
      <w:r>
        <w:rPr>
          <w:rFonts w:hint="eastAsia"/>
        </w:rPr>
        <w:t>上下均有板面的预制带肋楼板宜采用填芯法生产制作。</w:t>
      </w:r>
    </w:p>
    <w:p>
      <w:pPr>
        <w:pStyle w:val="5"/>
        <w:ind w:firstLine="482"/>
      </w:pPr>
      <w:r>
        <w:rPr>
          <w:rFonts w:hint="eastAsia"/>
          <w:b/>
        </w:rPr>
        <w:t>4</w:t>
      </w:r>
      <w:r>
        <w:rPr>
          <w:b/>
        </w:rPr>
        <w:tab/>
      </w:r>
      <w:r>
        <w:rPr>
          <w:rFonts w:hint="eastAsia"/>
        </w:rPr>
        <w:t>与柱接缝处边角端面不得歪斜，严谨有裂缝和超过预应力挤压面面积5%的缺陷。</w:t>
      </w:r>
    </w:p>
    <w:p/>
    <w:p>
      <w:pPr>
        <w:pStyle w:val="3"/>
      </w:pPr>
      <w:bookmarkStart w:id="412" w:name="_Toc202345827"/>
      <w:r>
        <w:rPr>
          <w:rFonts w:hint="eastAsia"/>
        </w:rPr>
        <w:t>运输与堆放</w:t>
      </w:r>
      <w:bookmarkEnd w:id="412"/>
      <w:bookmarkStart w:id="413" w:name="_Toc197444889"/>
      <w:bookmarkEnd w:id="413"/>
    </w:p>
    <w:p>
      <w:pPr>
        <w:pStyle w:val="4"/>
      </w:pPr>
      <w:r>
        <w:rPr>
          <w:rFonts w:hint="eastAsia"/>
        </w:rPr>
        <w:t>预制构件运输与堆放时，其底部支撑位置应与构件脱模起吊时吊点位置一致，当构件底部支撑位置与吊点位置存在偏差时，应进行施工验算。</w:t>
      </w:r>
    </w:p>
    <w:p>
      <w:pPr>
        <w:pStyle w:val="4"/>
      </w:pPr>
      <w:r>
        <w:rPr>
          <w:rFonts w:hint="eastAsia"/>
        </w:rPr>
        <w:t>预制构件运输应符合下列规定：</w:t>
      </w:r>
    </w:p>
    <w:p>
      <w:pPr>
        <w:pStyle w:val="5"/>
        <w:ind w:firstLine="482"/>
      </w:pPr>
      <w:r>
        <w:rPr>
          <w:rFonts w:hint="eastAsia"/>
          <w:b/>
          <w:bCs/>
        </w:rPr>
        <w:t>1</w:t>
      </w:r>
      <w:r>
        <w:tab/>
      </w:r>
      <w:r>
        <w:rPr>
          <w:rFonts w:hint="eastAsia"/>
        </w:rPr>
        <w:t>运输前应提前规划运输线路，线路选择应根据道路、桥梁的实际条件确定。</w:t>
      </w:r>
    </w:p>
    <w:p>
      <w:pPr>
        <w:pStyle w:val="5"/>
        <w:ind w:firstLine="482"/>
      </w:pPr>
      <w:r>
        <w:rPr>
          <w:rFonts w:hint="eastAsia"/>
          <w:b/>
          <w:bCs/>
        </w:rPr>
        <w:t>2</w:t>
      </w:r>
      <w:r>
        <w:tab/>
      </w:r>
      <w:r>
        <w:rPr>
          <w:rFonts w:hint="eastAsia"/>
        </w:rPr>
        <w:t>运输车辆应满足构件尺寸和载重要求。</w:t>
      </w:r>
    </w:p>
    <w:p>
      <w:pPr>
        <w:tabs>
          <w:tab w:val="left" w:pos="840"/>
        </w:tabs>
        <w:snapToGrid w:val="0"/>
        <w:spacing w:line="360" w:lineRule="auto"/>
        <w:ind w:firstLine="481" w:firstLineChars="200"/>
      </w:pPr>
      <w:r>
        <w:rPr>
          <w:rFonts w:hint="eastAsia"/>
          <w:b/>
          <w:bCs/>
        </w:rPr>
        <w:t>3</w:t>
      </w:r>
      <w:r>
        <w:tab/>
      </w:r>
      <w:r>
        <w:rPr>
          <w:rFonts w:hint="eastAsia"/>
        </w:rPr>
        <w:t>预制构件装卸过程中，应采取防止运输车体倾覆的措施。</w:t>
      </w:r>
    </w:p>
    <w:p>
      <w:pPr>
        <w:tabs>
          <w:tab w:val="left" w:pos="840"/>
        </w:tabs>
        <w:snapToGrid w:val="0"/>
        <w:spacing w:line="360" w:lineRule="auto"/>
        <w:ind w:firstLine="481" w:firstLineChars="200"/>
      </w:pPr>
      <w:r>
        <w:rPr>
          <w:rFonts w:hint="eastAsia"/>
          <w:b/>
          <w:bCs/>
        </w:rPr>
        <w:t>4</w:t>
      </w:r>
      <w:r>
        <w:tab/>
      </w:r>
      <w:r>
        <w:rPr>
          <w:rFonts w:hint="eastAsia"/>
        </w:rPr>
        <w:t>预制柱、预制梁运输时，叠放不应超过2层。</w:t>
      </w:r>
    </w:p>
    <w:p>
      <w:pPr>
        <w:tabs>
          <w:tab w:val="left" w:pos="840"/>
        </w:tabs>
        <w:snapToGrid w:val="0"/>
        <w:spacing w:line="360" w:lineRule="auto"/>
        <w:ind w:firstLine="481" w:firstLineChars="200"/>
      </w:pPr>
      <w:r>
        <w:rPr>
          <w:rFonts w:hint="eastAsia"/>
          <w:b/>
          <w:bCs/>
        </w:rPr>
        <w:t>5</w:t>
      </w:r>
      <w:r>
        <w:tab/>
      </w:r>
      <w:r>
        <w:rPr>
          <w:rFonts w:hint="eastAsia"/>
        </w:rPr>
        <w:t>运输时应采取防止预制构件移动或倾倒的固定措施，构件与固定架或固定绳索接触部位宜采用柔性垫进行保护。</w:t>
      </w:r>
    </w:p>
    <w:p>
      <w:pPr>
        <w:pStyle w:val="4"/>
      </w:pPr>
      <w:r>
        <w:rPr>
          <w:rFonts w:hint="eastAsia"/>
        </w:rPr>
        <w:t>预制构件的堆放应符合下列规定：</w:t>
      </w:r>
    </w:p>
    <w:p>
      <w:pPr>
        <w:pStyle w:val="5"/>
        <w:ind w:firstLine="482"/>
      </w:pPr>
      <w:r>
        <w:rPr>
          <w:rFonts w:hint="eastAsia"/>
          <w:b/>
          <w:bCs/>
        </w:rPr>
        <w:t>1</w:t>
      </w:r>
      <w:r>
        <w:tab/>
      </w:r>
      <w:r>
        <w:rPr>
          <w:rFonts w:hint="eastAsia"/>
        </w:rPr>
        <w:t>堆放场地应平整、坚实且排水通畅。</w:t>
      </w:r>
    </w:p>
    <w:p>
      <w:pPr>
        <w:pStyle w:val="5"/>
        <w:ind w:firstLine="482"/>
      </w:pPr>
      <w:r>
        <w:rPr>
          <w:rFonts w:hint="eastAsia"/>
          <w:b/>
          <w:bCs/>
        </w:rPr>
        <w:t>2</w:t>
      </w:r>
      <w:r>
        <w:tab/>
      </w:r>
      <w:r>
        <w:rPr>
          <w:rFonts w:hint="eastAsia"/>
        </w:rPr>
        <w:t>最底层预制构件应垫实，预埋吊件宜垂直向上，构件标识宜置于明显位置且方便查找。</w:t>
      </w:r>
    </w:p>
    <w:p>
      <w:pPr>
        <w:pStyle w:val="5"/>
        <w:ind w:firstLine="482"/>
      </w:pPr>
      <w:r>
        <w:rPr>
          <w:rFonts w:hint="eastAsia"/>
          <w:b/>
          <w:bCs/>
        </w:rPr>
        <w:t>3</w:t>
      </w:r>
      <w:r>
        <w:tab/>
      </w:r>
      <w:r>
        <w:rPr>
          <w:rFonts w:hint="eastAsia"/>
        </w:rPr>
        <w:t>预制柱、预制梁宜水平堆放，宜采用条形垫木支撑，堆放层数不宜超过2层。</w:t>
      </w:r>
    </w:p>
    <w:p>
      <w:pPr>
        <w:pStyle w:val="5"/>
        <w:ind w:firstLine="482"/>
      </w:pPr>
      <w:r>
        <w:rPr>
          <w:rFonts w:hint="eastAsia"/>
          <w:b/>
          <w:bCs/>
        </w:rPr>
        <w:t>4</w:t>
      </w:r>
      <w:r>
        <w:tab/>
      </w:r>
      <w:r>
        <w:rPr>
          <w:rFonts w:hint="eastAsia"/>
        </w:rPr>
        <w:t>先张法预制预应力构件应按其受力方式进行堆放，不得颠倒其堆放方向。</w:t>
      </w:r>
    </w:p>
    <w:p>
      <w:pPr>
        <w:pStyle w:val="4"/>
      </w:pPr>
      <w:bookmarkStart w:id="414" w:name="_Ref197587914"/>
      <w:r>
        <w:rPr>
          <w:rFonts w:hint="eastAsia"/>
        </w:rPr>
        <w:t>预制构件的吊运应符合下列规定：</w:t>
      </w:r>
      <w:bookmarkEnd w:id="414"/>
    </w:p>
    <w:p>
      <w:pPr>
        <w:pStyle w:val="5"/>
        <w:ind w:firstLine="482"/>
      </w:pPr>
      <w:r>
        <w:rPr>
          <w:rFonts w:hint="eastAsia"/>
          <w:b/>
          <w:bCs/>
        </w:rPr>
        <w:t>1</w:t>
      </w:r>
      <w:r>
        <w:tab/>
      </w:r>
      <w:r>
        <w:rPr>
          <w:rFonts w:hint="eastAsia"/>
        </w:rPr>
        <w:t>吊具和起重设备应根据预制构件形态、尺寸、重量和作业半径等要求选择；所用吊具和起重设备及其施工操作，应符合国家现行标准中有关规定。</w:t>
      </w:r>
    </w:p>
    <w:p>
      <w:pPr>
        <w:pStyle w:val="5"/>
        <w:ind w:firstLine="482"/>
      </w:pPr>
      <w:r>
        <w:rPr>
          <w:rFonts w:hint="eastAsia"/>
          <w:b/>
          <w:bCs/>
        </w:rPr>
        <w:t>2</w:t>
      </w:r>
      <w:r>
        <w:tab/>
      </w:r>
      <w:r>
        <w:rPr>
          <w:rFonts w:hint="eastAsia"/>
        </w:rPr>
        <w:t>对尺寸较大的预制构件，宜采用带平衡梁的吊具。</w:t>
      </w:r>
    </w:p>
    <w:p>
      <w:pPr>
        <w:pStyle w:val="5"/>
        <w:ind w:firstLine="482"/>
      </w:pPr>
      <w:r>
        <w:rPr>
          <w:rFonts w:hint="eastAsia"/>
          <w:b/>
          <w:bCs/>
        </w:rPr>
        <w:t>3</w:t>
      </w:r>
      <w:r>
        <w:tab/>
      </w:r>
      <w:r>
        <w:rPr>
          <w:rFonts w:hint="eastAsia"/>
        </w:rPr>
        <w:t>吊索与预制构件水平夹角不宜小于60°，不应小于45°。</w:t>
      </w:r>
    </w:p>
    <w:p>
      <w:pPr>
        <w:pStyle w:val="5"/>
      </w:pPr>
      <w:r>
        <w:rPr>
          <w:rFonts w:hint="eastAsia"/>
        </w:rPr>
        <w:br w:type="page"/>
      </w:r>
    </w:p>
    <w:p>
      <w:pPr>
        <w:pStyle w:val="2"/>
      </w:pPr>
      <w:bookmarkStart w:id="415" w:name="_Toc172211464"/>
      <w:bookmarkStart w:id="416" w:name="_Toc91664417"/>
      <w:bookmarkStart w:id="417" w:name="_Toc6276"/>
      <w:bookmarkStart w:id="418" w:name="_Toc86067974"/>
      <w:bookmarkStart w:id="419" w:name="_Ref173165874"/>
      <w:bookmarkStart w:id="420" w:name="_Toc92182263"/>
      <w:bookmarkStart w:id="421" w:name="_Toc91664527"/>
      <w:bookmarkStart w:id="422" w:name="_Toc202345828"/>
      <w:r>
        <w:t>施工</w:t>
      </w:r>
      <w:bookmarkEnd w:id="415"/>
      <w:bookmarkEnd w:id="416"/>
      <w:bookmarkEnd w:id="417"/>
      <w:bookmarkEnd w:id="418"/>
      <w:bookmarkEnd w:id="419"/>
      <w:bookmarkEnd w:id="420"/>
      <w:bookmarkEnd w:id="421"/>
      <w:r>
        <w:rPr>
          <w:rFonts w:hint="eastAsia"/>
        </w:rPr>
        <w:t>安装</w:t>
      </w:r>
      <w:bookmarkEnd w:id="422"/>
    </w:p>
    <w:p>
      <w:pPr>
        <w:pStyle w:val="3"/>
      </w:pPr>
      <w:bookmarkStart w:id="423" w:name="_Toc91664528"/>
      <w:bookmarkStart w:id="424" w:name="_Toc91664418"/>
      <w:bookmarkStart w:id="425" w:name="_Toc86067975"/>
      <w:bookmarkStart w:id="426" w:name="_Toc173143036"/>
      <w:bookmarkStart w:id="427" w:name="_Toc202345829"/>
      <w:bookmarkStart w:id="428" w:name="_Toc29575"/>
      <w:bookmarkStart w:id="429" w:name="_Toc92182264"/>
      <w:bookmarkStart w:id="430" w:name="_Toc172211465"/>
      <w:r>
        <w:t>一般规定</w:t>
      </w:r>
      <w:bookmarkEnd w:id="423"/>
      <w:bookmarkEnd w:id="424"/>
      <w:bookmarkEnd w:id="425"/>
      <w:bookmarkEnd w:id="426"/>
      <w:bookmarkEnd w:id="427"/>
      <w:bookmarkEnd w:id="428"/>
      <w:bookmarkEnd w:id="429"/>
      <w:bookmarkEnd w:id="430"/>
      <w:bookmarkStart w:id="431" w:name="_Toc197444891"/>
      <w:bookmarkEnd w:id="431"/>
    </w:p>
    <w:p>
      <w:pPr>
        <w:pStyle w:val="4"/>
      </w:pPr>
      <w:bookmarkStart w:id="432" w:name="_Toc86067976"/>
      <w:bookmarkStart w:id="433" w:name="_Ref86140229"/>
      <w:r>
        <w:rPr>
          <w:rFonts w:hint="eastAsia"/>
        </w:rPr>
        <w:t>装配式结构施工和预应力工程施工除应符合本规程的规定外，还应符合现行国家标准《混凝土结构工程施工规范》GB</w:t>
      </w:r>
      <w:r>
        <w:t xml:space="preserve"> </w:t>
      </w:r>
      <w:r>
        <w:rPr>
          <w:rFonts w:hint="eastAsia"/>
        </w:rPr>
        <w:t>50666、《装配式混凝土建筑技术标准》GB/T 51231、《混凝土结构工程施工质量验收规范》GB</w:t>
      </w:r>
      <w:r>
        <w:t xml:space="preserve"> </w:t>
      </w:r>
      <w:r>
        <w:rPr>
          <w:rFonts w:hint="eastAsia"/>
        </w:rPr>
        <w:t>50204及北京市地方标准《装配式混凝土结构工程施工与质量验收规程》DB11/T 1030、《预应力混凝土结构技术规程》DB11/T 2005的规定。</w:t>
      </w:r>
    </w:p>
    <w:p>
      <w:pPr>
        <w:pStyle w:val="4"/>
      </w:pPr>
      <w:bookmarkStart w:id="434" w:name="_Ref198041331"/>
      <w:r>
        <w:rPr>
          <w:rFonts w:hint="eastAsia"/>
        </w:rPr>
        <w:t>装配式混凝土结构施工前，施工单位应编制装配式混凝土结构施工方案。施工方案应包括工程概况、编制依据、进度计划、施工场地布置、预制构件运输与存放、安装与连接施工、绿色施工、安全管理、质量管理、信息化管理、应急预案等内容。预应力工程应由专业分包单位编制专项施工方案，必要时进行施工过程分析，以确保按预应力压接结构体系按本规程和设计要求建立有效的预应力。施工方案应按规定程序审核审批后实施。</w:t>
      </w:r>
      <w:bookmarkEnd w:id="434"/>
    </w:p>
    <w:p>
      <w:pPr>
        <w:pStyle w:val="4"/>
      </w:pPr>
      <w:bookmarkStart w:id="435" w:name="_Toc86067989"/>
      <w:bookmarkStart w:id="436" w:name="_Ref86140552"/>
      <w:r>
        <w:rPr>
          <w:rFonts w:hint="eastAsia"/>
        </w:rPr>
        <w:t>装配式混凝土结构施工前，宜选择有代表性的单元进行预制构件试安装，并应根据试安装结果及时调整完善施工方案和施工工艺。</w:t>
      </w:r>
      <w:bookmarkEnd w:id="435"/>
      <w:bookmarkEnd w:id="436"/>
    </w:p>
    <w:p>
      <w:pPr>
        <w:pStyle w:val="4"/>
      </w:pPr>
      <w:bookmarkStart w:id="437" w:name="_Ref198041375"/>
      <w:r>
        <w:rPr>
          <w:rFonts w:hint="eastAsia"/>
        </w:rPr>
        <w:t>预制柱钢筋采用套筒灌浆连接时，灌浆料与灌浆套筒产品应由产品提供单位按照接头型式检验报告配套提供，灌浆套筒、灌浆料及接头性能应符合现行行业标准《钢筋套筒灌浆连接应用技术规程》JGJ 355和北京市地方标准《钢筋套筒灌浆连接技术规程》DB11/T</w:t>
      </w:r>
      <w:r>
        <w:t xml:space="preserve"> </w:t>
      </w:r>
      <w:r>
        <w:rPr>
          <w:rFonts w:hint="eastAsia"/>
        </w:rPr>
        <w:t>1470的规定。当过程中变更灌浆料或灌浆套筒生产厂家时，应补充接头工艺检验，合格后方可使用。</w:t>
      </w:r>
      <w:bookmarkEnd w:id="437"/>
    </w:p>
    <w:bookmarkEnd w:id="432"/>
    <w:bookmarkEnd w:id="433"/>
    <w:p>
      <w:pPr>
        <w:pStyle w:val="4"/>
      </w:pPr>
      <w:bookmarkStart w:id="438" w:name="_Ref198041409"/>
      <w:bookmarkStart w:id="439" w:name="_Toc86067977"/>
      <w:bookmarkStart w:id="440" w:name="_Ref86140256"/>
      <w:r>
        <w:rPr>
          <w:rFonts w:hint="eastAsia"/>
        </w:rPr>
        <w:t>预制构件安装时，应符合下列规定：</w:t>
      </w:r>
      <w:bookmarkEnd w:id="438"/>
    </w:p>
    <w:p>
      <w:pPr>
        <w:snapToGrid w:val="0"/>
        <w:spacing w:line="360" w:lineRule="auto"/>
        <w:ind w:firstLine="481" w:firstLineChars="200"/>
      </w:pPr>
      <w:r>
        <w:rPr>
          <w:b/>
        </w:rPr>
        <w:t>1</w:t>
      </w:r>
      <w:r>
        <w:rPr>
          <w:b/>
          <w:bCs/>
        </w:rPr>
        <w:tab/>
      </w:r>
      <w:r>
        <w:rPr>
          <w:rFonts w:hint="eastAsia"/>
        </w:rPr>
        <w:t>预制构件的混凝土强度应符合设计要求；</w:t>
      </w:r>
    </w:p>
    <w:p>
      <w:pPr>
        <w:snapToGrid w:val="0"/>
        <w:spacing w:line="360" w:lineRule="auto"/>
        <w:ind w:firstLine="481" w:firstLineChars="200"/>
      </w:pPr>
      <w:r>
        <w:rPr>
          <w:rFonts w:hint="eastAsia"/>
          <w:b/>
        </w:rPr>
        <w:t>2</w:t>
      </w:r>
      <w:r>
        <w:rPr>
          <w:b/>
          <w:bCs/>
        </w:rPr>
        <w:tab/>
      </w:r>
      <w:r>
        <w:rPr>
          <w:rFonts w:hint="eastAsia"/>
        </w:rPr>
        <w:t>宜对预制构件及其上的建筑附件、预埋件、预埋吊件等采用施工保护措施，不应出现破损或污染；</w:t>
      </w:r>
    </w:p>
    <w:p>
      <w:pPr>
        <w:snapToGrid w:val="0"/>
        <w:spacing w:line="360" w:lineRule="auto"/>
        <w:ind w:firstLine="481" w:firstLineChars="200"/>
      </w:pPr>
      <w:r>
        <w:rPr>
          <w:rFonts w:hint="eastAsia"/>
          <w:b/>
        </w:rPr>
        <w:t>3</w:t>
      </w:r>
      <w:r>
        <w:rPr>
          <w:b/>
          <w:bCs/>
        </w:rPr>
        <w:tab/>
      </w:r>
      <w:r>
        <w:rPr>
          <w:rFonts w:hint="eastAsia"/>
        </w:rPr>
        <w:t>构件间钢筋采用焊接时，应避免引起预制构件及连接部位混凝土开裂；</w:t>
      </w:r>
    </w:p>
    <w:p>
      <w:pPr>
        <w:snapToGrid w:val="0"/>
        <w:spacing w:line="360" w:lineRule="auto"/>
        <w:ind w:firstLine="481" w:firstLineChars="200"/>
      </w:pPr>
      <w:r>
        <w:rPr>
          <w:rFonts w:hint="eastAsia"/>
          <w:b/>
        </w:rPr>
        <w:t>4</w:t>
      </w:r>
      <w:r>
        <w:rPr>
          <w:b/>
          <w:bCs/>
        </w:rPr>
        <w:tab/>
      </w:r>
      <w:r>
        <w:rPr>
          <w:rFonts w:hint="eastAsia"/>
        </w:rPr>
        <w:t>预制构件连接部位后浇混凝土或灌浆料应达到设计规定强度后，方可进行上部结构安装施工或下部支撑拆除；</w:t>
      </w:r>
    </w:p>
    <w:p>
      <w:pPr>
        <w:snapToGrid w:val="0"/>
        <w:spacing w:line="360" w:lineRule="auto"/>
        <w:ind w:firstLine="481" w:firstLineChars="200"/>
      </w:pPr>
      <w:r>
        <w:rPr>
          <w:rFonts w:hint="eastAsia"/>
          <w:b/>
        </w:rPr>
        <w:t>5</w:t>
      </w:r>
      <w:r>
        <w:rPr>
          <w:b/>
          <w:bCs/>
        </w:rPr>
        <w:tab/>
      </w:r>
      <w:r>
        <w:rPr>
          <w:rFonts w:hint="eastAsia"/>
        </w:rPr>
        <w:t>装配式混凝土结构施工时，吊装安装及灌浆施工作业人员应培训合格后上岗。</w:t>
      </w:r>
    </w:p>
    <w:p>
      <w:pPr>
        <w:pStyle w:val="4"/>
      </w:pPr>
      <w:r>
        <w:rPr>
          <w:rFonts w:hint="eastAsia"/>
        </w:rPr>
        <w:t>预应力钢绞线张拉应在梁柱接缝灌浆材料强度超过梁柱混凝土设计强度80%以上后，楼板叠合层混凝土浇筑前完成。</w:t>
      </w:r>
      <w:bookmarkEnd w:id="439"/>
      <w:bookmarkEnd w:id="440"/>
    </w:p>
    <w:p>
      <w:pPr>
        <w:pStyle w:val="4"/>
      </w:pPr>
      <w:r>
        <w:rPr>
          <w:rFonts w:hint="eastAsia"/>
        </w:rPr>
        <w:t>预制梁安装、预应力筋穿束、张拉及灌浆作业宜采用固定在预制柱上的工具式操作平台，也可采用高空作业车。</w:t>
      </w:r>
    </w:p>
    <w:p>
      <w:pPr>
        <w:pStyle w:val="4"/>
      </w:pPr>
      <w:r>
        <w:rPr>
          <w:rFonts w:hint="eastAsia"/>
        </w:rPr>
        <w:t>预制构件安装过程中，应根据水准点、轴线和安装基准线校正构件位置；吊具摘钩应在构件校准定位完毕并采用临时固定措施后进行。</w:t>
      </w:r>
    </w:p>
    <w:p>
      <w:pPr>
        <w:pStyle w:val="4"/>
      </w:pPr>
      <w:bookmarkStart w:id="441" w:name="_Ref198041456"/>
      <w:bookmarkStart w:id="442" w:name="_Ref81322657"/>
      <w:bookmarkStart w:id="443" w:name="_Toc86068034"/>
      <w:r>
        <w:rPr>
          <w:rFonts w:hint="eastAsia"/>
        </w:rPr>
        <w:t>采用施工阶段不搭设板底支撑的带后浇叠合层的双T板或预应力空心板的压接装配框架结构，压接梁柱节点连接施工（包括预应力筋穿束、节点灌浆及预应力筋张拉）宜在预制楼板铺设之前完成，楼板叠合层钢筋安装绑扎和板内管线铺设可同时进行。</w:t>
      </w:r>
      <w:bookmarkEnd w:id="441"/>
    </w:p>
    <w:bookmarkEnd w:id="442"/>
    <w:bookmarkEnd w:id="443"/>
    <w:p>
      <w:pPr>
        <w:pStyle w:val="4"/>
      </w:pPr>
      <w:bookmarkStart w:id="444" w:name="_Ref198041514"/>
      <w:bookmarkStart w:id="445" w:name="_Toc86068035"/>
      <w:bookmarkStart w:id="446" w:name="_Ref81322707"/>
      <w:bookmarkStart w:id="447" w:name="_Ref91602263"/>
      <w:r>
        <w:rPr>
          <w:rFonts w:hint="eastAsia"/>
        </w:rPr>
        <w:t>采用施工时提前搭设板底支撑的钢筋桁架叠合板或钢管桁架叠合板的压接装配框架结构，压接梁柱节点连接施工（包括预应力筋穿束、节点灌浆及预应力筋张拉）宜与预制楼板铺设同时进行。</w:t>
      </w:r>
      <w:bookmarkEnd w:id="444"/>
    </w:p>
    <w:bookmarkEnd w:id="445"/>
    <w:bookmarkEnd w:id="446"/>
    <w:bookmarkEnd w:id="447"/>
    <w:p>
      <w:pPr>
        <w:pStyle w:val="4"/>
      </w:pPr>
      <w:bookmarkStart w:id="448" w:name="_Ref198041572"/>
      <w:bookmarkStart w:id="449" w:name="_Ref172271562"/>
      <w:r>
        <w:rPr>
          <w:rFonts w:hint="eastAsia"/>
        </w:rPr>
        <w:t>采用自复位梁柱节点的压接装配框架结构，梁柱节点的耗能钢筋穿设宜与预应力筋穿设同步进行，预制楼板安装宜在预应力筋张拉完成后进行。</w:t>
      </w:r>
      <w:bookmarkEnd w:id="448"/>
    </w:p>
    <w:bookmarkEnd w:id="449"/>
    <w:p>
      <w:pPr>
        <w:pStyle w:val="4"/>
      </w:pPr>
      <w:bookmarkStart w:id="450" w:name="_Ref178584834"/>
      <w:r>
        <w:rPr>
          <w:rFonts w:hint="eastAsia"/>
        </w:rPr>
        <w:t>压接装配板柱的施工顺序宜由下而上逐层进行，且宜符合下列规定：</w:t>
      </w:r>
      <w:bookmarkEnd w:id="450"/>
    </w:p>
    <w:p>
      <w:pPr>
        <w:pStyle w:val="5"/>
        <w:ind w:firstLine="482"/>
      </w:pPr>
      <w:r>
        <w:rPr>
          <w:rFonts w:hint="eastAsia"/>
          <w:b/>
        </w:rPr>
        <w:t>1</w:t>
      </w:r>
      <w:r>
        <w:rPr>
          <w:rFonts w:hint="eastAsia"/>
        </w:rPr>
        <w:tab/>
      </w:r>
      <w:r>
        <w:rPr>
          <w:rFonts w:hint="eastAsia"/>
        </w:rPr>
        <w:t>当采用整块预制楼板时，每一楼层主体结构施工步骤宜为安装预制柱和临时支托、搭设板底临时支撑、安装整块预制楼板（并外推柱）、浇筑楼板与柱间接缝、穿预应力筋并张拉、预应力孔道灌浆、浇筑明槽和楼板叠合层；</w:t>
      </w:r>
    </w:p>
    <w:p>
      <w:pPr>
        <w:pStyle w:val="70"/>
      </w:pPr>
      <w:r>
        <w:rPr>
          <w:rFonts w:hint="eastAsia"/>
          <w:b/>
          <w:bCs/>
        </w:rPr>
        <w:t>2</w:t>
      </w:r>
      <w:r>
        <w:tab/>
      </w:r>
      <w:r>
        <w:rPr>
          <w:rFonts w:hint="eastAsia"/>
        </w:rPr>
        <w:t>当采用拼接预制楼板时，每一楼层主体结构施工步骤宜为安装预制柱和临时支托、搭设板底临时支撑、安装整块预制楼板（并外推柱）、预制垫块安装或现浇垫块浇筑、浇筑楼板与柱间接缝、穿预应力筋并张拉、预应力孔道灌浆、浇筑明槽和楼板叠合层。</w:t>
      </w:r>
    </w:p>
    <w:p/>
    <w:p>
      <w:pPr>
        <w:pStyle w:val="3"/>
      </w:pPr>
      <w:bookmarkStart w:id="451" w:name="_Toc202345830"/>
      <w:r>
        <w:rPr>
          <w:rFonts w:hint="eastAsia"/>
        </w:rPr>
        <w:t>安装准备</w:t>
      </w:r>
      <w:bookmarkEnd w:id="451"/>
      <w:bookmarkStart w:id="452" w:name="_Toc197444892"/>
      <w:bookmarkEnd w:id="452"/>
    </w:p>
    <w:p>
      <w:pPr>
        <w:pStyle w:val="4"/>
      </w:pPr>
      <w:bookmarkStart w:id="453" w:name="_Toc86067985"/>
      <w:bookmarkStart w:id="454" w:name="_Ref86140435"/>
      <w:r>
        <w:t>预制构件安装前的准备工作应符合下列规定：</w:t>
      </w:r>
      <w:bookmarkEnd w:id="453"/>
      <w:bookmarkEnd w:id="454"/>
    </w:p>
    <w:p>
      <w:pPr>
        <w:tabs>
          <w:tab w:val="left" w:pos="840"/>
        </w:tabs>
        <w:snapToGrid w:val="0"/>
        <w:spacing w:line="360" w:lineRule="auto"/>
        <w:ind w:firstLine="481" w:firstLineChars="200"/>
      </w:pPr>
      <w:r>
        <w:rPr>
          <w:rFonts w:hint="eastAsia"/>
          <w:b/>
        </w:rPr>
        <w:t>1</w:t>
      </w:r>
      <w:r>
        <w:rPr>
          <w:rFonts w:hint="eastAsia"/>
        </w:rPr>
        <w:tab/>
      </w:r>
      <w:r>
        <w:rPr>
          <w:rFonts w:hint="eastAsia"/>
        </w:rPr>
        <w:t>预制构件进场应进行验收。构件和配件的标识应与深化设计文件一致，并应提供出厂合格证及相关质量证明文件，预制构件的混凝土强度、构件和配件的型号、规格、外观质量、数量、预留预埋件等应符合深化设计文件要求，尺寸偏差应符合现行国家标准《混凝土结构工程施工规范》GB 50666和本规程第</w:t>
      </w:r>
      <w:r>
        <w:t>6.3.8</w:t>
      </w:r>
      <w:r>
        <w:rPr>
          <w:rFonts w:hint="eastAsia"/>
        </w:rPr>
        <w:t>条的规定；</w:t>
      </w:r>
    </w:p>
    <w:p>
      <w:pPr>
        <w:tabs>
          <w:tab w:val="left" w:pos="840"/>
        </w:tabs>
        <w:snapToGrid w:val="0"/>
        <w:spacing w:line="360" w:lineRule="auto"/>
        <w:ind w:firstLine="481" w:firstLineChars="200"/>
      </w:pPr>
      <w:r>
        <w:rPr>
          <w:rFonts w:hint="eastAsia"/>
          <w:b/>
        </w:rPr>
        <w:t>2</w:t>
      </w:r>
      <w:r>
        <w:rPr>
          <w:rFonts w:hint="eastAsia"/>
        </w:rPr>
        <w:tab/>
      </w:r>
      <w:r>
        <w:rPr>
          <w:rFonts w:hint="eastAsia"/>
        </w:rPr>
        <w:t>施工现场内道路应按构件运输车辆的要求设置转弯半径及道路坡度，现场内应设置平整坚实且有排水设施的构件堆场，宜备存至少一层构件；</w:t>
      </w:r>
    </w:p>
    <w:p>
      <w:pPr>
        <w:tabs>
          <w:tab w:val="left" w:pos="840"/>
        </w:tabs>
        <w:snapToGrid w:val="0"/>
        <w:spacing w:line="360" w:lineRule="auto"/>
        <w:ind w:firstLine="481" w:firstLineChars="200"/>
      </w:pPr>
      <w:r>
        <w:rPr>
          <w:rFonts w:hint="eastAsia"/>
          <w:b/>
        </w:rPr>
        <w:t>3</w:t>
      </w:r>
      <w:r>
        <w:rPr>
          <w:rFonts w:hint="eastAsia"/>
        </w:rPr>
        <w:tab/>
      </w:r>
      <w:r>
        <w:rPr>
          <w:rFonts w:hint="eastAsia"/>
        </w:rPr>
        <w:t>在已施工完成的结构、基础上应进行测量放线、设置构件安装定位标识，已施工完成结构、基础的混凝土强度、外观质量和尺寸偏差应符合现行国家标准《混凝土结构工程施工规范》GB 50666的有关规定；</w:t>
      </w:r>
    </w:p>
    <w:p>
      <w:pPr>
        <w:tabs>
          <w:tab w:val="left" w:pos="840"/>
        </w:tabs>
        <w:snapToGrid w:val="0"/>
        <w:spacing w:line="360" w:lineRule="auto"/>
        <w:ind w:firstLine="481" w:firstLineChars="200"/>
      </w:pPr>
      <w:r>
        <w:rPr>
          <w:rFonts w:hint="eastAsia"/>
          <w:b/>
        </w:rPr>
        <w:t>4</w:t>
      </w:r>
      <w:r>
        <w:rPr>
          <w:rFonts w:hint="eastAsia"/>
        </w:rPr>
        <w:tab/>
      </w:r>
      <w:r>
        <w:rPr>
          <w:rFonts w:hint="eastAsia"/>
        </w:rPr>
        <w:t>临时支撑、构件安装定型工具、吊装设备及吊具应进行安全检查，型号、数量及性能应符合设计及施工要求；</w:t>
      </w:r>
    </w:p>
    <w:p>
      <w:pPr>
        <w:tabs>
          <w:tab w:val="left" w:pos="840"/>
        </w:tabs>
        <w:snapToGrid w:val="0"/>
        <w:spacing w:line="360" w:lineRule="auto"/>
        <w:ind w:firstLine="481" w:firstLineChars="200"/>
      </w:pPr>
      <w:r>
        <w:rPr>
          <w:rFonts w:hint="eastAsia"/>
          <w:b/>
          <w:bCs/>
        </w:rPr>
        <w:t>5</w:t>
      </w:r>
      <w:r>
        <w:tab/>
      </w:r>
      <w:r>
        <w:rPr>
          <w:rFonts w:hint="eastAsia"/>
        </w:rPr>
        <w:t>施工单位应按照装配式混凝土结构施工的特点和要求，对管理人员、吊装安装及灌浆施工作业人员进行专项培训，并对塔吊作业人员和施工操作人员进行吊装前的安全技术交底。</w:t>
      </w:r>
    </w:p>
    <w:p>
      <w:pPr>
        <w:pStyle w:val="4"/>
      </w:pPr>
      <w:r>
        <w:rPr>
          <w:rFonts w:hint="eastAsia"/>
        </w:rPr>
        <w:t>预制构件安装采用的吊具应符合下列规定：</w:t>
      </w:r>
    </w:p>
    <w:p>
      <w:pPr>
        <w:pStyle w:val="70"/>
      </w:pPr>
      <w:r>
        <w:rPr>
          <w:rFonts w:hint="eastAsia"/>
          <w:b/>
          <w:bCs/>
        </w:rPr>
        <w:t>1</w:t>
      </w:r>
      <w:r>
        <w:rPr>
          <w:rFonts w:hint="eastAsia"/>
        </w:rPr>
        <w:tab/>
      </w:r>
      <w:r>
        <w:rPr>
          <w:rFonts w:hint="eastAsia"/>
        </w:rPr>
        <w:t>吊具应按现行行业标准《建筑施工起重吊装工程安全技术规范》JGJ 276的规定，进行设计验算或试验检验，经验证合格后方可使用；</w:t>
      </w:r>
    </w:p>
    <w:p>
      <w:pPr>
        <w:pStyle w:val="70"/>
      </w:pPr>
      <w:r>
        <w:rPr>
          <w:rFonts w:hint="eastAsia"/>
          <w:b/>
          <w:bCs/>
        </w:rPr>
        <w:t>2</w:t>
      </w:r>
      <w:r>
        <w:rPr>
          <w:rFonts w:hint="eastAsia"/>
        </w:rPr>
        <w:tab/>
      </w:r>
      <w:r>
        <w:rPr>
          <w:rFonts w:hint="eastAsia"/>
        </w:rPr>
        <w:t>应根据预制构件形状、尺寸及重量要求选择适宜的吊具，在吊装过程中，吊索与预制构件的夹角应满足本规程</w:t>
      </w:r>
      <w:r>
        <w:fldChar w:fldCharType="begin"/>
      </w:r>
      <w:r>
        <w:instrText xml:space="preserve"> </w:instrText>
      </w:r>
      <w:r>
        <w:rPr>
          <w:rFonts w:hint="eastAsia"/>
        </w:rPr>
        <w:instrText xml:space="preserve">REF _Ref197587914 \r \h</w:instrText>
      </w:r>
      <w:r>
        <w:instrText xml:space="preserve"> </w:instrText>
      </w:r>
      <w:r>
        <w:fldChar w:fldCharType="separate"/>
      </w:r>
      <w:r>
        <w:t>6. 4. 4</w:t>
      </w:r>
      <w:r>
        <w:fldChar w:fldCharType="end"/>
      </w:r>
      <w:r>
        <w:rPr>
          <w:rFonts w:hint="eastAsia"/>
        </w:rPr>
        <w:t>条的规定；尺寸较大或形状复杂的预制构件应选择设置分配梁或分配桁架的吊具，应采取保证起重设备的主钩位置、吊具及构件重心在竖直方向重合的措施。</w:t>
      </w:r>
    </w:p>
    <w:p>
      <w:pPr>
        <w:pStyle w:val="4"/>
      </w:pPr>
      <w:bookmarkStart w:id="455" w:name="_Toc86067990"/>
      <w:bookmarkStart w:id="456" w:name="_Ref86140592"/>
      <w:r>
        <w:t>预应力施工前应</w:t>
      </w:r>
      <w:r>
        <w:rPr>
          <w:rFonts w:hint="eastAsia"/>
        </w:rPr>
        <w:t>检查以下内容</w:t>
      </w:r>
      <w:r>
        <w:t>：</w:t>
      </w:r>
      <w:bookmarkEnd w:id="455"/>
      <w:bookmarkEnd w:id="456"/>
    </w:p>
    <w:p>
      <w:pPr>
        <w:tabs>
          <w:tab w:val="left" w:pos="840"/>
        </w:tabs>
        <w:snapToGrid w:val="0"/>
        <w:spacing w:line="360" w:lineRule="auto"/>
        <w:ind w:firstLine="481" w:firstLineChars="200"/>
      </w:pPr>
      <w:r>
        <w:rPr>
          <w:rFonts w:hint="eastAsia"/>
          <w:b/>
        </w:rPr>
        <w:t>1</w:t>
      </w:r>
      <w:r>
        <w:rPr>
          <w:rFonts w:hint="eastAsia"/>
        </w:rPr>
        <w:tab/>
      </w:r>
      <w:r>
        <w:rPr>
          <w:rFonts w:hint="eastAsia"/>
        </w:rPr>
        <w:t>预应力钢绞线长度、规格、数量、性能应满足设计与施工要求；</w:t>
      </w:r>
    </w:p>
    <w:p>
      <w:pPr>
        <w:tabs>
          <w:tab w:val="left" w:pos="840"/>
        </w:tabs>
        <w:snapToGrid w:val="0"/>
        <w:spacing w:line="360" w:lineRule="auto"/>
        <w:ind w:firstLine="481" w:firstLineChars="200"/>
      </w:pPr>
      <w:r>
        <w:rPr>
          <w:rFonts w:hint="eastAsia"/>
          <w:b/>
        </w:rPr>
        <w:t>2</w:t>
      </w:r>
      <w:r>
        <w:rPr>
          <w:rFonts w:hint="eastAsia"/>
        </w:rPr>
        <w:tab/>
      </w:r>
      <w:r>
        <w:rPr>
          <w:rFonts w:hint="eastAsia"/>
        </w:rPr>
        <w:t>预应力钢绞线的有粘结段应按设计要求或本规程第</w:t>
      </w:r>
      <w:r>
        <w:fldChar w:fldCharType="begin"/>
      </w:r>
      <w:r>
        <w:instrText xml:space="preserve"> </w:instrText>
      </w:r>
      <w:r>
        <w:rPr>
          <w:rFonts w:hint="eastAsia"/>
        </w:rPr>
        <w:instrText xml:space="preserve">REF _Ref172273060 \r \h</w:instrText>
      </w:r>
      <w:r>
        <w:instrText xml:space="preserve"> </w:instrText>
      </w:r>
      <w:r>
        <w:fldChar w:fldCharType="separate"/>
      </w:r>
      <w:r>
        <w:t>7. 2. 4</w:t>
      </w:r>
      <w:r>
        <w:fldChar w:fldCharType="end"/>
      </w:r>
      <w:r>
        <w:rPr>
          <w:rFonts w:hint="eastAsia"/>
        </w:rPr>
        <w:t>条的要求进行了预先处理；</w:t>
      </w:r>
    </w:p>
    <w:p>
      <w:pPr>
        <w:tabs>
          <w:tab w:val="left" w:pos="840"/>
        </w:tabs>
        <w:snapToGrid w:val="0"/>
        <w:spacing w:line="360" w:lineRule="auto"/>
        <w:ind w:firstLine="481" w:firstLineChars="200"/>
      </w:pPr>
      <w:r>
        <w:rPr>
          <w:rFonts w:hint="eastAsia"/>
          <w:b/>
        </w:rPr>
        <w:t>3</w:t>
      </w:r>
      <w:r>
        <w:rPr>
          <w:rFonts w:hint="eastAsia"/>
        </w:rPr>
        <w:tab/>
      </w:r>
      <w:r>
        <w:rPr>
          <w:rFonts w:hint="eastAsia"/>
        </w:rPr>
        <w:t>预应力钢绞线孔道线型与定位应满足设计要求，孔道、排气兼泌水管及灌浆孔应畅通；</w:t>
      </w:r>
    </w:p>
    <w:p>
      <w:pPr>
        <w:tabs>
          <w:tab w:val="left" w:pos="840"/>
        </w:tabs>
        <w:snapToGrid w:val="0"/>
        <w:spacing w:line="360" w:lineRule="auto"/>
        <w:ind w:firstLine="481" w:firstLineChars="200"/>
      </w:pPr>
      <w:r>
        <w:rPr>
          <w:rFonts w:hint="eastAsia"/>
          <w:b/>
        </w:rPr>
        <w:t>4</w:t>
      </w:r>
      <w:r>
        <w:rPr>
          <w:rFonts w:hint="eastAsia"/>
        </w:rPr>
        <w:tab/>
      </w:r>
      <w:r>
        <w:rPr>
          <w:rFonts w:hint="eastAsia"/>
        </w:rPr>
        <w:t>锚垫板应垂直于预应力孔道中心，锚垫板后混凝土应密实，且满足局部承压要求；</w:t>
      </w:r>
    </w:p>
    <w:p>
      <w:pPr>
        <w:tabs>
          <w:tab w:val="left" w:pos="840"/>
        </w:tabs>
        <w:snapToGrid w:val="0"/>
        <w:spacing w:line="360" w:lineRule="auto"/>
        <w:ind w:firstLine="481" w:firstLineChars="200"/>
      </w:pPr>
      <w:r>
        <w:rPr>
          <w:rFonts w:hint="eastAsia"/>
          <w:b/>
        </w:rPr>
        <w:t>5</w:t>
      </w:r>
      <w:r>
        <w:rPr>
          <w:rFonts w:hint="eastAsia"/>
        </w:rPr>
        <w:tab/>
      </w:r>
      <w:r>
        <w:rPr>
          <w:rFonts w:hint="eastAsia"/>
        </w:rPr>
        <w:t>张拉机具与锚具应配套，并已在进场前完成检查和标定；</w:t>
      </w:r>
    </w:p>
    <w:p>
      <w:pPr>
        <w:tabs>
          <w:tab w:val="left" w:pos="840"/>
        </w:tabs>
        <w:snapToGrid w:val="0"/>
        <w:spacing w:line="360" w:lineRule="auto"/>
        <w:ind w:firstLine="481" w:firstLineChars="200"/>
      </w:pPr>
      <w:r>
        <w:rPr>
          <w:rFonts w:hint="eastAsia"/>
          <w:b/>
        </w:rPr>
        <w:t>6</w:t>
      </w:r>
      <w:r>
        <w:rPr>
          <w:rFonts w:hint="eastAsia"/>
        </w:rPr>
        <w:tab/>
      </w:r>
      <w:r>
        <w:rPr>
          <w:rFonts w:hint="eastAsia"/>
        </w:rPr>
        <w:t>预应力钢绞线的张拉力和张拉伸长值计算符合设计要求，并根据张拉设备标定结果确定油泵压力表读数；</w:t>
      </w:r>
    </w:p>
    <w:p>
      <w:pPr>
        <w:tabs>
          <w:tab w:val="left" w:pos="840"/>
        </w:tabs>
        <w:snapToGrid w:val="0"/>
        <w:spacing w:line="360" w:lineRule="auto"/>
        <w:ind w:firstLine="481" w:firstLineChars="200"/>
      </w:pPr>
      <w:r>
        <w:rPr>
          <w:rFonts w:hint="eastAsia"/>
          <w:b/>
        </w:rPr>
        <w:t>7</w:t>
      </w:r>
      <w:r>
        <w:rPr>
          <w:rFonts w:hint="eastAsia"/>
        </w:rPr>
        <w:tab/>
      </w:r>
      <w:r>
        <w:rPr>
          <w:rFonts w:hint="eastAsia"/>
        </w:rPr>
        <w:t>张拉设备、张拉作业平台满足设计及施工要求；</w:t>
      </w:r>
    </w:p>
    <w:p>
      <w:pPr>
        <w:tabs>
          <w:tab w:val="left" w:pos="840"/>
        </w:tabs>
        <w:snapToGrid w:val="0"/>
        <w:spacing w:line="360" w:lineRule="auto"/>
        <w:ind w:firstLine="481" w:firstLineChars="200"/>
      </w:pPr>
      <w:r>
        <w:rPr>
          <w:rFonts w:hint="eastAsia"/>
          <w:b/>
        </w:rPr>
        <w:t>8</w:t>
      </w:r>
      <w:r>
        <w:rPr>
          <w:rFonts w:hint="eastAsia"/>
        </w:rPr>
        <w:tab/>
      </w:r>
      <w:r>
        <w:rPr>
          <w:rFonts w:hint="eastAsia"/>
        </w:rPr>
        <w:t>当工程所处环境温度低于-15℃时，不宜进行预应力钢绞线张拉。</w:t>
      </w:r>
    </w:p>
    <w:p>
      <w:pPr>
        <w:pStyle w:val="4"/>
      </w:pPr>
      <w:r>
        <w:tab/>
      </w:r>
      <w:bookmarkStart w:id="457" w:name="_Toc86067991"/>
      <w:bookmarkStart w:id="458" w:name="_Ref86140621"/>
      <w:bookmarkStart w:id="459" w:name="_Ref172273060"/>
      <w:r>
        <w:rPr>
          <w:rFonts w:hint="eastAsia"/>
        </w:rPr>
        <w:t>预应力钢绞线</w:t>
      </w:r>
      <w:bookmarkEnd w:id="457"/>
      <w:bookmarkEnd w:id="458"/>
      <w:r>
        <w:rPr>
          <w:rFonts w:hint="eastAsia"/>
        </w:rPr>
        <w:t>应采用符合本规程第3章规定的钢绞线材料。压接装配框架结构中无粘结预应力筋在安装前应按设计要求在无粘结预应力钢绞线上标定有粘结段，并彻底清除有粘结段部分的钢绞线护套和防腐润滑涂层。不应采用在普通预应力钢绞线上缠绕胶带进行无粘结处理的方式。</w:t>
      </w:r>
      <w:bookmarkEnd w:id="459"/>
    </w:p>
    <w:p>
      <w:pPr>
        <w:pStyle w:val="4"/>
      </w:pPr>
      <w:bookmarkStart w:id="460" w:name="_Toc86067994"/>
      <w:r>
        <w:rPr>
          <w:rFonts w:hint="eastAsia"/>
        </w:rPr>
        <w:t>预应力钢绞线应符合下列规定：</w:t>
      </w:r>
    </w:p>
    <w:p>
      <w:pPr>
        <w:snapToGrid w:val="0"/>
        <w:spacing w:line="360" w:lineRule="auto"/>
        <w:ind w:firstLine="481" w:firstLineChars="200"/>
      </w:pPr>
      <w:r>
        <w:rPr>
          <w:b/>
          <w:bCs/>
        </w:rPr>
        <w:t>1</w:t>
      </w:r>
      <w:r>
        <w:rPr>
          <w:b/>
          <w:bCs/>
        </w:rPr>
        <w:tab/>
      </w:r>
      <w:r>
        <w:t>预</w:t>
      </w:r>
      <w:r>
        <w:rPr>
          <w:rFonts w:hint="eastAsia"/>
        </w:rPr>
        <w:t>应力钢绞线需要代换时应进行专门计算，并应经原设计单位确认；</w:t>
      </w:r>
    </w:p>
    <w:p>
      <w:pPr>
        <w:snapToGrid w:val="0"/>
        <w:spacing w:line="360" w:lineRule="auto"/>
        <w:ind w:firstLine="481" w:firstLineChars="200"/>
      </w:pPr>
      <w:r>
        <w:rPr>
          <w:rFonts w:hint="eastAsia"/>
          <w:b/>
          <w:bCs/>
        </w:rPr>
        <w:t>2</w:t>
      </w:r>
      <w:r>
        <w:rPr>
          <w:b/>
          <w:bCs/>
        </w:rPr>
        <w:tab/>
      </w:r>
      <w:r>
        <w:rPr>
          <w:rFonts w:hint="eastAsia"/>
        </w:rPr>
        <w:t>预应力钢绞线进场时，应核查钢绞线包装、厂家标志、品种、级别、规格和数量，同时应检查制作厂家提供的产品质量证明书；目测表面不应有裂纹、机械损伤和油污等；</w:t>
      </w:r>
    </w:p>
    <w:p>
      <w:pPr>
        <w:snapToGrid w:val="0"/>
        <w:spacing w:line="360" w:lineRule="auto"/>
        <w:ind w:firstLine="481" w:firstLineChars="200"/>
      </w:pPr>
      <w:r>
        <w:rPr>
          <w:rFonts w:hint="eastAsia"/>
          <w:b/>
          <w:bCs/>
        </w:rPr>
        <w:t>3</w:t>
      </w:r>
      <w:r>
        <w:rPr>
          <w:b/>
          <w:bCs/>
        </w:rPr>
        <w:tab/>
      </w:r>
      <w:r>
        <w:rPr>
          <w:rFonts w:hint="eastAsia"/>
        </w:rPr>
        <w:t>预应力钢绞线进场复验应按现行国家标准《混凝土结构工程施工质量验收规范》GB 50204的有关规定进行。</w:t>
      </w:r>
    </w:p>
    <w:p>
      <w:pPr>
        <w:pStyle w:val="4"/>
        <w:rPr>
          <w:b/>
        </w:rPr>
      </w:pPr>
      <w:r>
        <w:t>预应力锚具、夹具、连接器和张拉设备应符合下列规定：</w:t>
      </w:r>
      <w:bookmarkEnd w:id="460"/>
    </w:p>
    <w:p>
      <w:pPr>
        <w:tabs>
          <w:tab w:val="left" w:pos="840"/>
        </w:tabs>
        <w:snapToGrid w:val="0"/>
        <w:spacing w:line="360" w:lineRule="auto"/>
        <w:ind w:firstLine="481" w:firstLineChars="200"/>
      </w:pPr>
      <w:r>
        <w:rPr>
          <w:b/>
          <w:bCs/>
        </w:rPr>
        <w:t>1</w:t>
      </w:r>
      <w:r>
        <w:rPr>
          <w:b/>
          <w:bCs/>
        </w:rPr>
        <w:tab/>
      </w:r>
      <w:r>
        <w:rPr>
          <w:rFonts w:hint="eastAsia"/>
        </w:rPr>
        <w:t>锚具和锚垫板、局部加强钢筋应配套使用，同时应按设计要求选用；</w:t>
      </w:r>
    </w:p>
    <w:p>
      <w:pPr>
        <w:tabs>
          <w:tab w:val="left" w:pos="840"/>
        </w:tabs>
        <w:snapToGrid w:val="0"/>
        <w:spacing w:line="360" w:lineRule="auto"/>
        <w:ind w:firstLine="481" w:firstLineChars="200"/>
      </w:pPr>
      <w:r>
        <w:rPr>
          <w:rFonts w:hint="eastAsia"/>
          <w:b/>
        </w:rPr>
        <w:t>2</w:t>
      </w:r>
      <w:r>
        <w:rPr>
          <w:rFonts w:hint="eastAsia"/>
        </w:rPr>
        <w:tab/>
      </w:r>
      <w:r>
        <w:rPr>
          <w:rFonts w:hint="eastAsia"/>
        </w:rPr>
        <w:t>锚具应采用I类锚具，且锚具、夹具和连接器应符合本规程</w:t>
      </w:r>
      <w:r>
        <w:rPr>
          <w:rFonts w:hint="eastAsia"/>
          <w:lang w:eastAsia="zh"/>
        </w:rPr>
        <w:t>第3</w:t>
      </w:r>
      <w:r>
        <w:rPr>
          <w:rFonts w:hint="eastAsia"/>
        </w:rPr>
        <w:t>章的规定。</w:t>
      </w:r>
    </w:p>
    <w:p>
      <w:pPr>
        <w:tabs>
          <w:tab w:val="left" w:pos="840"/>
        </w:tabs>
        <w:snapToGrid w:val="0"/>
        <w:spacing w:line="360" w:lineRule="auto"/>
        <w:ind w:firstLine="481" w:firstLineChars="200"/>
      </w:pPr>
      <w:r>
        <w:rPr>
          <w:rFonts w:hint="eastAsia"/>
          <w:b/>
        </w:rPr>
        <w:t>3</w:t>
      </w:r>
      <w:r>
        <w:rPr>
          <w:rFonts w:hint="eastAsia"/>
        </w:rPr>
        <w:tab/>
      </w:r>
      <w:r>
        <w:rPr>
          <w:rFonts w:hint="eastAsia"/>
        </w:rPr>
        <w:t>预应力锚具、夹具和连接器进场应核查生产厂家的产品合格证、产品说明书和锚固区传力性能检验报告；锚具、夹具和连接器进场复验应按现行国家标准《预应力筋锚具、夹具和连接器》GB/T 14370的规定。</w:t>
      </w:r>
    </w:p>
    <w:p>
      <w:pPr>
        <w:tabs>
          <w:tab w:val="left" w:pos="840"/>
        </w:tabs>
        <w:snapToGrid w:val="0"/>
        <w:spacing w:line="360" w:lineRule="auto"/>
        <w:ind w:firstLine="481" w:firstLineChars="200"/>
      </w:pPr>
      <w:r>
        <w:rPr>
          <w:rFonts w:hint="eastAsia"/>
          <w:b/>
        </w:rPr>
        <w:t>4</w:t>
      </w:r>
      <w:r>
        <w:rPr>
          <w:rFonts w:hint="eastAsia"/>
        </w:rPr>
        <w:tab/>
      </w:r>
      <w:r>
        <w:rPr>
          <w:rFonts w:hint="eastAsia"/>
        </w:rPr>
        <w:t>张拉设备中千斤顶和压力表应配套使用和标定，标定期限不应超过6个月；当使用过程中出现不正常现象或千斤顶检修后，应重新进行标定。</w:t>
      </w:r>
    </w:p>
    <w:p>
      <w:pPr>
        <w:pStyle w:val="4"/>
      </w:pPr>
      <w:bookmarkStart w:id="461" w:name="_Ref86140524"/>
      <w:bookmarkStart w:id="462" w:name="_Toc86067988"/>
      <w:bookmarkStart w:id="463" w:name="_Ref198041783"/>
      <w:bookmarkStart w:id="464" w:name="_Ref86140665"/>
      <w:bookmarkStart w:id="465" w:name="_Toc86067998"/>
      <w:r>
        <w:rPr>
          <w:rFonts w:hint="eastAsia"/>
        </w:rPr>
        <w:t>当预制柱上无永久牛腿时，</w:t>
      </w:r>
      <w:r>
        <w:t>混</w:t>
      </w:r>
      <w:r>
        <w:rPr>
          <w:rFonts w:hint="eastAsia"/>
        </w:rPr>
        <w:t>凝土预制柱与预制梁或预制楼板端交接处宜设置施工阶段支承预制梁或预制楼板的钢牛腿临时支撑</w:t>
      </w:r>
      <w:r>
        <w:t>（图</w:t>
      </w:r>
      <w:r>
        <w:fldChar w:fldCharType="begin"/>
      </w:r>
      <w:r>
        <w:instrText xml:space="preserve"> REF _Ref86140524 \n \h </w:instrText>
      </w:r>
      <w:r>
        <w:fldChar w:fldCharType="separate"/>
      </w:r>
      <w:r>
        <w:t>7. 2. 7</w:t>
      </w:r>
      <w:r>
        <w:fldChar w:fldCharType="end"/>
      </w:r>
      <w:r>
        <w:t>）</w:t>
      </w:r>
      <w:bookmarkEnd w:id="461"/>
      <w:bookmarkEnd w:id="462"/>
      <w:r>
        <w:rPr>
          <w:rFonts w:hint="eastAsia"/>
        </w:rPr>
        <w:t>，且应符合下列规定：</w:t>
      </w:r>
      <w:bookmarkEnd w:id="463"/>
    </w:p>
    <w:p>
      <w:pPr>
        <w:tabs>
          <w:tab w:val="left" w:pos="840"/>
        </w:tabs>
        <w:snapToGrid w:val="0"/>
        <w:spacing w:line="360" w:lineRule="auto"/>
        <w:ind w:firstLine="481" w:firstLineChars="200"/>
        <w:rPr>
          <w:bCs/>
        </w:rPr>
      </w:pPr>
      <w:r>
        <w:rPr>
          <w:b/>
          <w:bCs/>
        </w:rPr>
        <w:t>1</w:t>
      </w:r>
      <w:r>
        <w:rPr>
          <w:b/>
          <w:bCs/>
        </w:rPr>
        <w:tab/>
      </w:r>
      <w:r>
        <w:rPr>
          <w:rFonts w:hint="eastAsia"/>
        </w:rPr>
        <w:t>压接</w:t>
      </w:r>
      <w:r>
        <w:rPr>
          <w:rFonts w:hint="eastAsia"/>
          <w:bCs/>
        </w:rPr>
        <w:t>装配结构中采用临时支撑时，应满足承载力、刚度及稳定性的要求，且不得影响结构整体预应力的传递；</w:t>
      </w:r>
    </w:p>
    <w:p>
      <w:pPr>
        <w:tabs>
          <w:tab w:val="left" w:pos="840"/>
        </w:tabs>
        <w:snapToGrid w:val="0"/>
        <w:spacing w:line="360" w:lineRule="auto"/>
        <w:ind w:firstLine="481" w:firstLineChars="200"/>
      </w:pPr>
      <w:r>
        <w:rPr>
          <w:rFonts w:hint="eastAsia"/>
          <w:b/>
          <w:bCs/>
        </w:rPr>
        <w:t>2</w:t>
      </w:r>
      <w:r>
        <w:rPr>
          <w:b/>
          <w:bCs/>
        </w:rPr>
        <w:tab/>
      </w:r>
      <w:r>
        <w:rPr>
          <w:rFonts w:hint="eastAsia"/>
        </w:rPr>
        <w:t>预制柱上临时支撑应在结构整体施加预应力完毕且后浇混凝土达到设计规定强度后拆除。</w:t>
      </w:r>
    </w:p>
    <w:p>
      <w:pPr>
        <w:pStyle w:val="69"/>
      </w:pPr>
      <w:r>
        <w:drawing>
          <wp:inline distT="0" distB="0" distL="0" distR="0">
            <wp:extent cx="2804795" cy="1990725"/>
            <wp:effectExtent l="0" t="0" r="0" b="0"/>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noChangeArrowheads="true"/>
                    </pic:cNvPicPr>
                  </pic:nvPicPr>
                  <pic:blipFill>
                    <a:blip r:embed="rId40">
                      <a:extLst>
                        <a:ext uri="{28A0092B-C50C-407E-A947-70E740481C1C}">
                          <a14:useLocalDpi xmlns:a14="http://schemas.microsoft.com/office/drawing/2010/main" val="false"/>
                        </a:ext>
                      </a:extLst>
                    </a:blip>
                    <a:srcRect/>
                    <a:stretch>
                      <a:fillRect/>
                    </a:stretch>
                  </pic:blipFill>
                  <pic:spPr>
                    <a:xfrm>
                      <a:off x="0" y="0"/>
                      <a:ext cx="2809929" cy="1994143"/>
                    </a:xfrm>
                    <a:prstGeom prst="rect">
                      <a:avLst/>
                    </a:prstGeom>
                    <a:noFill/>
                    <a:ln>
                      <a:noFill/>
                    </a:ln>
                  </pic:spPr>
                </pic:pic>
              </a:graphicData>
            </a:graphic>
          </wp:inline>
        </w:drawing>
      </w:r>
    </w:p>
    <w:p>
      <w:pPr>
        <w:spacing w:after="80"/>
        <w:ind w:firstLine="496"/>
        <w:jc w:val="center"/>
        <w:rPr>
          <w:sz w:val="21"/>
        </w:rPr>
      </w:pPr>
      <w:r>
        <w:rPr>
          <w:sz w:val="21"/>
        </w:rPr>
        <w:t>图</w:t>
      </w:r>
      <w:r>
        <w:rPr>
          <w:sz w:val="21"/>
        </w:rPr>
        <w:fldChar w:fldCharType="begin"/>
      </w:r>
      <w:r>
        <w:rPr>
          <w:sz w:val="21"/>
        </w:rPr>
        <w:instrText xml:space="preserve"> STYLEREF 3 \s </w:instrText>
      </w:r>
      <w:r>
        <w:rPr>
          <w:sz w:val="21"/>
        </w:rPr>
        <w:fldChar w:fldCharType="separate"/>
      </w:r>
      <w:r>
        <w:rPr>
          <w:sz w:val="21"/>
        </w:rPr>
        <w:t>7. 2. 7</w:t>
      </w:r>
      <w:r>
        <w:rPr>
          <w:sz w:val="21"/>
        </w:rPr>
        <w:fldChar w:fldCharType="end"/>
      </w:r>
      <w:r>
        <w:rPr>
          <w:rFonts w:hint="eastAsia"/>
          <w:sz w:val="21"/>
        </w:rPr>
        <w:t xml:space="preserve"> </w:t>
      </w:r>
      <w:r>
        <w:rPr>
          <w:sz w:val="21"/>
        </w:rPr>
        <w:t>临时钢牛腿</w:t>
      </w:r>
    </w:p>
    <w:p>
      <w:pPr>
        <w:spacing w:after="80"/>
        <w:ind w:firstLine="496"/>
        <w:jc w:val="center"/>
        <w:rPr>
          <w:sz w:val="21"/>
        </w:rPr>
      </w:pPr>
      <w:r>
        <w:rPr>
          <w:sz w:val="21"/>
        </w:rPr>
        <w:t>1—预制柱；2—预制梁；3—临时钢牛腿；4—支托</w:t>
      </w:r>
    </w:p>
    <w:bookmarkEnd w:id="464"/>
    <w:bookmarkEnd w:id="465"/>
    <w:p>
      <w:pPr>
        <w:pStyle w:val="4"/>
      </w:pPr>
      <w:bookmarkStart w:id="466" w:name="_Toc86067999"/>
      <w:r>
        <w:rPr>
          <w:rFonts w:hint="eastAsia"/>
        </w:rPr>
        <w:t>预制柱</w:t>
      </w:r>
      <w:r>
        <w:t>采用钢筋套筒灌浆连接</w:t>
      </w:r>
      <w:r>
        <w:rPr>
          <w:rFonts w:hint="eastAsia"/>
        </w:rPr>
        <w:t>时</w:t>
      </w:r>
      <w:r>
        <w:t>，应检查下列内容：</w:t>
      </w:r>
    </w:p>
    <w:p>
      <w:pPr>
        <w:tabs>
          <w:tab w:val="left" w:pos="840"/>
        </w:tabs>
        <w:snapToGrid w:val="0"/>
        <w:spacing w:line="360" w:lineRule="auto"/>
        <w:ind w:firstLine="481" w:firstLineChars="200"/>
      </w:pPr>
      <w:r>
        <w:rPr>
          <w:b/>
        </w:rPr>
        <w:t>1</w:t>
      </w:r>
      <w:r>
        <w:tab/>
      </w:r>
      <w:r>
        <w:t>套</w:t>
      </w:r>
      <w:r>
        <w:rPr>
          <w:rFonts w:hint="eastAsia"/>
        </w:rPr>
        <w:t>筒、预留孔的规格、位置、数量和深度应符合设计要求；</w:t>
      </w:r>
    </w:p>
    <w:p>
      <w:pPr>
        <w:tabs>
          <w:tab w:val="left" w:pos="840"/>
        </w:tabs>
        <w:snapToGrid w:val="0"/>
        <w:spacing w:line="360" w:lineRule="auto"/>
        <w:ind w:firstLine="481" w:firstLineChars="200"/>
      </w:pPr>
      <w:r>
        <w:rPr>
          <w:rFonts w:hint="eastAsia"/>
          <w:b/>
        </w:rPr>
        <w:t>2</w:t>
      </w:r>
      <w:r>
        <w:rPr>
          <w:rFonts w:hint="eastAsia"/>
        </w:rPr>
        <w:tab/>
      </w:r>
      <w:r>
        <w:rPr>
          <w:rFonts w:hint="eastAsia"/>
        </w:rPr>
        <w:t>被连接钢筋的规格、数量、位置和长度应符合设计要求；</w:t>
      </w:r>
    </w:p>
    <w:p>
      <w:pPr>
        <w:tabs>
          <w:tab w:val="left" w:pos="840"/>
        </w:tabs>
        <w:snapToGrid w:val="0"/>
        <w:spacing w:line="360" w:lineRule="auto"/>
        <w:ind w:firstLine="481" w:firstLineChars="200"/>
      </w:pPr>
      <w:r>
        <w:rPr>
          <w:rFonts w:hint="eastAsia"/>
          <w:b/>
        </w:rPr>
        <w:t>3</w:t>
      </w:r>
      <w:r>
        <w:rPr>
          <w:rFonts w:hint="eastAsia"/>
        </w:rPr>
        <w:tab/>
      </w:r>
      <w:r>
        <w:rPr>
          <w:rFonts w:hint="eastAsia"/>
        </w:rPr>
        <w:t>套筒、预留孔内应清洁无杂物</w:t>
      </w:r>
      <w:r>
        <w:t>。</w:t>
      </w:r>
    </w:p>
    <w:p/>
    <w:p>
      <w:pPr>
        <w:pStyle w:val="3"/>
      </w:pPr>
      <w:bookmarkStart w:id="467" w:name="_Toc202345831"/>
      <w:r>
        <w:rPr>
          <w:rFonts w:hint="eastAsia"/>
        </w:rPr>
        <w:t>施工安装</w:t>
      </w:r>
      <w:bookmarkEnd w:id="467"/>
      <w:bookmarkStart w:id="468" w:name="_Toc197444893"/>
      <w:bookmarkEnd w:id="468"/>
    </w:p>
    <w:p>
      <w:pPr>
        <w:pStyle w:val="4"/>
      </w:pPr>
      <w:r>
        <w:t>预制柱安装应符合下列规定：</w:t>
      </w:r>
      <w:bookmarkEnd w:id="466"/>
    </w:p>
    <w:p>
      <w:pPr>
        <w:tabs>
          <w:tab w:val="left" w:pos="840"/>
        </w:tabs>
        <w:snapToGrid w:val="0"/>
        <w:spacing w:line="360" w:lineRule="auto"/>
        <w:ind w:firstLine="481" w:firstLineChars="200"/>
      </w:pPr>
      <w:r>
        <w:rPr>
          <w:b/>
          <w:bCs/>
        </w:rPr>
        <w:t>1</w:t>
      </w:r>
      <w:r>
        <w:tab/>
      </w:r>
      <w:r>
        <w:rPr>
          <w:rFonts w:hint="eastAsia"/>
        </w:rPr>
        <w:t>宜按照角柱、边柱、中柱顺序进行安装，与现浇部分连接的柱宜先进行吊装；</w:t>
      </w:r>
    </w:p>
    <w:p>
      <w:pPr>
        <w:tabs>
          <w:tab w:val="left" w:pos="840"/>
        </w:tabs>
        <w:snapToGrid w:val="0"/>
        <w:spacing w:line="360" w:lineRule="auto"/>
        <w:ind w:firstLine="481" w:firstLineChars="200"/>
      </w:pPr>
      <w:r>
        <w:rPr>
          <w:rFonts w:hint="eastAsia"/>
          <w:b/>
          <w:bCs/>
        </w:rPr>
        <w:t>2</w:t>
      </w:r>
      <w:r>
        <w:tab/>
      </w:r>
      <w:r>
        <w:rPr>
          <w:rFonts w:hint="eastAsia"/>
        </w:rPr>
        <w:t>安装前，应清洁结合面；预制柱截面尺寸范围内楼板面应进行凿毛处理，结合面粗糙度满足本规程要求；</w:t>
      </w:r>
    </w:p>
    <w:p>
      <w:pPr>
        <w:tabs>
          <w:tab w:val="left" w:pos="840"/>
        </w:tabs>
        <w:snapToGrid w:val="0"/>
        <w:spacing w:line="360" w:lineRule="auto"/>
        <w:ind w:firstLine="481" w:firstLineChars="200"/>
      </w:pPr>
      <w:r>
        <w:rPr>
          <w:rFonts w:hint="eastAsia"/>
          <w:b/>
        </w:rPr>
        <w:t>3</w:t>
      </w:r>
      <w:r>
        <w:rPr>
          <w:rFonts w:hint="eastAsia"/>
        </w:rPr>
        <w:tab/>
      </w:r>
      <w:r>
        <w:rPr>
          <w:rFonts w:hint="eastAsia"/>
        </w:rPr>
        <w:t>预制柱安装时，应以柱中预应力钢绞线孔道中心作为柱标高定位控制点，柱底部应设置标高调整垫块；</w:t>
      </w:r>
    </w:p>
    <w:p>
      <w:pPr>
        <w:tabs>
          <w:tab w:val="left" w:pos="840"/>
        </w:tabs>
        <w:snapToGrid w:val="0"/>
        <w:spacing w:line="360" w:lineRule="auto"/>
        <w:ind w:firstLine="481" w:firstLineChars="200"/>
      </w:pPr>
      <w:r>
        <w:rPr>
          <w:rFonts w:hint="eastAsia"/>
          <w:b/>
        </w:rPr>
        <w:t>4</w:t>
      </w:r>
      <w:r>
        <w:rPr>
          <w:rFonts w:hint="eastAsia"/>
        </w:rPr>
        <w:tab/>
      </w:r>
      <w:r>
        <w:rPr>
          <w:rFonts w:hint="eastAsia"/>
        </w:rPr>
        <w:t>预制柱就位后，应采用斜支撑进行临时固定，并应进行抗倾覆、承载力和稳定性等验算；</w:t>
      </w:r>
    </w:p>
    <w:p>
      <w:pPr>
        <w:tabs>
          <w:tab w:val="left" w:pos="840"/>
        </w:tabs>
        <w:snapToGrid w:val="0"/>
        <w:spacing w:line="360" w:lineRule="auto"/>
        <w:ind w:firstLine="481" w:firstLineChars="200"/>
      </w:pPr>
      <w:r>
        <w:rPr>
          <w:rFonts w:hint="eastAsia"/>
          <w:b/>
        </w:rPr>
        <w:t>5</w:t>
      </w:r>
      <w:r>
        <w:rPr>
          <w:rFonts w:hint="eastAsia"/>
        </w:rPr>
        <w:tab/>
      </w:r>
      <w:r>
        <w:rPr>
          <w:rFonts w:hint="eastAsia"/>
        </w:rPr>
        <w:t>柱身垂直度应以±0.000m处柱身中心线为基准，双向控制调整；考虑因结构施加预应力所产生的柱内倾，可根据前期施工过程分析结果进行垂直度预偏，预偏值应与设计人员沟通后确定；</w:t>
      </w:r>
    </w:p>
    <w:p>
      <w:pPr>
        <w:tabs>
          <w:tab w:val="left" w:pos="840"/>
        </w:tabs>
        <w:snapToGrid w:val="0"/>
        <w:spacing w:line="360" w:lineRule="auto"/>
        <w:ind w:firstLine="481" w:firstLineChars="200"/>
      </w:pPr>
      <w:r>
        <w:rPr>
          <w:rFonts w:hint="eastAsia"/>
          <w:b/>
        </w:rPr>
        <w:t>6</w:t>
      </w:r>
      <w:r>
        <w:rPr>
          <w:rFonts w:hint="eastAsia"/>
        </w:rPr>
        <w:tab/>
      </w:r>
      <w:r>
        <w:rPr>
          <w:rFonts w:hint="eastAsia"/>
        </w:rPr>
        <w:t>未采用钢筋套筒灌浆连接的预制柱底部应采取临时固定措施；</w:t>
      </w:r>
    </w:p>
    <w:p>
      <w:pPr>
        <w:tabs>
          <w:tab w:val="left" w:pos="840"/>
        </w:tabs>
        <w:snapToGrid w:val="0"/>
        <w:spacing w:line="360" w:lineRule="auto"/>
        <w:ind w:firstLine="481" w:firstLineChars="200"/>
      </w:pPr>
      <w:r>
        <w:rPr>
          <w:rFonts w:hint="eastAsia"/>
          <w:b/>
        </w:rPr>
        <w:t>7</w:t>
      </w:r>
      <w:r>
        <w:rPr>
          <w:rFonts w:hint="eastAsia"/>
        </w:rPr>
        <w:tab/>
      </w:r>
      <w:r>
        <w:rPr>
          <w:rFonts w:hint="eastAsia"/>
        </w:rPr>
        <w:t>预制柱吊装宜采用具有自动脱钩功能的吊具，并应保证吊装过程安全。</w:t>
      </w:r>
    </w:p>
    <w:p>
      <w:pPr>
        <w:pStyle w:val="4"/>
      </w:pPr>
      <w:bookmarkStart w:id="469" w:name="_Toc86068001"/>
      <w:r>
        <w:rPr>
          <w:rFonts w:hint="eastAsia"/>
        </w:rPr>
        <w:t>压接装配框架结构的</w:t>
      </w:r>
      <w:r>
        <w:t>预制</w:t>
      </w:r>
      <w:r>
        <w:rPr>
          <w:rFonts w:hint="eastAsia"/>
        </w:rPr>
        <w:t>叠合</w:t>
      </w:r>
      <w:r>
        <w:t>梁</w:t>
      </w:r>
      <w:r>
        <w:rPr>
          <w:rFonts w:hint="eastAsia"/>
        </w:rPr>
        <w:t>、板</w:t>
      </w:r>
      <w:r>
        <w:t>安装应符合下列规定：</w:t>
      </w:r>
      <w:bookmarkEnd w:id="469"/>
    </w:p>
    <w:p>
      <w:pPr>
        <w:tabs>
          <w:tab w:val="left" w:pos="840"/>
        </w:tabs>
        <w:snapToGrid w:val="0"/>
        <w:spacing w:line="360" w:lineRule="auto"/>
        <w:ind w:firstLine="481" w:firstLineChars="200"/>
      </w:pPr>
      <w:r>
        <w:rPr>
          <w:b/>
          <w:bCs/>
        </w:rPr>
        <w:t>1</w:t>
      </w:r>
      <w:r>
        <w:tab/>
      </w:r>
      <w:r>
        <w:t>预</w:t>
      </w:r>
      <w:r>
        <w:rPr>
          <w:rFonts w:hint="eastAsia"/>
        </w:rPr>
        <w:t>制框架梁、柱预应力钢绞线孔道中心应对准，并以此控制预制框架梁安装定位与标高；</w:t>
      </w:r>
    </w:p>
    <w:p>
      <w:pPr>
        <w:tabs>
          <w:tab w:val="left" w:pos="840"/>
        </w:tabs>
        <w:snapToGrid w:val="0"/>
        <w:spacing w:line="360" w:lineRule="auto"/>
        <w:ind w:firstLine="481" w:firstLineChars="200"/>
      </w:pPr>
      <w:r>
        <w:rPr>
          <w:rFonts w:hint="eastAsia"/>
          <w:b/>
        </w:rPr>
        <w:t>2</w:t>
      </w:r>
      <w:r>
        <w:rPr>
          <w:rFonts w:hint="eastAsia"/>
        </w:rPr>
        <w:tab/>
      </w:r>
      <w:r>
        <w:rPr>
          <w:rFonts w:hint="eastAsia"/>
        </w:rPr>
        <w:t>预制框架梁、柱接缝宽度应为25mm~30mm，并应避免杂物侵入；</w:t>
      </w:r>
    </w:p>
    <w:p>
      <w:pPr>
        <w:tabs>
          <w:tab w:val="left" w:pos="840"/>
        </w:tabs>
        <w:snapToGrid w:val="0"/>
        <w:spacing w:line="360" w:lineRule="auto"/>
        <w:ind w:firstLine="481" w:firstLineChars="200"/>
      </w:pPr>
      <w:r>
        <w:rPr>
          <w:rFonts w:hint="eastAsia"/>
          <w:b/>
        </w:rPr>
        <w:t>3</w:t>
      </w:r>
      <w:r>
        <w:rPr>
          <w:rFonts w:hint="eastAsia"/>
        </w:rPr>
        <w:tab/>
      </w:r>
      <w:r>
        <w:rPr>
          <w:rFonts w:hint="eastAsia"/>
        </w:rPr>
        <w:t>预制框架梁宜搁置于柱侧牛腿等临时支撑件上，搁置长度应满足设计要求；预制框架梁就位后跨中宜设置梁底支撑，支撑数量应通过计算确定；</w:t>
      </w:r>
    </w:p>
    <w:p>
      <w:pPr>
        <w:tabs>
          <w:tab w:val="left" w:pos="840"/>
        </w:tabs>
        <w:snapToGrid w:val="0"/>
        <w:spacing w:line="360" w:lineRule="auto"/>
        <w:ind w:firstLine="481" w:firstLineChars="200"/>
      </w:pPr>
      <w:r>
        <w:rPr>
          <w:rFonts w:hint="eastAsia"/>
          <w:b/>
        </w:rPr>
        <w:t>4</w:t>
      </w:r>
      <w:r>
        <w:rPr>
          <w:rFonts w:hint="eastAsia"/>
        </w:rPr>
        <w:tab/>
      </w:r>
      <w:r>
        <w:rPr>
          <w:rFonts w:hint="eastAsia"/>
        </w:rPr>
        <w:t>同列预制梁安装完成后，应及时进行预应力钢绞线穿束；</w:t>
      </w:r>
    </w:p>
    <w:p>
      <w:pPr>
        <w:tabs>
          <w:tab w:val="left" w:pos="840"/>
        </w:tabs>
        <w:snapToGrid w:val="0"/>
        <w:spacing w:line="360" w:lineRule="auto"/>
        <w:ind w:firstLine="481" w:firstLineChars="200"/>
      </w:pPr>
      <w:r>
        <w:rPr>
          <w:rFonts w:hint="eastAsia"/>
          <w:b/>
        </w:rPr>
        <w:t>5</w:t>
      </w:r>
      <w:r>
        <w:tab/>
      </w:r>
      <w:r>
        <w:rPr>
          <w:rFonts w:hint="eastAsia"/>
        </w:rPr>
        <w:t>预应力钢绞线穿束完成后，应及时对梁柱接缝进行清理，并密封梁柱接缝处金属波纹管接头；</w:t>
      </w:r>
    </w:p>
    <w:p>
      <w:pPr>
        <w:tabs>
          <w:tab w:val="left" w:pos="840"/>
        </w:tabs>
        <w:snapToGrid w:val="0"/>
        <w:spacing w:line="360" w:lineRule="auto"/>
        <w:ind w:firstLine="481" w:firstLineChars="200"/>
      </w:pPr>
      <w:r>
        <w:rPr>
          <w:rFonts w:hint="eastAsia"/>
          <w:b/>
        </w:rPr>
        <w:t>6</w:t>
      </w:r>
      <w:r>
        <w:tab/>
      </w:r>
      <w:r>
        <w:rPr>
          <w:rFonts w:hint="eastAsia"/>
        </w:rPr>
        <w:t>预制楼板安装前应根据设计或施工方案要求布置板底竖向支撑，支撑架体应满足承载力、刚度和稳定性要求；</w:t>
      </w:r>
    </w:p>
    <w:p>
      <w:pPr>
        <w:tabs>
          <w:tab w:val="left" w:pos="840"/>
        </w:tabs>
        <w:snapToGrid w:val="0"/>
        <w:spacing w:line="360" w:lineRule="auto"/>
        <w:ind w:firstLine="481" w:firstLineChars="200"/>
      </w:pPr>
      <w:r>
        <w:rPr>
          <w:rFonts w:hint="eastAsia"/>
          <w:b/>
        </w:rPr>
        <w:t>7</w:t>
      </w:r>
      <w:r>
        <w:tab/>
      </w:r>
      <w:r>
        <w:rPr>
          <w:rFonts w:hint="eastAsia"/>
        </w:rPr>
        <w:t>施工期间，预制楼板上施工荷载宜均匀布置，且不应超过设计规定限值。</w:t>
      </w:r>
    </w:p>
    <w:p>
      <w:pPr>
        <w:pStyle w:val="4"/>
      </w:pPr>
      <w:bookmarkStart w:id="470" w:name="_Toc86068003"/>
      <w:bookmarkStart w:id="471" w:name="_Ref86140718"/>
      <w:r>
        <w:rPr>
          <w:rFonts w:hint="eastAsia"/>
        </w:rPr>
        <w:t>压接装配框架结构中复合节点梁柱接缝处</w:t>
      </w:r>
      <w:r>
        <w:t>封仓灌浆</w:t>
      </w:r>
      <w:r>
        <w:rPr>
          <w:rFonts w:hint="eastAsia"/>
        </w:rPr>
        <w:t>应</w:t>
      </w:r>
      <w:r>
        <w:t>符合下列规定：</w:t>
      </w:r>
      <w:bookmarkEnd w:id="470"/>
      <w:bookmarkEnd w:id="471"/>
    </w:p>
    <w:p>
      <w:pPr>
        <w:tabs>
          <w:tab w:val="left" w:pos="840"/>
        </w:tabs>
        <w:snapToGrid w:val="0"/>
        <w:spacing w:line="360" w:lineRule="auto"/>
        <w:ind w:firstLine="481" w:firstLineChars="200"/>
      </w:pPr>
      <w:r>
        <w:rPr>
          <w:rFonts w:hint="eastAsia"/>
          <w:b/>
        </w:rPr>
        <w:t>1</w:t>
      </w:r>
      <w:r>
        <w:tab/>
      </w:r>
      <w:r>
        <w:t>预</w:t>
      </w:r>
      <w:r>
        <w:rPr>
          <w:rFonts w:hint="eastAsia"/>
        </w:rPr>
        <w:t>制梁柱节点封仓灌浆应在预应力钢绞线穿束完成后进行；</w:t>
      </w:r>
    </w:p>
    <w:p>
      <w:pPr>
        <w:tabs>
          <w:tab w:val="left" w:pos="840"/>
        </w:tabs>
        <w:snapToGrid w:val="0"/>
        <w:spacing w:line="360" w:lineRule="auto"/>
        <w:ind w:firstLine="481" w:firstLineChars="200"/>
      </w:pPr>
      <w:r>
        <w:rPr>
          <w:rFonts w:hint="eastAsia"/>
          <w:b/>
        </w:rPr>
        <w:t>2</w:t>
      </w:r>
      <w:r>
        <w:rPr>
          <w:rFonts w:hint="eastAsia"/>
        </w:rPr>
        <w:tab/>
      </w:r>
      <w:r>
        <w:rPr>
          <w:rFonts w:hint="eastAsia"/>
        </w:rPr>
        <w:t>梁柱接缝处金属波纹管接头应严格密封；</w:t>
      </w:r>
    </w:p>
    <w:p>
      <w:pPr>
        <w:tabs>
          <w:tab w:val="left" w:pos="840"/>
        </w:tabs>
        <w:snapToGrid w:val="0"/>
        <w:spacing w:line="360" w:lineRule="auto"/>
        <w:ind w:firstLine="481" w:firstLineChars="200"/>
      </w:pPr>
      <w:r>
        <w:rPr>
          <w:rFonts w:hint="eastAsia"/>
          <w:b/>
        </w:rPr>
        <w:t>3</w:t>
      </w:r>
      <w:r>
        <w:rPr>
          <w:rFonts w:hint="eastAsia"/>
        </w:rPr>
        <w:tab/>
      </w:r>
      <w:r>
        <w:rPr>
          <w:rFonts w:hint="eastAsia"/>
        </w:rPr>
        <w:t>梁端底面及两侧与柱和支撑牛腿部位间隙应用封仓材料进行三面密封；</w:t>
      </w:r>
    </w:p>
    <w:p>
      <w:pPr>
        <w:tabs>
          <w:tab w:val="left" w:pos="840"/>
        </w:tabs>
        <w:snapToGrid w:val="0"/>
        <w:spacing w:line="360" w:lineRule="auto"/>
        <w:ind w:firstLine="481" w:firstLineChars="200"/>
      </w:pPr>
      <w:r>
        <w:rPr>
          <w:rFonts w:hint="eastAsia"/>
          <w:b/>
        </w:rPr>
        <w:t>4</w:t>
      </w:r>
      <w:r>
        <w:rPr>
          <w:rFonts w:hint="eastAsia"/>
        </w:rPr>
        <w:tab/>
      </w:r>
      <w:r>
        <w:rPr>
          <w:rFonts w:hint="eastAsia"/>
        </w:rPr>
        <w:t>灌浆前应进行灌浆料拌合物流动性检测，经检验合格后，应从梁端顶部进行定量灌浆至梁端顶面；灌浆量不应大于间隙空间理论体积；</w:t>
      </w:r>
    </w:p>
    <w:p>
      <w:pPr>
        <w:tabs>
          <w:tab w:val="left" w:pos="840"/>
        </w:tabs>
        <w:snapToGrid w:val="0"/>
        <w:spacing w:line="360" w:lineRule="auto"/>
        <w:ind w:firstLine="481" w:firstLineChars="200"/>
      </w:pPr>
      <w:r>
        <w:rPr>
          <w:rFonts w:hint="eastAsia"/>
          <w:b/>
        </w:rPr>
        <w:t>5</w:t>
      </w:r>
      <w:r>
        <w:rPr>
          <w:rFonts w:hint="eastAsia"/>
        </w:rPr>
        <w:tab/>
      </w:r>
      <w:r>
        <w:rPr>
          <w:rFonts w:hint="eastAsia"/>
        </w:rPr>
        <w:t>灌浆完毕后10min~15min时应检查灌浆顶面标高。若灌浆顶面降落较大，应检查可能的漏浆点，分析原因并进行处理；</w:t>
      </w:r>
    </w:p>
    <w:p>
      <w:pPr>
        <w:tabs>
          <w:tab w:val="left" w:pos="840"/>
        </w:tabs>
        <w:snapToGrid w:val="0"/>
        <w:spacing w:line="360" w:lineRule="auto"/>
        <w:ind w:firstLine="481" w:firstLineChars="200"/>
      </w:pPr>
      <w:r>
        <w:rPr>
          <w:rFonts w:hint="eastAsia"/>
          <w:b/>
        </w:rPr>
        <w:t>6</w:t>
      </w:r>
      <w:r>
        <w:rPr>
          <w:rFonts w:hint="eastAsia"/>
        </w:rPr>
        <w:tab/>
      </w:r>
      <w:r>
        <w:rPr>
          <w:rFonts w:hint="eastAsia"/>
        </w:rPr>
        <w:t>接缝处灌浆料应按现行国家标准《混凝土结构工程施工质量验收规范》GB50204和现行行业标准《钢筋套筒灌浆连接应用技术规程》JGJ 355的要求留置试块，并测定3d强度值。</w:t>
      </w:r>
    </w:p>
    <w:p>
      <w:pPr>
        <w:pStyle w:val="4"/>
      </w:pPr>
      <w:bookmarkStart w:id="472" w:name="_Toc86068002"/>
      <w:r>
        <w:rPr>
          <w:rFonts w:hint="eastAsia"/>
        </w:rPr>
        <w:t>采用自复位梁柱节点的压接框架中预制梁安装应符合下列规定：</w:t>
      </w:r>
    </w:p>
    <w:p>
      <w:pPr>
        <w:snapToGrid w:val="0"/>
        <w:spacing w:line="360" w:lineRule="auto"/>
        <w:ind w:firstLine="569"/>
      </w:pPr>
      <w:r>
        <w:rPr>
          <w:rFonts w:hint="eastAsia"/>
          <w:b/>
        </w:rPr>
        <w:t>1</w:t>
      </w:r>
      <w:r>
        <w:rPr>
          <w:rFonts w:hint="eastAsia"/>
        </w:rPr>
        <w:tab/>
      </w:r>
      <w:r>
        <w:rPr>
          <w:rFonts w:hint="eastAsia"/>
        </w:rPr>
        <w:t>多跨结构应从一侧边框向另一侧边跨顺序安装预制梁，应确定预制梁预留孔道与预制柱节点区孔道对齐，孔道中心线安装允许偏差控制在±5mm范围内；</w:t>
      </w:r>
    </w:p>
    <w:p>
      <w:pPr>
        <w:snapToGrid w:val="0"/>
        <w:spacing w:line="360" w:lineRule="auto"/>
        <w:ind w:firstLine="569"/>
      </w:pPr>
      <w:r>
        <w:rPr>
          <w:rFonts w:hint="eastAsia"/>
          <w:b/>
        </w:rPr>
        <w:t>2</w:t>
      </w:r>
      <w:r>
        <w:rPr>
          <w:rFonts w:hint="eastAsia"/>
        </w:rPr>
        <w:tab/>
      </w:r>
      <w:r>
        <w:rPr>
          <w:rFonts w:hint="eastAsia"/>
        </w:rPr>
        <w:t>预制梁安装前应对柱上临时支撑进行调平，保证预制梁底标高误差在允许范围内；</w:t>
      </w:r>
    </w:p>
    <w:p>
      <w:pPr>
        <w:snapToGrid w:val="0"/>
        <w:spacing w:line="360" w:lineRule="auto"/>
        <w:ind w:firstLine="569"/>
      </w:pPr>
      <w:r>
        <w:rPr>
          <w:rFonts w:hint="eastAsia"/>
          <w:b/>
        </w:rPr>
        <w:t>3</w:t>
      </w:r>
      <w:r>
        <w:rPr>
          <w:rFonts w:hint="eastAsia"/>
        </w:rPr>
        <w:tab/>
      </w:r>
      <w:r>
        <w:rPr>
          <w:rFonts w:hint="eastAsia"/>
        </w:rPr>
        <w:t>预制梁安装且调平完成后应进行耗能钢筋和梁底筋的穿筋施工，穿筋宜从一端向另一端进行；如钢筋端部为直螺纹加工，应进行保护处理；</w:t>
      </w:r>
    </w:p>
    <w:p>
      <w:pPr>
        <w:snapToGrid w:val="0"/>
        <w:spacing w:line="360" w:lineRule="auto"/>
        <w:ind w:firstLine="569"/>
      </w:pPr>
      <w:r>
        <w:rPr>
          <w:rFonts w:hint="eastAsia"/>
          <w:b/>
        </w:rPr>
        <w:t>4</w:t>
      </w:r>
      <w:r>
        <w:rPr>
          <w:rFonts w:hint="eastAsia"/>
        </w:rPr>
        <w:tab/>
      </w:r>
      <w:r>
        <w:rPr>
          <w:rFonts w:hint="eastAsia"/>
        </w:rPr>
        <w:t>跨度较长时，耗能钢筋和梁底筋应采用直螺纹套筒连接接头，钢筋规格和套筒的规格应一致，接头连接质量应符合现行国家标准《混凝土结构工程施工质量验收规范》GB50204中有关规定。</w:t>
      </w:r>
    </w:p>
    <w:p>
      <w:pPr>
        <w:pStyle w:val="4"/>
      </w:pPr>
      <w:bookmarkStart w:id="473" w:name="_Toc86068006"/>
      <w:r>
        <w:rPr>
          <w:rFonts w:hint="eastAsia"/>
        </w:rPr>
        <w:t>压接装配框架的</w:t>
      </w:r>
      <w:r>
        <w:t>后浇混凝土的施工应符合下列规定：</w:t>
      </w:r>
      <w:bookmarkEnd w:id="473"/>
    </w:p>
    <w:p>
      <w:pPr>
        <w:pStyle w:val="70"/>
      </w:pPr>
      <w:r>
        <w:rPr>
          <w:rFonts w:hint="eastAsia"/>
          <w:b/>
          <w:bCs/>
        </w:rPr>
        <w:t>1</w:t>
      </w:r>
      <w:r>
        <w:rPr>
          <w:rFonts w:hint="eastAsia"/>
        </w:rPr>
        <w:tab/>
      </w:r>
      <w:r>
        <w:rPr>
          <w:rFonts w:hint="eastAsia"/>
        </w:rPr>
        <w:t>装配式混凝土结构后浇混凝土施工应采用预拌混凝土，预拌混凝土应符合现行国家标准《预拌混凝土》GB/T 14902的规定；</w:t>
      </w:r>
    </w:p>
    <w:p>
      <w:pPr>
        <w:pStyle w:val="70"/>
      </w:pPr>
      <w:r>
        <w:rPr>
          <w:rFonts w:hint="eastAsia"/>
          <w:b/>
          <w:bCs/>
        </w:rPr>
        <w:t>2</w:t>
      </w:r>
      <w:r>
        <w:tab/>
      </w:r>
      <w:r>
        <w:rPr>
          <w:rFonts w:hint="eastAsia"/>
        </w:rPr>
        <w:t>后浇混凝土施工前应进行隐蔽项目的现场检查与验收，复核后浇层预埋件规格、数量、定位应满足设计及施工要求；</w:t>
      </w:r>
    </w:p>
    <w:p>
      <w:pPr>
        <w:pStyle w:val="70"/>
      </w:pPr>
      <w:r>
        <w:rPr>
          <w:rFonts w:hint="eastAsia"/>
          <w:b/>
          <w:bCs/>
        </w:rPr>
        <w:t>3</w:t>
      </w:r>
      <w:r>
        <w:rPr>
          <w:rFonts w:hint="eastAsia"/>
        </w:rPr>
        <w:tab/>
      </w:r>
      <w:r>
        <w:rPr>
          <w:rFonts w:hint="eastAsia"/>
        </w:rPr>
        <w:t>叠合构件后浇混凝土前应清除叠合面上的杂物、浮浆及松散骨料，表面干燥时应湿润，并不得留有积水；</w:t>
      </w:r>
    </w:p>
    <w:p>
      <w:pPr>
        <w:pStyle w:val="70"/>
      </w:pPr>
      <w:r>
        <w:rPr>
          <w:rFonts w:hint="eastAsia"/>
          <w:b/>
          <w:bCs/>
        </w:rPr>
        <w:t>4</w:t>
      </w:r>
      <w:r>
        <w:rPr>
          <w:rFonts w:hint="eastAsia"/>
        </w:rPr>
        <w:tab/>
      </w:r>
      <w:r>
        <w:rPr>
          <w:rFonts w:hint="eastAsia"/>
        </w:rPr>
        <w:t>叠合构件后浇混凝土前，应检查并校正预制构件外露钢筋；</w:t>
      </w:r>
    </w:p>
    <w:p>
      <w:pPr>
        <w:pStyle w:val="70"/>
      </w:pPr>
      <w:r>
        <w:rPr>
          <w:rFonts w:hint="eastAsia"/>
          <w:b/>
          <w:bCs/>
        </w:rPr>
        <w:t>5</w:t>
      </w:r>
      <w:r>
        <w:rPr>
          <w:rFonts w:hint="eastAsia"/>
        </w:rPr>
        <w:tab/>
      </w:r>
      <w:r>
        <w:rPr>
          <w:rFonts w:hint="eastAsia"/>
        </w:rPr>
        <w:t>叠合楼板后浇混凝土施工应在预应力张拉验收完毕后进行；</w:t>
      </w:r>
    </w:p>
    <w:p>
      <w:pPr>
        <w:pStyle w:val="70"/>
      </w:pPr>
      <w:r>
        <w:rPr>
          <w:rFonts w:hint="eastAsia"/>
          <w:b/>
          <w:bCs/>
        </w:rPr>
        <w:t>6</w:t>
      </w:r>
      <w:r>
        <w:rPr>
          <w:rFonts w:hint="eastAsia"/>
        </w:rPr>
        <w:tab/>
      </w:r>
      <w:r>
        <w:rPr>
          <w:rFonts w:hint="eastAsia"/>
        </w:rPr>
        <w:t>密拼预制叠合板板缝在浇筑后浇叠合层混凝土前，应用1 : 3水泥砂浆灌缝密实；</w:t>
      </w:r>
    </w:p>
    <w:p>
      <w:pPr>
        <w:pStyle w:val="70"/>
      </w:pPr>
      <w:r>
        <w:rPr>
          <w:rFonts w:hint="eastAsia"/>
          <w:b/>
          <w:bCs/>
        </w:rPr>
        <w:t>7</w:t>
      </w:r>
      <w:r>
        <w:rPr>
          <w:rFonts w:hint="eastAsia"/>
        </w:rPr>
        <w:tab/>
      </w:r>
      <w:r>
        <w:rPr>
          <w:rFonts w:hint="eastAsia"/>
        </w:rPr>
        <w:t>后浇混凝土浇筑时，叠合构件与周边混凝土连接处应加密振捣；叠合构件上预埋件位置应可靠固定，防止因振捣出现移位，且不得污染预埋件连接部位；</w:t>
      </w:r>
    </w:p>
    <w:p>
      <w:pPr>
        <w:pStyle w:val="70"/>
      </w:pPr>
      <w:r>
        <w:rPr>
          <w:rFonts w:hint="eastAsia"/>
          <w:b/>
          <w:bCs/>
        </w:rPr>
        <w:t>8</w:t>
      </w:r>
      <w:r>
        <w:rPr>
          <w:rFonts w:hint="eastAsia"/>
        </w:rPr>
        <w:tab/>
      </w:r>
      <w:r>
        <w:rPr>
          <w:rFonts w:hint="eastAsia"/>
        </w:rPr>
        <w:t>混凝土浇筑施工前，应检查模板与支撑搭设质量，保证后浇混凝土成型形状、尺寸和位置准确，并应防止漏浆；</w:t>
      </w:r>
    </w:p>
    <w:p>
      <w:pPr>
        <w:pStyle w:val="70"/>
      </w:pPr>
      <w:r>
        <w:rPr>
          <w:rFonts w:hint="eastAsia"/>
          <w:b/>
          <w:bCs/>
        </w:rPr>
        <w:t>9</w:t>
      </w:r>
      <w:r>
        <w:rPr>
          <w:rFonts w:hint="eastAsia"/>
        </w:rPr>
        <w:tab/>
      </w:r>
      <w:r>
        <w:rPr>
          <w:rFonts w:hint="eastAsia"/>
        </w:rPr>
        <w:t>混凝土浇筑后应及时进行保湿养护，保湿养护可采用洒水、覆盖、喷涂养护剂等方式；养护方式应根据现场条件、环境温湿度、构件特点、技术要求、施工操作等因素确定；</w:t>
      </w:r>
    </w:p>
    <w:p>
      <w:pPr>
        <w:pStyle w:val="70"/>
      </w:pPr>
      <w:r>
        <w:rPr>
          <w:rFonts w:hint="eastAsia"/>
          <w:b/>
          <w:bCs/>
        </w:rPr>
        <w:t>10</w:t>
      </w:r>
      <w:r>
        <w:rPr>
          <w:rFonts w:hint="eastAsia"/>
        </w:rPr>
        <w:tab/>
      </w:r>
      <w:r>
        <w:rPr>
          <w:rFonts w:hint="eastAsia"/>
        </w:rPr>
        <w:t>后浇混凝土强度达到设计要求后，方可拆除临时固定措施。</w:t>
      </w:r>
    </w:p>
    <w:p>
      <w:pPr>
        <w:pStyle w:val="4"/>
      </w:pPr>
      <w:r>
        <w:rPr>
          <w:rFonts w:hint="eastAsia"/>
        </w:rPr>
        <w:t>压接装配板柱的预制楼板及垫块安装应符合下列规定：</w:t>
      </w:r>
    </w:p>
    <w:p>
      <w:pPr>
        <w:pStyle w:val="5"/>
        <w:ind w:firstLine="482"/>
      </w:pPr>
      <w:r>
        <w:rPr>
          <w:rFonts w:hint="eastAsia"/>
          <w:b/>
        </w:rPr>
        <w:t>1</w:t>
      </w:r>
      <w:r>
        <w:rPr>
          <w:b/>
        </w:rPr>
        <w:tab/>
      </w:r>
      <w:r>
        <w:rPr>
          <w:rFonts w:hint="eastAsia"/>
        </w:rPr>
        <w:t>预制楼板安装时，应以柱上部预应力孔道中心线为准，确定楼板安装标高，相邻楼板安装标高允许偏差为±3mm。</w:t>
      </w:r>
    </w:p>
    <w:p>
      <w:pPr>
        <w:pStyle w:val="5"/>
        <w:ind w:firstLine="482"/>
      </w:pPr>
      <w:r>
        <w:rPr>
          <w:rFonts w:hint="eastAsia"/>
          <w:b/>
        </w:rPr>
        <w:t>2</w:t>
      </w:r>
      <w:r>
        <w:rPr>
          <w:b/>
        </w:rPr>
        <w:tab/>
      </w:r>
      <w:r>
        <w:rPr>
          <w:rFonts w:hint="eastAsia"/>
        </w:rPr>
        <w:t>预制楼板安装前应先安装临时支撑和板底竖向支撑等；多层楼板同时安装时，上一层楼板的板底竖向支撑不应搭设在本层楼板空腔部位，防止支撑倾倒或下沉。</w:t>
      </w:r>
    </w:p>
    <w:p>
      <w:pPr>
        <w:pStyle w:val="5"/>
        <w:ind w:firstLine="482"/>
      </w:pPr>
      <w:r>
        <w:rPr>
          <w:rFonts w:hint="eastAsia"/>
          <w:b/>
        </w:rPr>
        <w:t>3</w:t>
      </w:r>
      <w:r>
        <w:rPr>
          <w:b/>
        </w:rPr>
        <w:tab/>
      </w:r>
      <w:r>
        <w:rPr>
          <w:rFonts w:hint="eastAsia"/>
        </w:rPr>
        <w:t>当预制楼板采用拼板安装时，拼板跨中的竖向支撑高度，宜按照起拱度L/500控制（L为楼板净跨）。</w:t>
      </w:r>
    </w:p>
    <w:p>
      <w:pPr>
        <w:pStyle w:val="5"/>
        <w:ind w:firstLine="482"/>
      </w:pPr>
      <w:r>
        <w:rPr>
          <w:rFonts w:hint="eastAsia"/>
          <w:b/>
        </w:rPr>
        <w:t>4</w:t>
      </w:r>
      <w:r>
        <w:rPr>
          <w:b/>
        </w:rPr>
        <w:tab/>
      </w:r>
      <w:r>
        <w:rPr>
          <w:rFonts w:hint="eastAsia"/>
        </w:rPr>
        <w:t>当采用预制垫块时，应与预制楼板同时进行安装；预制垫块底标高应与预制楼板底标高保持一致。</w:t>
      </w:r>
    </w:p>
    <w:p>
      <w:pPr>
        <w:pStyle w:val="5"/>
        <w:ind w:firstLine="482"/>
      </w:pPr>
      <w:r>
        <w:rPr>
          <w:rFonts w:hint="eastAsia"/>
          <w:b/>
        </w:rPr>
        <w:t>5</w:t>
      </w:r>
      <w:r>
        <w:rPr>
          <w:b/>
        </w:rPr>
        <w:tab/>
      </w:r>
      <w:r>
        <w:rPr>
          <w:rFonts w:hint="eastAsia"/>
        </w:rPr>
        <w:t>预制楼板安装时，不应碰撞预制柱，也不应遮挡预制柱和预制垫块的预留孔道；楼板与柱、楼板与预制垫块的接缝宽度宜均匀控制在20mm~30mm之间。</w:t>
      </w:r>
    </w:p>
    <w:p>
      <w:pPr>
        <w:pStyle w:val="5"/>
        <w:ind w:firstLine="482"/>
      </w:pPr>
      <w:r>
        <w:rPr>
          <w:rFonts w:hint="eastAsia"/>
          <w:b/>
        </w:rPr>
        <w:t>6</w:t>
      </w:r>
      <w:r>
        <w:rPr>
          <w:rFonts w:hint="eastAsia"/>
        </w:rPr>
        <w:tab/>
      </w:r>
      <w:r>
        <w:rPr>
          <w:rFonts w:hint="eastAsia"/>
        </w:rPr>
        <w:t>楼板与柱、楼板与预制垫块的接缝灌浆应参照本规程第8.2.10条执行。</w:t>
      </w:r>
    </w:p>
    <w:p>
      <w:pPr>
        <w:pStyle w:val="5"/>
        <w:ind w:firstLine="482"/>
      </w:pPr>
      <w:r>
        <w:rPr>
          <w:rFonts w:hint="eastAsia"/>
          <w:b/>
        </w:rPr>
        <w:t>7</w:t>
      </w:r>
      <w:r>
        <w:rPr>
          <w:rFonts w:hint="eastAsia"/>
        </w:rPr>
        <w:tab/>
      </w:r>
      <w:r>
        <w:rPr>
          <w:rFonts w:hint="eastAsia"/>
        </w:rPr>
        <w:t>预制楼板安装时应保证底面平直，楼板四角应落在临时支撑的支撑木板上；边梁、悬挑楼板的安装应以柱轴线为基准定位，安装完成后应及时与相邻楼板进行拉结或焊接固定。</w:t>
      </w:r>
    </w:p>
    <w:p>
      <w:pPr>
        <w:pStyle w:val="5"/>
        <w:ind w:firstLine="482"/>
      </w:pPr>
      <w:r>
        <w:rPr>
          <w:rFonts w:hint="eastAsia"/>
          <w:b/>
        </w:rPr>
        <w:t>8</w:t>
      </w:r>
      <w:r>
        <w:rPr>
          <w:rFonts w:hint="eastAsia"/>
        </w:rPr>
        <w:tab/>
      </w:r>
      <w:r>
        <w:rPr>
          <w:rFonts w:hint="eastAsia"/>
        </w:rPr>
        <w:t>当采用现浇垫块时，宜采用早强、微膨胀混凝土进行分层浇筑并及时覆盖养护。</w:t>
      </w:r>
    </w:p>
    <w:p>
      <w:pPr>
        <w:pStyle w:val="70"/>
      </w:pPr>
      <w:r>
        <w:rPr>
          <w:rFonts w:hint="eastAsia"/>
          <w:b/>
        </w:rPr>
        <w:t>9</w:t>
      </w:r>
      <w:r>
        <w:rPr>
          <w:rFonts w:hint="eastAsia"/>
        </w:rPr>
        <w:tab/>
      </w:r>
      <w:r>
        <w:rPr>
          <w:rFonts w:hint="eastAsia"/>
        </w:rPr>
        <w:t>预制楼板构件伸出到明槽或接缝的钢筋，应按照设计规定进行焊接或绑扎搭接，且不得影响预应力束就位、张拉及压折操作；承受预应力的预埋钢板表面应确保平整，不得有毛刺等。如有附加钢板时，应确保接触面平整。</w:t>
      </w:r>
    </w:p>
    <w:p>
      <w:pPr>
        <w:pStyle w:val="4"/>
      </w:pPr>
      <w:r>
        <w:rPr>
          <w:rFonts w:hint="eastAsia"/>
        </w:rPr>
        <w:t>压接装配板柱结构的明槽、拼缝混凝土宜与板面叠合层混凝土一起浇筑，如需分开浇筑，明槽内混凝土浇筑高度可比预制楼板上板面低20mm，且明槽混凝土外加剂不得对预应力筋有腐蚀作用。</w:t>
      </w:r>
    </w:p>
    <w:p/>
    <w:p>
      <w:pPr>
        <w:pStyle w:val="3"/>
      </w:pPr>
      <w:bookmarkStart w:id="474" w:name="_Toc202345832"/>
      <w:r>
        <w:rPr>
          <w:rFonts w:hint="eastAsia"/>
        </w:rPr>
        <w:t>预应力施工</w:t>
      </w:r>
      <w:bookmarkEnd w:id="474"/>
      <w:bookmarkStart w:id="475" w:name="_Toc197444894"/>
      <w:bookmarkEnd w:id="475"/>
    </w:p>
    <w:p>
      <w:pPr>
        <w:pStyle w:val="4"/>
      </w:pPr>
      <w:bookmarkStart w:id="476" w:name="_Ref173418667"/>
      <w:r>
        <w:rPr>
          <w:rFonts w:hint="eastAsia"/>
        </w:rPr>
        <w:t>压接装配框架预应力钢绞线的制作应符合下列规定：</w:t>
      </w:r>
    </w:p>
    <w:p>
      <w:pPr>
        <w:pStyle w:val="5"/>
        <w:ind w:firstLine="482"/>
      </w:pPr>
      <w:r>
        <w:rPr>
          <w:b/>
          <w:bCs/>
        </w:rPr>
        <w:t>1</w:t>
      </w:r>
      <w:r>
        <w:tab/>
      </w:r>
      <w:r>
        <w:t>预</w:t>
      </w:r>
      <w:r>
        <w:rPr>
          <w:rFonts w:hint="eastAsia"/>
        </w:rPr>
        <w:t>应力筋长度应根据计算确定，计算时应综合考虑孔道长度、锚夹具长度、千斤顶长度、张拉伸长值和混凝土压缩变形量以及根据不同张拉方法和锚固形式预留的张拉长度等因素。</w:t>
      </w:r>
    </w:p>
    <w:p>
      <w:pPr>
        <w:pStyle w:val="5"/>
        <w:ind w:firstLine="482"/>
        <w:rPr>
          <w:highlight w:val="yellow"/>
        </w:rPr>
      </w:pPr>
      <w:r>
        <w:rPr>
          <w:rFonts w:hint="eastAsia"/>
          <w:b/>
          <w:bCs/>
        </w:rPr>
        <w:t>2</w:t>
      </w:r>
      <w:r>
        <w:tab/>
      </w:r>
      <w:r>
        <w:rPr>
          <w:rFonts w:hint="eastAsia"/>
        </w:rPr>
        <w:t>预应力筋下料时，应采用机械方式切割，宜采用砂轮锯或切割机切断。</w:t>
      </w:r>
    </w:p>
    <w:p>
      <w:pPr>
        <w:pStyle w:val="4"/>
      </w:pPr>
      <w:r>
        <w:rPr>
          <w:rFonts w:hint="eastAsia"/>
        </w:rPr>
        <w:t>压接装配框架结构</w:t>
      </w:r>
      <w:r>
        <w:t>预应力</w:t>
      </w:r>
      <w:r>
        <w:rPr>
          <w:rFonts w:hint="eastAsia"/>
        </w:rPr>
        <w:t>钢绞线张拉</w:t>
      </w:r>
      <w:r>
        <w:t>应符合下列规定：</w:t>
      </w:r>
      <w:bookmarkEnd w:id="472"/>
      <w:bookmarkEnd w:id="476"/>
    </w:p>
    <w:p>
      <w:pPr>
        <w:tabs>
          <w:tab w:val="left" w:pos="840"/>
        </w:tabs>
        <w:snapToGrid w:val="0"/>
        <w:spacing w:line="360" w:lineRule="auto"/>
        <w:ind w:firstLine="481" w:firstLineChars="200"/>
      </w:pPr>
      <w:r>
        <w:rPr>
          <w:b/>
          <w:bCs/>
        </w:rPr>
        <w:t>1</w:t>
      </w:r>
      <w:r>
        <w:tab/>
      </w:r>
      <w:r>
        <w:t>预</w:t>
      </w:r>
      <w:r>
        <w:rPr>
          <w:rFonts w:hint="eastAsia"/>
        </w:rPr>
        <w:t xml:space="preserve">应力钢绞线张拉时，节点接缝处的灌浆料应密实饱满，且强度应达到相邻梁板混凝土设计强度80%以上； </w:t>
      </w:r>
    </w:p>
    <w:p>
      <w:pPr>
        <w:tabs>
          <w:tab w:val="left" w:pos="840"/>
        </w:tabs>
        <w:snapToGrid w:val="0"/>
        <w:spacing w:line="360" w:lineRule="auto"/>
        <w:ind w:firstLine="481" w:firstLineChars="200"/>
      </w:pPr>
      <w:r>
        <w:rPr>
          <w:rFonts w:hint="eastAsia"/>
          <w:b/>
        </w:rPr>
        <w:t>2</w:t>
      </w:r>
      <w:r>
        <w:rPr>
          <w:rFonts w:hint="eastAsia"/>
        </w:rPr>
        <w:tab/>
      </w:r>
      <w:r>
        <w:rPr>
          <w:rFonts w:hint="eastAsia"/>
        </w:rPr>
        <w:t>预应力张拉前，应计算所需张拉力、压力表读数、张拉伸长值；</w:t>
      </w:r>
    </w:p>
    <w:p>
      <w:pPr>
        <w:tabs>
          <w:tab w:val="left" w:pos="840"/>
        </w:tabs>
        <w:snapToGrid w:val="0"/>
        <w:spacing w:line="360" w:lineRule="auto"/>
        <w:ind w:firstLine="481" w:firstLineChars="200"/>
      </w:pPr>
      <w:r>
        <w:rPr>
          <w:rFonts w:hint="eastAsia"/>
          <w:b/>
        </w:rPr>
        <w:t>3</w:t>
      </w:r>
      <w:r>
        <w:rPr>
          <w:rFonts w:hint="eastAsia"/>
        </w:rPr>
        <w:tab/>
      </w:r>
      <w:r>
        <w:rPr>
          <w:rFonts w:hint="eastAsia"/>
        </w:rPr>
        <w:t>预应力钢绞线的张拉顺序应符合设计和专项施工方案要求，预应力张拉应逐根张拉，且应按均匀、对称的顺序进行，预应力张拉长度大于40m时，宜两端张拉；采用两端张拉时，宜两端同时张拉，也可一端先张拉，另一端补张拉；</w:t>
      </w:r>
    </w:p>
    <w:p>
      <w:pPr>
        <w:tabs>
          <w:tab w:val="left" w:pos="840"/>
        </w:tabs>
        <w:snapToGrid w:val="0"/>
        <w:spacing w:line="360" w:lineRule="auto"/>
        <w:ind w:firstLine="481" w:firstLineChars="200"/>
      </w:pPr>
      <w:r>
        <w:rPr>
          <w:rFonts w:hint="eastAsia"/>
          <w:b/>
        </w:rPr>
        <w:t>4</w:t>
      </w:r>
      <w:r>
        <w:rPr>
          <w:rFonts w:hint="eastAsia"/>
        </w:rPr>
        <w:tab/>
      </w:r>
      <w:r>
        <w:rPr>
          <w:rFonts w:hint="eastAsia"/>
        </w:rPr>
        <w:t>预应力钢绞线张拉时，应使千斤顶、工作锚、锚垫板三者同心，且与锚垫板垂直；最大张拉控制应力</w:t>
      </w:r>
      <w:bookmarkStart w:id="477" w:name="_Hlk173240166"/>
      <w:r>
        <w:rPr>
          <w:rFonts w:hint="eastAsia"/>
        </w:rPr>
        <w:t>不应大于0</w:t>
      </w:r>
      <w:r>
        <w:t>.75</w:t>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oMath>
      <w:r>
        <w:rPr>
          <w:rFonts w:hint="eastAsia" w:hAnsi="Cambria Math" w:cs="XITS Math"/>
          <w:iCs/>
        </w:rPr>
        <w:t>；</w:t>
      </w:r>
    </w:p>
    <w:bookmarkEnd w:id="477"/>
    <w:p>
      <w:pPr>
        <w:tabs>
          <w:tab w:val="left" w:pos="840"/>
        </w:tabs>
        <w:snapToGrid w:val="0"/>
        <w:spacing w:line="360" w:lineRule="auto"/>
        <w:ind w:firstLine="481" w:firstLineChars="200"/>
      </w:pPr>
      <w:r>
        <w:rPr>
          <w:rFonts w:hint="eastAsia"/>
          <w:b/>
        </w:rPr>
        <w:t>5</w:t>
      </w:r>
      <w:r>
        <w:rPr>
          <w:rFonts w:hint="eastAsia"/>
        </w:rPr>
        <w:tab/>
      </w:r>
      <w:r>
        <w:rPr>
          <w:rFonts w:hint="eastAsia"/>
        </w:rPr>
        <w:t>预应力钢绞线的张拉宜采用应力控制方法，并应校核最大张拉力下预应力钢绞线的伸长值。张拉力、压力表读数、张拉伸长值及发生的异常情况等应进行详细记录；当预应力钢绞线实测伸长值与计算伸长值偏差大于6%时，应停止施工，查明原因并采取措施后，再继续施工；</w:t>
      </w:r>
    </w:p>
    <w:p>
      <w:pPr>
        <w:tabs>
          <w:tab w:val="left" w:pos="840"/>
        </w:tabs>
        <w:snapToGrid w:val="0"/>
        <w:spacing w:line="360" w:lineRule="auto"/>
        <w:ind w:firstLine="481" w:firstLineChars="200"/>
      </w:pPr>
      <w:r>
        <w:rPr>
          <w:rFonts w:hint="eastAsia"/>
          <w:b/>
        </w:rPr>
        <w:t>6</w:t>
      </w:r>
      <w:r>
        <w:rPr>
          <w:rFonts w:hint="eastAsia"/>
        </w:rPr>
        <w:tab/>
      </w:r>
      <w:r>
        <w:rPr>
          <w:rFonts w:hint="eastAsia"/>
        </w:rPr>
        <w:t>预应力钢绞线张拉过程中应避免出现钢绞线滑脱或断丝。发生滑脱时，滑脱的钢绞线数量不应超过构件同一截面钢绞线总根数的3%；发生断丝时，断丝的数量不应超过构件同一截面钢绞线钢丝总数的3%；且每根断裂的钢绞线断丝不应超过一丝；</w:t>
      </w:r>
    </w:p>
    <w:p>
      <w:pPr>
        <w:tabs>
          <w:tab w:val="left" w:pos="840"/>
        </w:tabs>
        <w:snapToGrid w:val="0"/>
        <w:spacing w:line="360" w:lineRule="auto"/>
        <w:ind w:firstLine="481" w:firstLineChars="200"/>
      </w:pPr>
      <w:r>
        <w:rPr>
          <w:rFonts w:hint="eastAsia"/>
          <w:b/>
        </w:rPr>
        <w:t>7</w:t>
      </w:r>
      <w:r>
        <w:rPr>
          <w:rFonts w:hint="eastAsia"/>
        </w:rPr>
        <w:tab/>
      </w:r>
      <w:r>
        <w:rPr>
          <w:rFonts w:hint="eastAsia"/>
        </w:rPr>
        <w:t>预应力钢绞线张拉时，应采取有效的安全防护措施，预应力钢绞线两端正前方不得站人或穿越。</w:t>
      </w:r>
    </w:p>
    <w:p>
      <w:pPr>
        <w:pStyle w:val="4"/>
      </w:pPr>
      <w:r>
        <w:t>预应力</w:t>
      </w:r>
      <w:r>
        <w:rPr>
          <w:rFonts w:hint="eastAsia"/>
        </w:rPr>
        <w:t>孔道灌浆施工</w:t>
      </w:r>
      <w:r>
        <w:t>应符合下列规定：</w:t>
      </w:r>
    </w:p>
    <w:p>
      <w:pPr>
        <w:tabs>
          <w:tab w:val="left" w:pos="840"/>
        </w:tabs>
        <w:snapToGrid w:val="0"/>
        <w:spacing w:line="360" w:lineRule="auto"/>
        <w:ind w:firstLine="481" w:firstLineChars="200"/>
      </w:pPr>
      <w:r>
        <w:rPr>
          <w:rFonts w:hint="eastAsia"/>
          <w:b/>
        </w:rPr>
        <w:t>1</w:t>
      </w:r>
      <w:r>
        <w:tab/>
      </w:r>
      <w:r>
        <w:t>预</w:t>
      </w:r>
      <w:r>
        <w:rPr>
          <w:rFonts w:hint="eastAsia"/>
        </w:rPr>
        <w:t>应力钢绞线张拉后，应尽早进行孔道灌浆，孔道内水泥浆应饱满密实；</w:t>
      </w:r>
    </w:p>
    <w:p>
      <w:pPr>
        <w:tabs>
          <w:tab w:val="left" w:pos="840"/>
        </w:tabs>
        <w:snapToGrid w:val="0"/>
        <w:spacing w:line="360" w:lineRule="auto"/>
        <w:ind w:firstLine="481" w:firstLineChars="200"/>
      </w:pPr>
      <w:r>
        <w:rPr>
          <w:rFonts w:hint="eastAsia"/>
          <w:b/>
        </w:rPr>
        <w:t>2</w:t>
      </w:r>
      <w:r>
        <w:rPr>
          <w:rFonts w:hint="eastAsia"/>
        </w:rPr>
        <w:tab/>
      </w:r>
      <w:r>
        <w:rPr>
          <w:rFonts w:hint="eastAsia"/>
        </w:rPr>
        <w:t>预应力钢绞线穿入孔道后至孔道灌浆的时间不宜过长，当环境相对湿度大于60%时，不宜超过14d；当环境相对湿度不大于60%时，不宜超过28d；</w:t>
      </w:r>
    </w:p>
    <w:p>
      <w:pPr>
        <w:tabs>
          <w:tab w:val="left" w:pos="840"/>
        </w:tabs>
        <w:snapToGrid w:val="0"/>
        <w:spacing w:line="360" w:lineRule="auto"/>
        <w:ind w:firstLine="481" w:firstLineChars="200"/>
      </w:pPr>
      <w:r>
        <w:rPr>
          <w:rFonts w:hint="eastAsia"/>
          <w:b/>
        </w:rPr>
        <w:t>3</w:t>
      </w:r>
      <w:r>
        <w:rPr>
          <w:rFonts w:hint="eastAsia"/>
        </w:rPr>
        <w:tab/>
      </w:r>
      <w:r>
        <w:rPr>
          <w:rFonts w:hint="eastAsia"/>
        </w:rPr>
        <w:t>灌浆施工前，应采用水泥浆、水泥砂浆等材料封堵锚具夹片缝隙和其他可能漏浆处，也可采用封锚罩封闭端部锚具。</w:t>
      </w:r>
    </w:p>
    <w:p>
      <w:pPr>
        <w:pStyle w:val="4"/>
      </w:pPr>
      <w:r>
        <w:rPr>
          <w:rFonts w:hint="eastAsia"/>
        </w:rPr>
        <w:t>预应力钢绞线孔道灌浆后，应切除锚具外多余预应力钢绞线；预应力钢绞线切割后外露长度不宜小于其直径1.5倍，且不宜小于30mm；切除后，应采用不低于预制梁混凝土强度等级的细石微膨胀混凝土进行封锚。</w:t>
      </w:r>
    </w:p>
    <w:p>
      <w:pPr>
        <w:pStyle w:val="4"/>
      </w:pPr>
      <w:bookmarkStart w:id="478" w:name="_Ref173418618"/>
      <w:r>
        <w:rPr>
          <w:rFonts w:hint="eastAsia"/>
        </w:rPr>
        <w:t>压接装配板柱的预应力筋张拉、压折应符合下列规定：</w:t>
      </w:r>
      <w:bookmarkEnd w:id="478"/>
    </w:p>
    <w:p>
      <w:pPr>
        <w:pStyle w:val="5"/>
        <w:ind w:firstLine="482"/>
      </w:pPr>
      <w:r>
        <w:rPr>
          <w:rFonts w:hint="eastAsia"/>
          <w:b/>
        </w:rPr>
        <w:t>1</w:t>
      </w:r>
      <w:r>
        <w:rPr>
          <w:rFonts w:hint="eastAsia"/>
        </w:rPr>
        <w:tab/>
      </w:r>
      <w:r>
        <w:rPr>
          <w:rFonts w:hint="eastAsia"/>
        </w:rPr>
        <w:t>张拉前应在结构张拉端外侧搭设供张拉操作使用的双排外脚手架或专用平台，操作台面应比楼盖低0.8m~1.0m，宽度不宜小于1.2m。</w:t>
      </w:r>
    </w:p>
    <w:p>
      <w:pPr>
        <w:pStyle w:val="5"/>
        <w:ind w:firstLine="482"/>
      </w:pPr>
      <w:r>
        <w:rPr>
          <w:rFonts w:hint="eastAsia"/>
          <w:b/>
        </w:rPr>
        <w:t>2</w:t>
      </w:r>
      <w:r>
        <w:rPr>
          <w:rFonts w:hint="eastAsia"/>
        </w:rPr>
        <w:tab/>
      </w:r>
      <w:r>
        <w:rPr>
          <w:rFonts w:hint="eastAsia"/>
        </w:rPr>
        <w:t>预应力张拉及压折设备，应按规定进行标定；预应力钢材、锚具及压折后定位件，应按规定进行检测。</w:t>
      </w:r>
    </w:p>
    <w:p>
      <w:pPr>
        <w:pStyle w:val="5"/>
        <w:ind w:firstLine="482"/>
      </w:pPr>
      <w:r>
        <w:rPr>
          <w:rFonts w:hint="eastAsia"/>
          <w:b/>
        </w:rPr>
        <w:t>3</w:t>
      </w:r>
      <w:r>
        <w:rPr>
          <w:rFonts w:hint="eastAsia"/>
        </w:rPr>
        <w:tab/>
      </w:r>
      <w:r>
        <w:rPr>
          <w:rFonts w:hint="eastAsia"/>
        </w:rPr>
        <w:t>预应力穿束时应自楼盖一端穿入，应在各跨间将其吊平直，并应防止两预应力束之间互相绞结缠绕，预应力筋不得出现局部弯折。</w:t>
      </w:r>
    </w:p>
    <w:p>
      <w:pPr>
        <w:pStyle w:val="5"/>
        <w:ind w:firstLine="482"/>
      </w:pPr>
      <w:r>
        <w:rPr>
          <w:rFonts w:hint="eastAsia"/>
          <w:b/>
        </w:rPr>
        <w:t>4</w:t>
      </w:r>
      <w:r>
        <w:rPr>
          <w:rFonts w:hint="eastAsia"/>
        </w:rPr>
        <w:tab/>
      </w:r>
      <w:r>
        <w:rPr>
          <w:rFonts w:hint="eastAsia"/>
        </w:rPr>
        <w:t>预应力张拉时，板与柱、板与垫块的接缝砂浆及现浇混凝土垫块的强度应符合设计要求，且不应低于设计强度的80%。</w:t>
      </w:r>
    </w:p>
    <w:p>
      <w:pPr>
        <w:pStyle w:val="5"/>
        <w:ind w:firstLine="482"/>
      </w:pPr>
      <w:r>
        <w:rPr>
          <w:rFonts w:hint="eastAsia"/>
          <w:b/>
        </w:rPr>
        <w:t>5</w:t>
      </w:r>
      <w:r>
        <w:rPr>
          <w:rFonts w:hint="eastAsia"/>
        </w:rPr>
        <w:tab/>
      </w:r>
      <w:r>
        <w:rPr>
          <w:rFonts w:hint="eastAsia"/>
        </w:rPr>
        <w:t>各明槽内预应力束应分批进行张拉，即所有明槽张拉完第一批后，再张拉第二批；对于长度较大的纵向轴线，不应将明槽内预应力束一次张拉完毕；各明槽之间张拉顺序应符合下列规定：</w:t>
      </w:r>
    </w:p>
    <w:p>
      <w:pPr>
        <w:pStyle w:val="5"/>
      </w:pPr>
      <w:r>
        <w:rPr>
          <w:rFonts w:hint="eastAsia"/>
        </w:rPr>
        <w:t>1） 先张拉边柱轴线对应明槽内预应力束，再进行其他明槽内预应力束张拉；</w:t>
      </w:r>
    </w:p>
    <w:p>
      <w:pPr>
        <w:pStyle w:val="5"/>
      </w:pPr>
      <w:r>
        <w:rPr>
          <w:rFonts w:hint="eastAsia"/>
        </w:rPr>
        <w:t>2）先张拉柱轴线对应明槽内预应力束，再张拉楼板拼缝内预应力束；</w:t>
      </w:r>
    </w:p>
    <w:p>
      <w:pPr>
        <w:pStyle w:val="5"/>
      </w:pPr>
      <w:r>
        <w:rPr>
          <w:rFonts w:hint="eastAsia"/>
        </w:rPr>
        <w:t>3）同一楼盖预应力束的张拉，宜对称于整个楼盖进行；</w:t>
      </w:r>
    </w:p>
    <w:p>
      <w:pPr>
        <w:pStyle w:val="5"/>
      </w:pPr>
      <w:r>
        <w:rPr>
          <w:rFonts w:hint="eastAsia"/>
        </w:rPr>
        <w:t>4）在垫块处，先张拉的预应力束不应压住后张拉的预应力束。</w:t>
      </w:r>
    </w:p>
    <w:p>
      <w:pPr>
        <w:pStyle w:val="5"/>
        <w:ind w:firstLine="482"/>
      </w:pPr>
      <w:r>
        <w:rPr>
          <w:rFonts w:hint="eastAsia"/>
          <w:b/>
        </w:rPr>
        <w:t>6</w:t>
      </w:r>
      <w:r>
        <w:rPr>
          <w:rFonts w:hint="eastAsia"/>
        </w:rPr>
        <w:tab/>
      </w:r>
      <w:r>
        <w:rPr>
          <w:rFonts w:hint="eastAsia"/>
        </w:rPr>
        <w:t>同一明槽内预应力束的张拉，应按照左右、上下交叉的原则进行。</w:t>
      </w:r>
    </w:p>
    <w:p>
      <w:pPr>
        <w:pStyle w:val="5"/>
        <w:ind w:firstLine="482"/>
      </w:pPr>
      <w:r>
        <w:rPr>
          <w:rFonts w:hint="eastAsia"/>
          <w:b/>
        </w:rPr>
        <w:t>7</w:t>
      </w:r>
      <w:r>
        <w:rPr>
          <w:rFonts w:hint="eastAsia"/>
        </w:rPr>
        <w:tab/>
      </w:r>
      <w:r>
        <w:rPr>
          <w:rFonts w:hint="eastAsia"/>
        </w:rPr>
        <w:t>先拉后折时，压折宜在全部预应力束张拉完毕后进行，压折顺序应符合对称、间隔的原则。当每跨压折两点，压折高度相同且各跨的跨度相等时，可参考表</w:t>
      </w:r>
      <w:r>
        <w:rPr>
          <w:bCs/>
        </w:rPr>
        <w:fldChar w:fldCharType="begin"/>
      </w:r>
      <w:r>
        <w:instrText xml:space="preserve"> </w:instrText>
      </w:r>
      <w:r>
        <w:rPr>
          <w:rFonts w:hint="eastAsia"/>
        </w:rPr>
        <w:instrText xml:space="preserve">REF _Ref173418618 \r \h</w:instrText>
      </w:r>
      <w:r>
        <w:instrText xml:space="preserve"> </w:instrText>
      </w:r>
      <w:r>
        <w:rPr>
          <w:bCs/>
        </w:rPr>
        <w:fldChar w:fldCharType="separate"/>
      </w:r>
      <w:r>
        <w:t>7. 4. 5</w:t>
      </w:r>
      <w:r>
        <w:rPr>
          <w:bCs/>
        </w:rPr>
        <w:fldChar w:fldCharType="end"/>
      </w:r>
      <w:r>
        <w:rPr>
          <w:rFonts w:hint="eastAsia"/>
          <w:bCs/>
        </w:rPr>
        <w:t>中所列压折顺序；</w:t>
      </w:r>
      <w:r>
        <w:rPr>
          <w:rFonts w:hint="eastAsia"/>
        </w:rPr>
        <w:t>当跨数≥6时，可在正中一跨先压折，后左右两部分分别按以上顺序压折。</w:t>
      </w:r>
    </w:p>
    <w:p>
      <w:pPr>
        <w:pStyle w:val="13"/>
        <w:ind w:firstLine="496"/>
        <w:rPr>
          <w:rFonts w:cs="Times New Roman"/>
        </w:rPr>
      </w:pPr>
      <w:r>
        <w:rPr>
          <w:rFonts w:cs="Times New Roman"/>
          <w:sz w:val="21"/>
          <w:szCs w:val="21"/>
        </w:rPr>
        <w:t>表</w:t>
      </w:r>
      <w:r>
        <w:rPr>
          <w:bCs/>
        </w:rPr>
        <w:fldChar w:fldCharType="begin"/>
      </w:r>
      <w:r>
        <w:instrText xml:space="preserve"> </w:instrText>
      </w:r>
      <w:r>
        <w:rPr>
          <w:rFonts w:hint="eastAsia"/>
        </w:rPr>
        <w:instrText xml:space="preserve">REF _Ref173418618 \r \h</w:instrText>
      </w:r>
      <w:r>
        <w:instrText xml:space="preserve"> </w:instrText>
      </w:r>
      <w:r>
        <w:rPr>
          <w:bCs/>
        </w:rPr>
        <w:fldChar w:fldCharType="separate"/>
      </w:r>
      <w:r>
        <w:t>7. 4. 5</w:t>
      </w:r>
      <w:r>
        <w:rPr>
          <w:bCs/>
        </w:rPr>
        <w:fldChar w:fldCharType="end"/>
      </w:r>
      <w:r>
        <w:rPr>
          <w:rFonts w:cs="Times New Roman"/>
          <w:sz w:val="21"/>
          <w:szCs w:val="21"/>
        </w:rPr>
        <w:t xml:space="preserve">  </w:t>
      </w:r>
      <w:r>
        <w:rPr>
          <w:rFonts w:hint="eastAsia" w:cs="Times New Roman"/>
          <w:sz w:val="21"/>
          <w:szCs w:val="21"/>
        </w:rPr>
        <w:t>每跨压折两点时的较佳压折顺序</w:t>
      </w:r>
    </w:p>
    <w:tbl>
      <w:tblPr>
        <w:tblStyle w:val="8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62"/>
        <w:gridCol w:w="5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跨数</w:t>
            </w:r>
          </w:p>
        </w:tc>
        <w:tc>
          <w:tcPr>
            <w:tcW w:w="5314"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压折顺序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vAlign w:val="center"/>
          </w:tcPr>
          <w:p>
            <w:pPr>
              <w:pStyle w:val="65"/>
              <w:rPr>
                <w:rFonts w:hint="eastAsia" w:ascii="MS Sans Serif" w:hAnsi="MS Sans Serif"/>
              </w:rPr>
            </w:pPr>
            <w:r>
              <w:rPr>
                <w:rFonts w:hint="eastAsia" w:ascii="MS Sans Serif" w:hAnsi="MS Sans Serif"/>
              </w:rPr>
              <w:t>3</w:t>
            </w:r>
          </w:p>
        </w:tc>
        <w:tc>
          <w:tcPr>
            <w:tcW w:w="5314" w:type="dxa"/>
            <w:vAlign w:val="center"/>
          </w:tcPr>
          <w:p>
            <w:pPr>
              <w:pStyle w:val="65"/>
              <w:rPr>
                <w:rFonts w:hint="eastAsia" w:ascii="MS Sans Serif" w:hAnsi="MS Sans Serif"/>
              </w:rPr>
            </w:pPr>
            <w:r>
              <w:rPr>
                <w:rFonts w:hint="eastAsia" w:ascii="MS Sans Serif" w:hAnsi="MS Sans Serif"/>
              </w:rPr>
              <w:t>2—1—3，2—3—1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vAlign w:val="center"/>
          </w:tcPr>
          <w:p>
            <w:pPr>
              <w:pStyle w:val="65"/>
              <w:rPr>
                <w:rFonts w:hint="eastAsia" w:ascii="MS Sans Serif" w:hAnsi="MS Sans Serif"/>
              </w:rPr>
            </w:pPr>
            <w:r>
              <w:rPr>
                <w:rFonts w:hint="eastAsia" w:ascii="MS Sans Serif" w:hAnsi="MS Sans Serif"/>
              </w:rPr>
              <w:t>4</w:t>
            </w:r>
          </w:p>
        </w:tc>
        <w:tc>
          <w:tcPr>
            <w:tcW w:w="5314" w:type="dxa"/>
            <w:vAlign w:val="center"/>
          </w:tcPr>
          <w:p>
            <w:pPr>
              <w:pStyle w:val="65"/>
              <w:rPr>
                <w:rFonts w:hint="eastAsia" w:ascii="MS Sans Serif" w:hAnsi="MS Sans Serif"/>
              </w:rPr>
            </w:pPr>
            <w:r>
              <w:rPr>
                <w:rFonts w:hint="eastAsia" w:ascii="MS Sans Serif" w:hAnsi="MS Sans Serif"/>
              </w:rPr>
              <w:t>2—4—3—1，3—1—2—4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vAlign w:val="center"/>
          </w:tcPr>
          <w:p>
            <w:pPr>
              <w:pStyle w:val="65"/>
              <w:rPr>
                <w:rFonts w:hint="eastAsia" w:ascii="MS Sans Serif" w:hAnsi="MS Sans Serif"/>
              </w:rPr>
            </w:pPr>
            <w:r>
              <w:rPr>
                <w:rFonts w:hint="eastAsia" w:ascii="MS Sans Serif" w:hAnsi="MS Sans Serif"/>
              </w:rPr>
              <w:t>5</w:t>
            </w:r>
          </w:p>
        </w:tc>
        <w:tc>
          <w:tcPr>
            <w:tcW w:w="5314" w:type="dxa"/>
            <w:vAlign w:val="center"/>
          </w:tcPr>
          <w:p>
            <w:pPr>
              <w:pStyle w:val="65"/>
              <w:rPr>
                <w:rFonts w:hint="eastAsia" w:ascii="MS Sans Serif" w:hAnsi="MS Sans Serif"/>
              </w:rPr>
            </w:pPr>
            <w:r>
              <w:rPr>
                <w:rFonts w:hint="eastAsia" w:ascii="MS Sans Serif" w:hAnsi="MS Sans Serif"/>
              </w:rPr>
              <w:t>3—1—5—2—4，3—5—1—4—2</w:t>
            </w:r>
          </w:p>
        </w:tc>
      </w:tr>
    </w:tbl>
    <w:p>
      <w:r>
        <w:rPr>
          <w:rFonts w:hint="eastAsia"/>
        </w:rPr>
        <w:t>注：每一跨的跨号按从左到右顺序排列。3跨时的压折顺序“2—1—3”，即表示首先压折第2跨，其次压折第1跨，最后压折第3跨。</w:t>
      </w:r>
    </w:p>
    <w:p>
      <w:pPr>
        <w:pStyle w:val="5"/>
        <w:ind w:firstLine="482"/>
      </w:pPr>
      <w:r>
        <w:rPr>
          <w:rFonts w:hint="eastAsia"/>
          <w:b/>
        </w:rPr>
        <w:t>8</w:t>
      </w:r>
      <w:r>
        <w:rPr>
          <w:rFonts w:hint="eastAsia"/>
        </w:rPr>
        <w:tab/>
      </w:r>
      <w:r>
        <w:rPr>
          <w:rFonts w:hint="eastAsia"/>
        </w:rPr>
        <w:t>先折后拉的预应力束可采用超张拉或两端张拉。当采用一端张拉时，对一个明槽内的多束预应力筋，可在两端交叉布置张拉端和固定端。</w:t>
      </w:r>
    </w:p>
    <w:p>
      <w:pPr>
        <w:pStyle w:val="5"/>
        <w:ind w:firstLine="482"/>
      </w:pPr>
      <w:r>
        <w:rPr>
          <w:rFonts w:hint="eastAsia"/>
          <w:b/>
        </w:rPr>
        <w:t>9</w:t>
      </w:r>
      <w:r>
        <w:rPr>
          <w:rFonts w:hint="eastAsia"/>
        </w:rPr>
        <w:tab/>
      </w:r>
      <w:r>
        <w:rPr>
          <w:rFonts w:hint="eastAsia"/>
        </w:rPr>
        <w:t>预应力张拉控制、伸长值测量复核及张拉断丝的规定，应按本规程第</w:t>
      </w:r>
      <w:r>
        <w:fldChar w:fldCharType="begin"/>
      </w:r>
      <w:r>
        <w:instrText xml:space="preserve"> </w:instrText>
      </w:r>
      <w:r>
        <w:rPr>
          <w:rFonts w:hint="eastAsia"/>
        </w:rPr>
        <w:instrText xml:space="preserve">REF _Ref173418667 \r \h</w:instrText>
      </w:r>
      <w:r>
        <w:instrText xml:space="preserve"> </w:instrText>
      </w:r>
      <w:r>
        <w:fldChar w:fldCharType="separate"/>
      </w:r>
      <w:r>
        <w:t>7. 4. 1</w:t>
      </w:r>
      <w:r>
        <w:fldChar w:fldCharType="end"/>
      </w:r>
      <w:r>
        <w:rPr>
          <w:rFonts w:hint="eastAsia"/>
        </w:rPr>
        <w:t>条规定执行。</w:t>
      </w:r>
    </w:p>
    <w:p>
      <w:pPr>
        <w:pStyle w:val="5"/>
        <w:ind w:firstLine="482"/>
      </w:pPr>
      <w:r>
        <w:rPr>
          <w:rFonts w:hint="eastAsia"/>
          <w:b/>
        </w:rPr>
        <w:t>10</w:t>
      </w:r>
      <w:r>
        <w:rPr>
          <w:rFonts w:hint="eastAsia"/>
        </w:rPr>
        <w:tab/>
      </w:r>
      <w:r>
        <w:rPr>
          <w:rFonts w:hint="eastAsia"/>
        </w:rPr>
        <w:t>压折器的压折能力，应大于设计上抬力的1.5倍，压折器的行程，应比压折高度大35mm。</w:t>
      </w:r>
    </w:p>
    <w:p>
      <w:pPr>
        <w:pStyle w:val="5"/>
        <w:ind w:firstLine="482"/>
      </w:pPr>
      <w:r>
        <w:rPr>
          <w:rFonts w:hint="eastAsia"/>
          <w:b/>
        </w:rPr>
        <w:t>11</w:t>
      </w:r>
      <w:r>
        <w:rPr>
          <w:rFonts w:hint="eastAsia"/>
        </w:rPr>
        <w:tab/>
      </w:r>
      <w:r>
        <w:rPr>
          <w:rFonts w:hint="eastAsia"/>
        </w:rPr>
        <w:t>压接装配板柱结构应在明槽混凝土浇筑完毕且达到15MPa以上强度后进行多余预应力筋切割。</w:t>
      </w:r>
    </w:p>
    <w:p>
      <w:pPr>
        <w:pStyle w:val="4"/>
      </w:pPr>
      <w:r>
        <w:rPr>
          <w:rFonts w:hint="eastAsia"/>
        </w:rPr>
        <w:t>压接装配板柱中预应力孔道灌浆必须单独进行，严禁通过明槽混凝土浇筑时水泥浆流入孔道的方式代替孔道灌浆的做法；明槽内混凝土宜在孔道灌浆后3d内完成；如不能及时浇筑，应对明槽加以保护。</w:t>
      </w:r>
    </w:p>
    <w:p/>
    <w:p/>
    <w:p>
      <w:pPr>
        <w:snapToGrid w:val="0"/>
        <w:spacing w:line="360" w:lineRule="auto"/>
        <w:ind w:firstLine="566"/>
      </w:pPr>
      <w:r>
        <w:br w:type="page"/>
      </w:r>
    </w:p>
    <w:p>
      <w:pPr>
        <w:pStyle w:val="2"/>
      </w:pPr>
      <w:bookmarkStart w:id="479" w:name="_Toc172211467"/>
      <w:bookmarkStart w:id="480" w:name="_Ref173165884"/>
      <w:bookmarkStart w:id="481" w:name="_Toc202345833"/>
      <w:r>
        <w:rPr>
          <w:rFonts w:hint="eastAsia"/>
        </w:rPr>
        <w:t>质量验收</w:t>
      </w:r>
      <w:bookmarkEnd w:id="479"/>
      <w:bookmarkEnd w:id="480"/>
      <w:bookmarkEnd w:id="481"/>
    </w:p>
    <w:p>
      <w:pPr>
        <w:pStyle w:val="3"/>
      </w:pPr>
      <w:bookmarkStart w:id="482" w:name="_Toc173143039"/>
      <w:bookmarkStart w:id="483" w:name="_Toc172211468"/>
      <w:bookmarkStart w:id="484" w:name="_Toc202345834"/>
      <w:r>
        <w:t>一般规定</w:t>
      </w:r>
      <w:bookmarkEnd w:id="482"/>
      <w:bookmarkEnd w:id="483"/>
      <w:bookmarkEnd w:id="484"/>
      <w:bookmarkStart w:id="485" w:name="_Toc197444896"/>
      <w:bookmarkEnd w:id="485"/>
    </w:p>
    <w:p>
      <w:pPr>
        <w:pStyle w:val="4"/>
      </w:pPr>
      <w:bookmarkStart w:id="486" w:name="_Toc86068010"/>
      <w:r>
        <w:rPr>
          <w:rFonts w:hint="eastAsia"/>
        </w:rPr>
        <w:t>采用压接装配结构的各类工程的子分部工程、分项工程和检验批的划分以及质量验收均应按现行国家标准《混凝土结构工程施工质量验收规范》GB 50204、《建筑工程施工质量验收统一标准》GB50300和《装配式混凝土建筑技术标准》GB/T 51231的有关规定执行，其中钢结构施工质量验收应按现行国家标准《钢结构工程施工质量验收标准》GB 50205的有关规定执行</w:t>
      </w:r>
      <w:r>
        <w:t>。</w:t>
      </w:r>
      <w:bookmarkEnd w:id="486"/>
    </w:p>
    <w:p>
      <w:pPr>
        <w:pStyle w:val="4"/>
      </w:pPr>
      <w:r>
        <w:t>预</w:t>
      </w:r>
      <w:r>
        <w:rPr>
          <w:rFonts w:hint="eastAsia"/>
        </w:rPr>
        <w:t>应力筋施工的主控项目和一般项目应符合现行国家标准《混凝土结构工程施工质量验收规范》GB 50204和北京市地方标准《预应力混凝土结构技术规程》DB11/T 2005的有关规定。</w:t>
      </w:r>
    </w:p>
    <w:p>
      <w:pPr>
        <w:pStyle w:val="4"/>
      </w:pPr>
      <w:r>
        <w:rPr>
          <w:rFonts w:hint="eastAsia"/>
        </w:rPr>
        <w:t>预制构件与预制构件、预制构件与现浇结构之间的连接应符合设计要求。</w:t>
      </w:r>
    </w:p>
    <w:p>
      <w:pPr>
        <w:pStyle w:val="4"/>
      </w:pPr>
      <w:r>
        <w:rPr>
          <w:rFonts w:hint="eastAsia"/>
        </w:rPr>
        <w:t>压接装配结构工程施工用的原材料、部品、构配件均应按检验批进行进场验收。</w:t>
      </w:r>
    </w:p>
    <w:p>
      <w:pPr>
        <w:pStyle w:val="4"/>
      </w:pPr>
      <w:r>
        <w:rPr>
          <w:rFonts w:hint="eastAsia"/>
        </w:rPr>
        <w:t>压接装配结构工程应在安装施工及浇筑混凝土前完成以下隐蔽项目的现场验收：</w:t>
      </w:r>
    </w:p>
    <w:p>
      <w:pPr>
        <w:snapToGrid w:val="0"/>
        <w:spacing w:line="360" w:lineRule="auto"/>
        <w:ind w:firstLine="569"/>
      </w:pPr>
      <w:r>
        <w:rPr>
          <w:rFonts w:hint="eastAsia"/>
          <w:b/>
        </w:rPr>
        <w:t>1</w:t>
      </w:r>
      <w:r>
        <w:tab/>
      </w:r>
      <w:r>
        <w:rPr>
          <w:rFonts w:hint="eastAsia"/>
        </w:rPr>
        <w:t>预制构件粗糙面质量，键槽的尺寸、数量、位置；</w:t>
      </w:r>
    </w:p>
    <w:p>
      <w:pPr>
        <w:snapToGrid w:val="0"/>
        <w:spacing w:line="360" w:lineRule="auto"/>
        <w:ind w:firstLine="569"/>
      </w:pPr>
      <w:r>
        <w:rPr>
          <w:rFonts w:hint="eastAsia"/>
          <w:b/>
        </w:rPr>
        <w:t>2</w:t>
      </w:r>
      <w:r>
        <w:tab/>
      </w:r>
      <w:r>
        <w:rPr>
          <w:rFonts w:hint="eastAsia"/>
        </w:rPr>
        <w:t>后浇混凝土中钢筋的牌号、规格、数量、位置、间距、锚固长度、箍筋弯钩的弯折角度及平直段长度；</w:t>
      </w:r>
    </w:p>
    <w:p>
      <w:pPr>
        <w:snapToGrid w:val="0"/>
        <w:spacing w:line="360" w:lineRule="auto"/>
        <w:ind w:firstLine="569"/>
      </w:pPr>
      <w:r>
        <w:rPr>
          <w:rFonts w:hint="eastAsia"/>
          <w:b/>
        </w:rPr>
        <w:t>3</w:t>
      </w:r>
      <w:r>
        <w:tab/>
      </w:r>
      <w:r>
        <w:rPr>
          <w:rFonts w:hint="eastAsia"/>
        </w:rPr>
        <w:t>结构预埋件、螺栓、预留专业管线的规格、数量与位置；</w:t>
      </w:r>
    </w:p>
    <w:p>
      <w:pPr>
        <w:snapToGrid w:val="0"/>
        <w:spacing w:line="360" w:lineRule="auto"/>
        <w:ind w:firstLine="569"/>
      </w:pPr>
      <w:r>
        <w:rPr>
          <w:rFonts w:hint="eastAsia"/>
          <w:b/>
        </w:rPr>
        <w:t>4</w:t>
      </w:r>
      <w:r>
        <w:tab/>
      </w:r>
      <w:r>
        <w:rPr>
          <w:rFonts w:hint="eastAsia"/>
        </w:rPr>
        <w:t>预制构件之间及预制构件与后浇混凝土之间的节点、接缝；</w:t>
      </w:r>
    </w:p>
    <w:p>
      <w:pPr>
        <w:snapToGrid w:val="0"/>
        <w:spacing w:line="360" w:lineRule="auto"/>
        <w:ind w:firstLine="569"/>
      </w:pPr>
      <w:r>
        <w:rPr>
          <w:rFonts w:hint="eastAsia"/>
          <w:b/>
        </w:rPr>
        <w:t>5</w:t>
      </w:r>
      <w:r>
        <w:tab/>
      </w:r>
      <w:r>
        <w:rPr>
          <w:rFonts w:hint="eastAsia"/>
        </w:rPr>
        <w:t>预制构件接缝处防水、防火等构造做法；</w:t>
      </w:r>
    </w:p>
    <w:p>
      <w:pPr>
        <w:snapToGrid w:val="0"/>
        <w:spacing w:line="360" w:lineRule="auto"/>
        <w:ind w:firstLine="569"/>
      </w:pPr>
      <w:r>
        <w:rPr>
          <w:rFonts w:hint="eastAsia"/>
          <w:b/>
        </w:rPr>
        <w:t>6</w:t>
      </w:r>
      <w:r>
        <w:tab/>
      </w:r>
      <w:r>
        <w:rPr>
          <w:rFonts w:hint="eastAsia"/>
        </w:rPr>
        <w:t>其他隐蔽项目。</w:t>
      </w:r>
    </w:p>
    <w:p>
      <w:pPr>
        <w:pStyle w:val="4"/>
      </w:pPr>
      <w:r>
        <w:rPr>
          <w:rFonts w:hint="eastAsia"/>
        </w:rPr>
        <w:t>压接装配结构工程质量验收时应提交下列文件与记录：</w:t>
      </w:r>
    </w:p>
    <w:p>
      <w:pPr>
        <w:snapToGrid w:val="0"/>
        <w:spacing w:line="360" w:lineRule="auto"/>
        <w:ind w:firstLine="481" w:firstLineChars="200"/>
      </w:pPr>
      <w:r>
        <w:rPr>
          <w:rFonts w:hint="eastAsia"/>
          <w:b/>
          <w:bCs/>
        </w:rPr>
        <w:t>1</w:t>
      </w:r>
      <w:r>
        <w:tab/>
      </w:r>
      <w:r>
        <w:rPr>
          <w:rFonts w:hint="eastAsia"/>
        </w:rPr>
        <w:t>工程设计单位确认的构件深化详图及设计变更文件；</w:t>
      </w:r>
    </w:p>
    <w:p>
      <w:pPr>
        <w:snapToGrid w:val="0"/>
        <w:spacing w:line="360" w:lineRule="auto"/>
        <w:ind w:firstLine="481" w:firstLineChars="200"/>
      </w:pPr>
      <w:r>
        <w:rPr>
          <w:rFonts w:hint="eastAsia"/>
          <w:b/>
          <w:bCs/>
        </w:rPr>
        <w:t>2</w:t>
      </w:r>
      <w:r>
        <w:tab/>
      </w:r>
      <w:r>
        <w:rPr>
          <w:rFonts w:hint="eastAsia"/>
        </w:rPr>
        <w:t>工程所用主要材料及预制构件的各种相关质量证明文件、进场验收记录、抽样检验或复验报告；</w:t>
      </w:r>
    </w:p>
    <w:p>
      <w:pPr>
        <w:snapToGrid w:val="0"/>
        <w:spacing w:line="360" w:lineRule="auto"/>
        <w:ind w:firstLine="481" w:firstLineChars="200"/>
      </w:pPr>
      <w:r>
        <w:rPr>
          <w:rFonts w:hint="eastAsia"/>
          <w:b/>
          <w:bCs/>
        </w:rPr>
        <w:t>3</w:t>
      </w:r>
      <w:r>
        <w:tab/>
      </w:r>
      <w:r>
        <w:rPr>
          <w:rFonts w:hint="eastAsia"/>
        </w:rPr>
        <w:t>预制构件安装施工验收记录（</w:t>
      </w:r>
      <w:r>
        <w:fldChar w:fldCharType="begin"/>
      </w:r>
      <w:r>
        <w:instrText xml:space="preserve"> </w:instrText>
      </w:r>
      <w:r>
        <w:rPr>
          <w:rFonts w:hint="eastAsia"/>
        </w:rPr>
        <w:instrText xml:space="preserve">REF _Ref192664160 \r \h</w:instrText>
      </w:r>
      <w:r>
        <w:instrText xml:space="preserve"> </w:instrText>
      </w:r>
      <w:r>
        <w:fldChar w:fldCharType="separate"/>
      </w:r>
      <w:r>
        <w:rPr>
          <w:rFonts w:hint="eastAsia"/>
        </w:rPr>
        <w:t>附录D</w:t>
      </w:r>
      <w:r>
        <w:fldChar w:fldCharType="end"/>
      </w:r>
      <w:r>
        <w:rPr>
          <w:rFonts w:hint="eastAsia"/>
        </w:rPr>
        <w:t>）；</w:t>
      </w:r>
    </w:p>
    <w:p>
      <w:pPr>
        <w:snapToGrid w:val="0"/>
        <w:spacing w:line="360" w:lineRule="auto"/>
        <w:ind w:firstLine="481" w:firstLineChars="200"/>
      </w:pPr>
      <w:r>
        <w:rPr>
          <w:rFonts w:hint="eastAsia"/>
          <w:b/>
          <w:bCs/>
        </w:rPr>
        <w:t>4</w:t>
      </w:r>
      <w:r>
        <w:tab/>
      </w:r>
      <w:r>
        <w:rPr>
          <w:rFonts w:hint="eastAsia"/>
        </w:rPr>
        <w:t>钢筋套筒灌浆连接施工检验记录及影像资料；</w:t>
      </w:r>
    </w:p>
    <w:p>
      <w:pPr>
        <w:snapToGrid w:val="0"/>
        <w:spacing w:line="360" w:lineRule="auto"/>
        <w:ind w:firstLine="481" w:firstLineChars="200"/>
      </w:pPr>
      <w:r>
        <w:rPr>
          <w:rFonts w:hint="eastAsia"/>
          <w:b/>
          <w:bCs/>
        </w:rPr>
        <w:t>5</w:t>
      </w:r>
      <w:r>
        <w:tab/>
      </w:r>
      <w:r>
        <w:rPr>
          <w:rFonts w:hint="eastAsia"/>
        </w:rPr>
        <w:t>钢筋连接接头的检验报告；</w:t>
      </w:r>
    </w:p>
    <w:p>
      <w:pPr>
        <w:snapToGrid w:val="0"/>
        <w:spacing w:line="360" w:lineRule="auto"/>
        <w:ind w:firstLine="481" w:firstLineChars="200"/>
      </w:pPr>
      <w:r>
        <w:rPr>
          <w:rFonts w:hint="eastAsia"/>
          <w:b/>
          <w:bCs/>
        </w:rPr>
        <w:t>6</w:t>
      </w:r>
      <w:r>
        <w:tab/>
      </w:r>
      <w:r>
        <w:rPr>
          <w:rFonts w:hint="eastAsia"/>
        </w:rPr>
        <w:t>连接构造节点的隐蔽工程检查验收文件；</w:t>
      </w:r>
    </w:p>
    <w:p>
      <w:pPr>
        <w:snapToGrid w:val="0"/>
        <w:spacing w:line="360" w:lineRule="auto"/>
        <w:ind w:firstLine="481" w:firstLineChars="200"/>
      </w:pPr>
      <w:r>
        <w:rPr>
          <w:rFonts w:hint="eastAsia"/>
          <w:b/>
          <w:bCs/>
        </w:rPr>
        <w:t>7</w:t>
      </w:r>
      <w:r>
        <w:tab/>
      </w:r>
      <w:r>
        <w:rPr>
          <w:rFonts w:hint="eastAsia"/>
        </w:rPr>
        <w:t>后浇叠合构件和节点混凝土、灌浆料强度检测报告；</w:t>
      </w:r>
    </w:p>
    <w:p>
      <w:pPr>
        <w:snapToGrid w:val="0"/>
        <w:spacing w:line="360" w:lineRule="auto"/>
        <w:ind w:firstLine="481" w:firstLineChars="200"/>
      </w:pPr>
      <w:r>
        <w:rPr>
          <w:rFonts w:hint="eastAsia"/>
          <w:b/>
          <w:bCs/>
        </w:rPr>
        <w:t>8</w:t>
      </w:r>
      <w:r>
        <w:tab/>
      </w:r>
      <w:r>
        <w:rPr>
          <w:rFonts w:hint="eastAsia"/>
        </w:rPr>
        <w:t>预制柱身预偏记录表；</w:t>
      </w:r>
    </w:p>
    <w:p>
      <w:pPr>
        <w:snapToGrid w:val="0"/>
        <w:spacing w:line="360" w:lineRule="auto"/>
        <w:ind w:firstLine="481" w:firstLineChars="200"/>
      </w:pPr>
      <w:r>
        <w:rPr>
          <w:rFonts w:hint="eastAsia"/>
          <w:b/>
          <w:bCs/>
        </w:rPr>
        <w:t>9</w:t>
      </w:r>
      <w:r>
        <w:tab/>
      </w:r>
      <w:r>
        <w:rPr>
          <w:rFonts w:hint="eastAsia"/>
        </w:rPr>
        <w:t>预应力材料、设备器具和张拉施工的记录及检验报告等；</w:t>
      </w:r>
    </w:p>
    <w:p>
      <w:pPr>
        <w:snapToGrid w:val="0"/>
        <w:spacing w:line="360" w:lineRule="auto"/>
        <w:ind w:firstLine="481" w:firstLineChars="200"/>
      </w:pPr>
      <w:r>
        <w:rPr>
          <w:rFonts w:hint="eastAsia"/>
          <w:b/>
          <w:bCs/>
        </w:rPr>
        <w:t>10</w:t>
      </w:r>
      <w:r>
        <w:tab/>
      </w:r>
      <w:r>
        <w:rPr>
          <w:rFonts w:hint="eastAsia"/>
        </w:rPr>
        <w:t>工程重大质量问题的处理方案和验收记录；</w:t>
      </w:r>
    </w:p>
    <w:p>
      <w:pPr>
        <w:pStyle w:val="70"/>
      </w:pPr>
      <w:r>
        <w:rPr>
          <w:rFonts w:hint="eastAsia"/>
          <w:b/>
        </w:rPr>
        <w:t>11</w:t>
      </w:r>
      <w:r>
        <w:tab/>
      </w:r>
      <w:r>
        <w:rPr>
          <w:rFonts w:hint="eastAsia"/>
        </w:rPr>
        <w:t>其他必要的文件与记录。</w:t>
      </w:r>
    </w:p>
    <w:p/>
    <w:p>
      <w:pPr>
        <w:pStyle w:val="3"/>
      </w:pPr>
      <w:bookmarkStart w:id="487" w:name="_Toc173143040"/>
      <w:bookmarkStart w:id="488" w:name="_Toc202345835"/>
      <w:bookmarkStart w:id="489" w:name="_Toc172211469"/>
      <w:r>
        <w:rPr>
          <w:rFonts w:hint="eastAsia"/>
        </w:rPr>
        <w:t>预制构件进场</w:t>
      </w:r>
      <w:bookmarkEnd w:id="487"/>
      <w:bookmarkEnd w:id="488"/>
      <w:bookmarkEnd w:id="489"/>
      <w:bookmarkStart w:id="490" w:name="_Toc197444897"/>
      <w:bookmarkEnd w:id="490"/>
    </w:p>
    <w:p>
      <w:pPr>
        <w:snapToGrid w:val="0"/>
        <w:spacing w:line="360" w:lineRule="auto"/>
        <w:jc w:val="center"/>
        <w:rPr>
          <w:rFonts w:ascii="黑体" w:hAnsi="黑体" w:eastAsia="黑体"/>
        </w:rPr>
      </w:pPr>
      <w:r>
        <w:rPr>
          <w:rFonts w:hint="eastAsia" w:ascii="黑体" w:hAnsi="黑体" w:eastAsia="黑体"/>
        </w:rPr>
        <w:t>主控项目</w:t>
      </w:r>
    </w:p>
    <w:p>
      <w:pPr>
        <w:pStyle w:val="4"/>
      </w:pPr>
      <w:r>
        <w:rPr>
          <w:rFonts w:hint="eastAsia"/>
        </w:rPr>
        <w:t>预制构件进场时应检查其质量证明文件，构件质量应符合本规程及国家现行相关标准、设计的有关要求。</w:t>
      </w:r>
    </w:p>
    <w:p>
      <w:pPr>
        <w:snapToGrid w:val="0"/>
        <w:spacing w:line="360" w:lineRule="auto"/>
        <w:ind w:left="360" w:firstLine="480" w:firstLineChars="200"/>
      </w:pPr>
      <w:r>
        <w:rPr>
          <w:rFonts w:hint="eastAsia"/>
        </w:rPr>
        <w:t>检查数量：全数检查。</w:t>
      </w:r>
    </w:p>
    <w:p>
      <w:pPr>
        <w:tabs>
          <w:tab w:val="left" w:pos="840"/>
        </w:tabs>
        <w:snapToGrid w:val="0"/>
        <w:spacing w:line="360" w:lineRule="auto"/>
        <w:ind w:firstLine="480" w:firstLineChars="200"/>
      </w:pPr>
      <w:r>
        <w:tab/>
      </w:r>
      <w:r>
        <w:rPr>
          <w:rFonts w:hint="eastAsia"/>
        </w:rPr>
        <w:t>检验方法：观察检查、检查出厂合格证及有关质量证明文件。</w:t>
      </w:r>
    </w:p>
    <w:p>
      <w:pPr>
        <w:pStyle w:val="4"/>
      </w:pPr>
      <w:r>
        <w:rPr>
          <w:rFonts w:hint="eastAsia"/>
        </w:rPr>
        <w:t>预制构件结构进场时，对于预应力空心板应进行结构性能检验，对于叠合梁构件、钢筋桁架叠合板等不可单独使用的叠合板预制底板，可不进行结构性能检验。当不进行结构性能检验时，应依据现行国家标准《装配式混凝土建筑技术标准》GB</w:t>
      </w:r>
      <w:r>
        <w:t>/</w:t>
      </w:r>
      <w:r>
        <w:rPr>
          <w:rFonts w:hint="eastAsia"/>
        </w:rPr>
        <w:t>T</w:t>
      </w:r>
      <w:r>
        <w:t xml:space="preserve"> 51231</w:t>
      </w:r>
      <w:r>
        <w:rPr>
          <w:rFonts w:hint="eastAsia"/>
        </w:rPr>
        <w:t>的有关规定采取质量控制措施。</w:t>
      </w:r>
    </w:p>
    <w:p>
      <w:pPr>
        <w:pStyle w:val="4"/>
      </w:pPr>
      <w:r>
        <w:rPr>
          <w:rFonts w:hint="eastAsia"/>
        </w:rPr>
        <w:t>预制构件的外观质量不应有严重缺陷，且不应有影响结构性能和安装、使用功能的尺寸偏差。</w:t>
      </w:r>
    </w:p>
    <w:p>
      <w:pPr>
        <w:snapToGrid w:val="0"/>
        <w:spacing w:line="360" w:lineRule="auto"/>
        <w:ind w:left="360" w:firstLine="480" w:firstLineChars="200"/>
      </w:pPr>
      <w:r>
        <w:rPr>
          <w:rFonts w:hint="eastAsia"/>
        </w:rPr>
        <w:t>检查数量：全数检查。</w:t>
      </w:r>
    </w:p>
    <w:p>
      <w:pPr>
        <w:snapToGrid w:val="0"/>
        <w:spacing w:line="360" w:lineRule="auto"/>
        <w:ind w:left="360" w:firstLine="480" w:firstLineChars="200"/>
      </w:pPr>
      <w:r>
        <w:rPr>
          <w:rFonts w:hint="eastAsia"/>
        </w:rPr>
        <w:t>检验方法：观察，尺量检查；检查处理记录。</w:t>
      </w:r>
    </w:p>
    <w:p>
      <w:pPr>
        <w:pStyle w:val="4"/>
      </w:pPr>
      <w:bookmarkStart w:id="491" w:name="_Ref88041488"/>
      <w:bookmarkStart w:id="492" w:name="_Toc86068015"/>
      <w:r>
        <w:rPr>
          <w:rFonts w:hint="eastAsia"/>
          <w:color w:val="000000"/>
        </w:rPr>
        <w:t>压接装配</w:t>
      </w:r>
      <w:r>
        <w:rPr>
          <w:rFonts w:hint="eastAsia"/>
        </w:rPr>
        <w:t>框架</w:t>
      </w:r>
      <w:r>
        <w:t>预制</w:t>
      </w:r>
      <w:r>
        <w:rPr>
          <w:rFonts w:hint="eastAsia"/>
        </w:rPr>
        <w:t>柱进场检查主控项目应符合下列规定：</w:t>
      </w:r>
      <w:bookmarkEnd w:id="491"/>
    </w:p>
    <w:p>
      <w:pPr>
        <w:tabs>
          <w:tab w:val="left" w:pos="840"/>
        </w:tabs>
        <w:snapToGrid w:val="0"/>
        <w:spacing w:line="360" w:lineRule="auto"/>
        <w:ind w:firstLine="481" w:firstLineChars="200"/>
      </w:pPr>
      <w:r>
        <w:rPr>
          <w:rFonts w:hint="eastAsia"/>
          <w:b/>
        </w:rPr>
        <w:t>1</w:t>
      </w:r>
      <w:r>
        <w:tab/>
      </w:r>
      <w:r>
        <w:rPr>
          <w:rFonts w:hint="eastAsia"/>
        </w:rPr>
        <w:t>预埋直螺纹套筒位置、数量、柱表面垂直度应符合设计要求。</w:t>
      </w:r>
    </w:p>
    <w:p>
      <w:pPr>
        <w:snapToGrid w:val="0"/>
        <w:spacing w:line="360" w:lineRule="auto"/>
        <w:ind w:left="360" w:firstLine="480" w:firstLineChars="200"/>
      </w:pPr>
      <w:r>
        <w:rPr>
          <w:rFonts w:hint="eastAsia"/>
        </w:rPr>
        <w:t>检查数量：全数检查。</w:t>
      </w:r>
    </w:p>
    <w:p>
      <w:pPr>
        <w:tabs>
          <w:tab w:val="left" w:pos="840"/>
        </w:tabs>
        <w:snapToGrid w:val="0"/>
        <w:spacing w:line="360" w:lineRule="auto"/>
        <w:ind w:firstLine="480" w:firstLineChars="200"/>
      </w:pPr>
      <w:r>
        <w:tab/>
      </w:r>
      <w:r>
        <w:rPr>
          <w:rFonts w:hint="eastAsia"/>
        </w:rPr>
        <w:t>检验方法：观察、尺量。</w:t>
      </w:r>
    </w:p>
    <w:p>
      <w:pPr>
        <w:tabs>
          <w:tab w:val="left" w:pos="840"/>
        </w:tabs>
        <w:snapToGrid w:val="0"/>
        <w:spacing w:line="360" w:lineRule="auto"/>
        <w:ind w:firstLine="481" w:firstLineChars="200"/>
      </w:pPr>
      <w:r>
        <w:rPr>
          <w:rFonts w:hint="eastAsia"/>
          <w:b/>
        </w:rPr>
        <w:t>2</w:t>
      </w:r>
      <w:r>
        <w:rPr>
          <w:rFonts w:hint="eastAsia"/>
        </w:rPr>
        <w:tab/>
      </w:r>
      <w:r>
        <w:rPr>
          <w:rFonts w:hint="eastAsia"/>
        </w:rPr>
        <w:t>预埋直螺纹套筒内应无异物，丝扣无锈蚀且有保护帽覆盖。</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w:t>
      </w:r>
    </w:p>
    <w:p>
      <w:pPr>
        <w:tabs>
          <w:tab w:val="left" w:pos="840"/>
        </w:tabs>
        <w:snapToGrid w:val="0"/>
        <w:spacing w:line="360" w:lineRule="auto"/>
        <w:ind w:firstLine="481" w:firstLineChars="200"/>
      </w:pPr>
      <w:r>
        <w:rPr>
          <w:rFonts w:hint="eastAsia"/>
          <w:b/>
        </w:rPr>
        <w:t>3</w:t>
      </w:r>
      <w:r>
        <w:rPr>
          <w:rFonts w:hint="eastAsia"/>
        </w:rPr>
        <w:tab/>
      </w:r>
      <w:r>
        <w:rPr>
          <w:rFonts w:hint="eastAsia"/>
        </w:rPr>
        <w:t>预埋金属波纹管位置、数量应符合设计要求，并应通畅平直、内部无异物。</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检验方法：观察、尺量。</w:t>
      </w:r>
    </w:p>
    <w:p>
      <w:pPr>
        <w:pStyle w:val="4"/>
      </w:pPr>
      <w:r>
        <w:rPr>
          <w:rFonts w:hint="eastAsia"/>
          <w:color w:val="000000"/>
        </w:rPr>
        <w:t>压接装配框架</w:t>
      </w:r>
      <w:r>
        <w:t>预制</w:t>
      </w:r>
      <w:r>
        <w:rPr>
          <w:rFonts w:hint="eastAsia"/>
        </w:rPr>
        <w:t>梁进场检查主控项目应符合下列规定：</w:t>
      </w:r>
    </w:p>
    <w:p>
      <w:pPr>
        <w:tabs>
          <w:tab w:val="left" w:pos="840"/>
        </w:tabs>
        <w:snapToGrid w:val="0"/>
        <w:spacing w:line="360" w:lineRule="auto"/>
        <w:ind w:firstLine="481" w:firstLineChars="200"/>
      </w:pPr>
      <w:r>
        <w:rPr>
          <w:rFonts w:hint="eastAsia"/>
          <w:b/>
        </w:rPr>
        <w:t>1</w:t>
      </w:r>
      <w:r>
        <w:tab/>
      </w:r>
      <w:r>
        <w:rPr>
          <w:rFonts w:hint="eastAsia"/>
        </w:rPr>
        <w:t>预埋金属波纹管位置、数量应符合设计要求，并应通畅、内部无异物。</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检验方法：观察、尺量。</w:t>
      </w:r>
    </w:p>
    <w:p>
      <w:pPr>
        <w:tabs>
          <w:tab w:val="left" w:pos="840"/>
        </w:tabs>
        <w:snapToGrid w:val="0"/>
        <w:spacing w:line="360" w:lineRule="auto"/>
        <w:ind w:firstLine="481" w:firstLineChars="200"/>
      </w:pPr>
      <w:r>
        <w:rPr>
          <w:rFonts w:hint="eastAsia"/>
          <w:b/>
        </w:rPr>
        <w:t>2</w:t>
      </w:r>
      <w:r>
        <w:rPr>
          <w:rFonts w:hint="eastAsia"/>
        </w:rPr>
        <w:tab/>
      </w:r>
      <w:r>
        <w:rPr>
          <w:rFonts w:hint="eastAsia"/>
        </w:rPr>
        <w:t>预制梁箍筋伸出预制梁顶面的高度应符合设计要求。</w:t>
      </w:r>
    </w:p>
    <w:p>
      <w:pPr>
        <w:tabs>
          <w:tab w:val="left" w:pos="840"/>
        </w:tabs>
        <w:snapToGrid w:val="0"/>
        <w:spacing w:line="360" w:lineRule="auto"/>
        <w:ind w:firstLine="480" w:firstLineChars="200"/>
      </w:pPr>
      <w:r>
        <w:tab/>
      </w:r>
      <w:r>
        <w:rPr>
          <w:rFonts w:hint="eastAsia"/>
        </w:rPr>
        <w:t>检查数量：预制梁端部箍筋加密区间全数检查。</w:t>
      </w:r>
    </w:p>
    <w:p>
      <w:pPr>
        <w:tabs>
          <w:tab w:val="left" w:pos="840"/>
        </w:tabs>
        <w:snapToGrid w:val="0"/>
        <w:spacing w:line="360" w:lineRule="auto"/>
        <w:ind w:firstLine="480" w:firstLineChars="200"/>
      </w:pPr>
      <w:r>
        <w:tab/>
      </w:r>
      <w:r>
        <w:rPr>
          <w:rFonts w:hint="eastAsia"/>
        </w:rPr>
        <w:t>检验方法：尺量。</w:t>
      </w:r>
    </w:p>
    <w:p>
      <w:pPr>
        <w:pStyle w:val="82"/>
        <w:ind w:firstLine="480"/>
      </w:pPr>
    </w:p>
    <w:p>
      <w:pPr>
        <w:snapToGrid w:val="0"/>
        <w:spacing w:line="360" w:lineRule="auto"/>
        <w:jc w:val="center"/>
        <w:rPr>
          <w:rFonts w:ascii="黑体" w:hAnsi="黑体" w:eastAsia="黑体"/>
        </w:rPr>
      </w:pPr>
      <w:r>
        <w:rPr>
          <w:rFonts w:hint="eastAsia" w:ascii="黑体" w:hAnsi="黑体" w:eastAsia="黑体"/>
        </w:rPr>
        <w:t>一般项目</w:t>
      </w:r>
    </w:p>
    <w:p>
      <w:pPr>
        <w:pStyle w:val="4"/>
      </w:pPr>
      <w:r>
        <w:rPr>
          <w:rFonts w:hint="eastAsia"/>
        </w:rPr>
        <w:t>预制构件的粗糙面或键槽应符合设计要求。</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检验方法：观察、尺量。</w:t>
      </w:r>
    </w:p>
    <w:p>
      <w:pPr>
        <w:pStyle w:val="4"/>
      </w:pPr>
      <w:r>
        <w:rPr>
          <w:rFonts w:hint="eastAsia"/>
        </w:rPr>
        <w:t>预制构件上的预埋件、预留插筋、预留孔洞、预埋管线等规格型号、数量应符合设计要求。</w:t>
      </w:r>
    </w:p>
    <w:p>
      <w:pPr>
        <w:tabs>
          <w:tab w:val="left" w:pos="840"/>
        </w:tabs>
        <w:snapToGrid w:val="0"/>
        <w:spacing w:line="360" w:lineRule="auto"/>
        <w:ind w:firstLine="960" w:firstLineChars="400"/>
      </w:pPr>
      <w:r>
        <w:rPr>
          <w:rFonts w:hint="eastAsia"/>
        </w:rPr>
        <w:t>检查数量：按批检查</w:t>
      </w:r>
    </w:p>
    <w:p>
      <w:pPr>
        <w:tabs>
          <w:tab w:val="left" w:pos="840"/>
        </w:tabs>
        <w:snapToGrid w:val="0"/>
        <w:spacing w:line="360" w:lineRule="auto"/>
        <w:ind w:firstLine="960" w:firstLineChars="400"/>
      </w:pPr>
      <w:r>
        <w:rPr>
          <w:rFonts w:hint="eastAsia"/>
        </w:rPr>
        <w:t>检验方法：观察、尺量；检查产品合格证。</w:t>
      </w:r>
    </w:p>
    <w:p/>
    <w:p>
      <w:pPr>
        <w:pStyle w:val="3"/>
      </w:pPr>
      <w:bookmarkStart w:id="493" w:name="_Toc202345836"/>
      <w:bookmarkStart w:id="494" w:name="_Toc173143041"/>
      <w:bookmarkStart w:id="495" w:name="_Toc172211470"/>
      <w:r>
        <w:rPr>
          <w:rFonts w:hint="eastAsia"/>
        </w:rPr>
        <w:t>支撑与模板</w:t>
      </w:r>
      <w:bookmarkEnd w:id="493"/>
      <w:bookmarkEnd w:id="494"/>
      <w:bookmarkEnd w:id="495"/>
      <w:bookmarkStart w:id="496" w:name="_Toc197444898"/>
      <w:bookmarkEnd w:id="496"/>
    </w:p>
    <w:p>
      <w:pPr>
        <w:snapToGrid w:val="0"/>
        <w:spacing w:line="360" w:lineRule="auto"/>
        <w:jc w:val="center"/>
        <w:rPr>
          <w:rFonts w:ascii="黑体" w:hAnsi="黑体" w:eastAsia="黑体"/>
        </w:rPr>
      </w:pPr>
      <w:r>
        <w:rPr>
          <w:rFonts w:hint="eastAsia" w:ascii="黑体" w:hAnsi="黑体" w:eastAsia="黑体"/>
        </w:rPr>
        <w:t>主控项目</w:t>
      </w:r>
    </w:p>
    <w:p>
      <w:pPr>
        <w:pStyle w:val="4"/>
      </w:pPr>
      <w:r>
        <w:rPr>
          <w:rFonts w:hint="eastAsia"/>
        </w:rPr>
        <w:t>预制构件安装临时固定支撑应稳固可靠，并应符合施工方案及相关技术标准要求。</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检验方法：观察检查，检查施工方案、施工记录或设计文件。</w:t>
      </w:r>
    </w:p>
    <w:p>
      <w:pPr>
        <w:pStyle w:val="4"/>
      </w:pPr>
      <w:r>
        <w:rPr>
          <w:rFonts w:hint="eastAsia"/>
        </w:rPr>
        <w:t>后浇混凝土模板应具有足够的承载力、刚度和稳定性，并应符合施工方案及相关技术标准要求。</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检验方法：观察检查，检查施工记录。</w:t>
      </w:r>
    </w:p>
    <w:p>
      <w:pPr>
        <w:tabs>
          <w:tab w:val="left" w:pos="840"/>
        </w:tabs>
        <w:snapToGrid w:val="0"/>
        <w:spacing w:line="360" w:lineRule="auto"/>
        <w:ind w:firstLine="480" w:firstLineChars="200"/>
      </w:pPr>
    </w:p>
    <w:p>
      <w:pPr>
        <w:snapToGrid w:val="0"/>
        <w:spacing w:line="360" w:lineRule="auto"/>
        <w:jc w:val="center"/>
        <w:rPr>
          <w:rFonts w:ascii="黑体" w:hAnsi="黑体" w:eastAsia="黑体"/>
        </w:rPr>
      </w:pPr>
      <w:r>
        <w:rPr>
          <w:rFonts w:hint="eastAsia" w:ascii="黑体" w:hAnsi="黑体" w:eastAsia="黑体"/>
        </w:rPr>
        <w:t>一般项目</w:t>
      </w:r>
    </w:p>
    <w:p>
      <w:pPr>
        <w:pStyle w:val="4"/>
      </w:pPr>
      <w:bookmarkStart w:id="497" w:name="_Ref198108940"/>
      <w:r>
        <w:rPr>
          <w:rFonts w:hint="eastAsia"/>
        </w:rPr>
        <w:t>预应力压接装配式结构中后浇混凝土模板安装的偏差应符合表</w:t>
      </w:r>
      <w:r>
        <w:fldChar w:fldCharType="begin"/>
      </w:r>
      <w:r>
        <w:instrText xml:space="preserve"> REF _Ref198108940 \r \h </w:instrText>
      </w:r>
      <w:r>
        <w:fldChar w:fldCharType="separate"/>
      </w:r>
      <w:r>
        <w:t>8. 3. 3</w:t>
      </w:r>
      <w:r>
        <w:fldChar w:fldCharType="end"/>
      </w:r>
      <w:r>
        <w:rPr>
          <w:rFonts w:hint="eastAsia"/>
        </w:rPr>
        <w:t>的规定。</w:t>
      </w:r>
      <w:bookmarkEnd w:id="497"/>
    </w:p>
    <w:p>
      <w:pPr>
        <w:tabs>
          <w:tab w:val="left" w:pos="840"/>
        </w:tabs>
        <w:snapToGrid w:val="0"/>
        <w:spacing w:line="360" w:lineRule="auto"/>
        <w:ind w:firstLine="480" w:firstLineChars="200"/>
      </w:pPr>
      <w:r>
        <w:rPr>
          <w:rFonts w:hint="eastAsia"/>
        </w:rPr>
        <w:t>检查数量：在同一检验批内，对梁和柱，应抽查构件数量的10%，且不少于</w:t>
      </w:r>
    </w:p>
    <w:p>
      <w:r>
        <w:rPr>
          <w:rFonts w:hint="eastAsia"/>
        </w:rPr>
        <w:t>3件；对墙和板，应按有代表性的自然间抽查10%，且不少于3间。</w:t>
      </w:r>
    </w:p>
    <w:p>
      <w:pPr>
        <w:ind w:firstLine="496"/>
        <w:jc w:val="center"/>
        <w:rPr>
          <w:rFonts w:eastAsia="黑体"/>
          <w:sz w:val="21"/>
          <w:szCs w:val="21"/>
        </w:rPr>
      </w:pPr>
      <w:r>
        <w:rPr>
          <w:rFonts w:hint="eastAsia" w:eastAsia="黑体"/>
          <w:sz w:val="21"/>
          <w:szCs w:val="21"/>
        </w:rPr>
        <w:t>表</w:t>
      </w:r>
      <w:r>
        <w:rPr>
          <w:rFonts w:eastAsia="黑体"/>
          <w:sz w:val="21"/>
          <w:szCs w:val="21"/>
        </w:rPr>
        <w:fldChar w:fldCharType="begin"/>
      </w:r>
      <w:r>
        <w:rPr>
          <w:rFonts w:eastAsia="黑体"/>
          <w:sz w:val="21"/>
          <w:szCs w:val="21"/>
        </w:rPr>
        <w:instrText xml:space="preserve"> </w:instrText>
      </w:r>
      <w:r>
        <w:rPr>
          <w:rFonts w:hint="eastAsia" w:eastAsia="黑体"/>
          <w:sz w:val="21"/>
          <w:szCs w:val="21"/>
        </w:rPr>
        <w:instrText xml:space="preserve">REF _Ref198108940 \r \h</w:instrText>
      </w:r>
      <w:r>
        <w:rPr>
          <w:rFonts w:eastAsia="黑体"/>
          <w:sz w:val="21"/>
          <w:szCs w:val="21"/>
        </w:rPr>
        <w:instrText xml:space="preserve"> </w:instrText>
      </w:r>
      <w:r>
        <w:rPr>
          <w:rFonts w:eastAsia="黑体"/>
          <w:sz w:val="21"/>
          <w:szCs w:val="21"/>
        </w:rPr>
        <w:fldChar w:fldCharType="separate"/>
      </w:r>
      <w:r>
        <w:rPr>
          <w:rFonts w:eastAsia="黑体"/>
          <w:sz w:val="21"/>
          <w:szCs w:val="21"/>
        </w:rPr>
        <w:t>8. 3. 3</w:t>
      </w:r>
      <w:r>
        <w:rPr>
          <w:rFonts w:eastAsia="黑体"/>
          <w:sz w:val="21"/>
          <w:szCs w:val="21"/>
        </w:rPr>
        <w:fldChar w:fldCharType="end"/>
      </w:r>
      <w:r>
        <w:rPr>
          <w:rFonts w:hint="eastAsia" w:eastAsia="黑体"/>
          <w:sz w:val="21"/>
          <w:szCs w:val="21"/>
        </w:rPr>
        <w:t xml:space="preserve"> 模板安装的允许偏差及检验方法</w:t>
      </w:r>
    </w:p>
    <w:tbl>
      <w:tblPr>
        <w:tblStyle w:val="8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985"/>
        <w:gridCol w:w="2126"/>
        <w:gridCol w:w="23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3" w:type="dxa"/>
            <w:gridSpan w:val="2"/>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项目</w:t>
            </w:r>
          </w:p>
        </w:tc>
        <w:tc>
          <w:tcPr>
            <w:tcW w:w="2126"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允许偏差（mm）</w:t>
            </w:r>
          </w:p>
        </w:tc>
        <w:tc>
          <w:tcPr>
            <w:tcW w:w="2337"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3" w:type="dxa"/>
            <w:gridSpan w:val="2"/>
            <w:vAlign w:val="center"/>
          </w:tcPr>
          <w:p>
            <w:pPr>
              <w:pStyle w:val="65"/>
              <w:rPr>
                <w:rFonts w:hint="eastAsia" w:ascii="MS Sans Serif" w:hAnsi="MS Sans Serif"/>
              </w:rPr>
            </w:pPr>
            <w:r>
              <w:rPr>
                <w:rFonts w:hint="eastAsia" w:ascii="MS Sans Serif" w:hAnsi="MS Sans Serif"/>
              </w:rPr>
              <w:t>轴线位置</w:t>
            </w:r>
          </w:p>
        </w:tc>
        <w:tc>
          <w:tcPr>
            <w:tcW w:w="2126" w:type="dxa"/>
            <w:vAlign w:val="center"/>
          </w:tcPr>
          <w:p>
            <w:pPr>
              <w:pStyle w:val="65"/>
              <w:rPr>
                <w:rFonts w:hint="eastAsia" w:ascii="MS Sans Serif" w:hAnsi="MS Sans Serif"/>
              </w:rPr>
            </w:pPr>
            <w:r>
              <w:rPr>
                <w:rFonts w:hint="eastAsia" w:ascii="MS Sans Serif" w:hAnsi="MS Sans Serif"/>
              </w:rPr>
              <w:t>5</w:t>
            </w:r>
          </w:p>
        </w:tc>
        <w:tc>
          <w:tcPr>
            <w:tcW w:w="2337" w:type="dxa"/>
            <w:vAlign w:val="center"/>
          </w:tcPr>
          <w:p>
            <w:pPr>
              <w:pStyle w:val="65"/>
              <w:rPr>
                <w:rFonts w:hint="eastAsia" w:ascii="MS Sans Serif" w:hAnsi="MS Sans Serif"/>
              </w:rPr>
            </w:pPr>
            <w:r>
              <w:rPr>
                <w:rFonts w:hint="eastAsia" w:ascii="MS Sans Serif" w:hAnsi="MS Sans Serif"/>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3" w:type="dxa"/>
            <w:gridSpan w:val="2"/>
            <w:vAlign w:val="center"/>
          </w:tcPr>
          <w:p>
            <w:pPr>
              <w:pStyle w:val="65"/>
              <w:rPr>
                <w:rFonts w:hint="eastAsia" w:ascii="MS Sans Serif" w:hAnsi="MS Sans Serif"/>
              </w:rPr>
            </w:pPr>
            <w:r>
              <w:rPr>
                <w:rFonts w:hint="eastAsia" w:ascii="MS Sans Serif" w:hAnsi="MS Sans Serif"/>
              </w:rPr>
              <w:t>底模上表面标高</w:t>
            </w:r>
          </w:p>
        </w:tc>
        <w:tc>
          <w:tcPr>
            <w:tcW w:w="2126" w:type="dxa"/>
            <w:vAlign w:val="center"/>
          </w:tcPr>
          <w:p>
            <w:pPr>
              <w:pStyle w:val="65"/>
              <w:rPr>
                <w:rFonts w:hint="eastAsia" w:ascii="MS Sans Serif" w:hAnsi="MS Sans Serif"/>
              </w:rPr>
            </w:pPr>
            <w:r>
              <w:rPr>
                <w:rFonts w:hint="eastAsia" w:ascii="MS Sans Serif" w:hAnsi="MS Sans Serif"/>
              </w:rPr>
              <w:t>±5</w:t>
            </w:r>
          </w:p>
        </w:tc>
        <w:tc>
          <w:tcPr>
            <w:tcW w:w="2337" w:type="dxa"/>
            <w:vAlign w:val="center"/>
          </w:tcPr>
          <w:p>
            <w:pPr>
              <w:pStyle w:val="65"/>
              <w:rPr>
                <w:rFonts w:hint="eastAsia" w:ascii="MS Sans Serif" w:hAnsi="MS Sans Serif"/>
              </w:rPr>
            </w:pPr>
            <w:r>
              <w:rPr>
                <w:rFonts w:hint="eastAsia" w:ascii="MS Sans Serif" w:hAnsi="MS Sans Serif"/>
              </w:rPr>
              <w:t>水准仪或拉线、尺量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1828" w:type="dxa"/>
            <w:vMerge w:val="restart"/>
            <w:vAlign w:val="center"/>
          </w:tcPr>
          <w:p>
            <w:pPr>
              <w:pStyle w:val="65"/>
              <w:rPr>
                <w:rFonts w:hint="eastAsia" w:ascii="MS Sans Serif" w:hAnsi="MS Sans Serif"/>
              </w:rPr>
            </w:pPr>
            <w:r>
              <w:rPr>
                <w:rFonts w:hint="eastAsia" w:ascii="MS Sans Serif" w:hAnsi="MS Sans Serif"/>
              </w:rPr>
              <w:t>截面内部尺寸</w:t>
            </w:r>
          </w:p>
        </w:tc>
        <w:tc>
          <w:tcPr>
            <w:tcW w:w="1985" w:type="dxa"/>
            <w:vAlign w:val="center"/>
          </w:tcPr>
          <w:p>
            <w:pPr>
              <w:pStyle w:val="65"/>
              <w:rPr>
                <w:rFonts w:hint="eastAsia" w:ascii="MS Sans Serif" w:hAnsi="MS Sans Serif"/>
              </w:rPr>
            </w:pPr>
            <w:r>
              <w:rPr>
                <w:rFonts w:hint="eastAsia" w:ascii="MS Sans Serif" w:hAnsi="MS Sans Serif"/>
              </w:rPr>
              <w:t>柱、梁</w:t>
            </w:r>
          </w:p>
        </w:tc>
        <w:tc>
          <w:tcPr>
            <w:tcW w:w="2126" w:type="dxa"/>
            <w:vAlign w:val="center"/>
          </w:tcPr>
          <w:p>
            <w:pPr>
              <w:pStyle w:val="65"/>
              <w:rPr>
                <w:rFonts w:hint="eastAsia" w:ascii="MS Sans Serif" w:hAnsi="MS Sans Serif"/>
              </w:rPr>
            </w:pPr>
            <w:r>
              <w:rPr>
                <w:rFonts w:ascii="MS Sans Serif" w:hAnsi="MS Sans Serif"/>
              </w:rPr>
              <w:t>+4</w:t>
            </w:r>
            <w:r>
              <w:rPr>
                <w:rFonts w:hint="eastAsia" w:ascii="MS Sans Serif" w:hAnsi="MS Sans Serif"/>
              </w:rPr>
              <w:t>,</w:t>
            </w:r>
            <w:r>
              <w:rPr>
                <w:rFonts w:ascii="MS Sans Serif" w:hAnsi="MS Sans Serif"/>
              </w:rPr>
              <w:t xml:space="preserve"> </w:t>
            </w:r>
            <w:r>
              <w:rPr>
                <w:rFonts w:hint="eastAsia" w:ascii="MS Sans Serif" w:hAnsi="MS Sans Serif"/>
              </w:rPr>
              <w:t>-</w:t>
            </w:r>
            <w:r>
              <w:rPr>
                <w:rFonts w:ascii="MS Sans Serif" w:hAnsi="MS Sans Serif"/>
              </w:rPr>
              <w:t>5</w:t>
            </w:r>
          </w:p>
        </w:tc>
        <w:tc>
          <w:tcPr>
            <w:tcW w:w="2337" w:type="dxa"/>
            <w:vMerge w:val="restart"/>
            <w:vAlign w:val="center"/>
          </w:tcPr>
          <w:p>
            <w:pPr>
              <w:pStyle w:val="65"/>
              <w:rPr>
                <w:rFonts w:hint="eastAsia" w:ascii="MS Sans Serif" w:hAnsi="MS Sans Serif"/>
              </w:rPr>
            </w:pPr>
            <w:r>
              <w:rPr>
                <w:rFonts w:hint="eastAsia" w:ascii="MS Sans Serif" w:hAnsi="MS Sans Serif"/>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985" w:type="dxa"/>
            <w:vAlign w:val="center"/>
          </w:tcPr>
          <w:p>
            <w:pPr>
              <w:pStyle w:val="65"/>
              <w:rPr>
                <w:rFonts w:hint="eastAsia" w:ascii="MS Sans Serif" w:hAnsi="MS Sans Serif"/>
              </w:rPr>
            </w:pPr>
            <w:r>
              <w:rPr>
                <w:rFonts w:hint="eastAsia" w:ascii="MS Sans Serif" w:hAnsi="MS Sans Serif"/>
              </w:rPr>
              <w:t>墙</w:t>
            </w:r>
          </w:p>
        </w:tc>
        <w:tc>
          <w:tcPr>
            <w:tcW w:w="2126" w:type="dxa"/>
            <w:vAlign w:val="center"/>
          </w:tcPr>
          <w:p>
            <w:pPr>
              <w:pStyle w:val="65"/>
              <w:rPr>
                <w:rFonts w:hint="eastAsia" w:ascii="MS Sans Serif" w:hAnsi="MS Sans Serif"/>
              </w:rPr>
            </w:pPr>
            <w:r>
              <w:rPr>
                <w:rFonts w:ascii="MS Sans Serif" w:hAnsi="MS Sans Serif"/>
              </w:rPr>
              <w:t>+2, -3</w:t>
            </w:r>
          </w:p>
        </w:tc>
        <w:tc>
          <w:tcPr>
            <w:tcW w:w="2337"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vAlign w:val="center"/>
          </w:tcPr>
          <w:p>
            <w:pPr>
              <w:pStyle w:val="65"/>
              <w:rPr>
                <w:rFonts w:hint="eastAsia" w:ascii="MS Sans Serif" w:hAnsi="MS Sans Serif"/>
              </w:rPr>
            </w:pPr>
            <w:r>
              <w:rPr>
                <w:rFonts w:hint="eastAsia" w:ascii="MS Sans Serif" w:hAnsi="MS Sans Serif"/>
              </w:rPr>
              <w:t>层高垂直度</w:t>
            </w:r>
          </w:p>
        </w:tc>
        <w:tc>
          <w:tcPr>
            <w:tcW w:w="1985" w:type="dxa"/>
            <w:vAlign w:val="center"/>
          </w:tcPr>
          <w:p>
            <w:pPr>
              <w:pStyle w:val="65"/>
              <w:rPr>
                <w:rFonts w:hint="eastAsia" w:ascii="MS Sans Serif" w:hAnsi="MS Sans Serif"/>
              </w:rPr>
            </w:pPr>
            <w:r>
              <w:rPr>
                <w:rFonts w:hint="eastAsia" w:ascii="MS Sans Serif" w:hAnsi="MS Sans Serif"/>
              </w:rPr>
              <w:t>不大于5m</w:t>
            </w:r>
          </w:p>
        </w:tc>
        <w:tc>
          <w:tcPr>
            <w:tcW w:w="2126" w:type="dxa"/>
            <w:vAlign w:val="center"/>
          </w:tcPr>
          <w:p>
            <w:pPr>
              <w:pStyle w:val="65"/>
              <w:rPr>
                <w:rFonts w:hint="eastAsia" w:ascii="MS Sans Serif" w:hAnsi="MS Sans Serif"/>
              </w:rPr>
            </w:pPr>
            <w:r>
              <w:rPr>
                <w:rFonts w:hint="eastAsia" w:ascii="MS Sans Serif" w:hAnsi="MS Sans Serif"/>
              </w:rPr>
              <w:t>6</w:t>
            </w:r>
          </w:p>
        </w:tc>
        <w:tc>
          <w:tcPr>
            <w:tcW w:w="2337" w:type="dxa"/>
            <w:vMerge w:val="restart"/>
            <w:vAlign w:val="center"/>
          </w:tcPr>
          <w:p>
            <w:pPr>
              <w:pStyle w:val="65"/>
              <w:rPr>
                <w:rFonts w:hint="eastAsia" w:ascii="MS Sans Serif" w:hAnsi="MS Sans Serif"/>
              </w:rPr>
            </w:pPr>
            <w:r>
              <w:rPr>
                <w:rFonts w:hint="eastAsia" w:ascii="MS Sans Serif" w:hAnsi="MS Sans Serif"/>
              </w:rPr>
              <w:t>经纬仪或吊线、尺量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985" w:type="dxa"/>
            <w:vAlign w:val="center"/>
          </w:tcPr>
          <w:p>
            <w:pPr>
              <w:pStyle w:val="65"/>
              <w:rPr>
                <w:rFonts w:hint="eastAsia" w:ascii="MS Sans Serif" w:hAnsi="MS Sans Serif"/>
              </w:rPr>
            </w:pPr>
            <w:r>
              <w:rPr>
                <w:rFonts w:hint="eastAsia" w:ascii="MS Sans Serif" w:hAnsi="MS Sans Serif"/>
              </w:rPr>
              <w:t>大于5m</w:t>
            </w:r>
          </w:p>
        </w:tc>
        <w:tc>
          <w:tcPr>
            <w:tcW w:w="2126" w:type="dxa"/>
            <w:vAlign w:val="center"/>
          </w:tcPr>
          <w:p>
            <w:pPr>
              <w:pStyle w:val="65"/>
              <w:rPr>
                <w:rFonts w:hint="eastAsia" w:ascii="MS Sans Serif" w:hAnsi="MS Sans Serif"/>
              </w:rPr>
            </w:pPr>
            <w:r>
              <w:rPr>
                <w:rFonts w:hint="eastAsia" w:ascii="MS Sans Serif" w:hAnsi="MS Sans Serif"/>
              </w:rPr>
              <w:t>8</w:t>
            </w:r>
          </w:p>
        </w:tc>
        <w:tc>
          <w:tcPr>
            <w:tcW w:w="2337"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3813" w:type="dxa"/>
            <w:gridSpan w:val="2"/>
            <w:vAlign w:val="center"/>
          </w:tcPr>
          <w:p>
            <w:pPr>
              <w:pStyle w:val="65"/>
              <w:rPr>
                <w:rFonts w:hint="eastAsia" w:ascii="MS Sans Serif" w:hAnsi="MS Sans Serif"/>
              </w:rPr>
            </w:pPr>
            <w:r>
              <w:rPr>
                <w:rFonts w:hint="eastAsia" w:ascii="MS Sans Serif" w:hAnsi="MS Sans Serif"/>
              </w:rPr>
              <w:t>相邻两板表面高低差</w:t>
            </w:r>
          </w:p>
        </w:tc>
        <w:tc>
          <w:tcPr>
            <w:tcW w:w="2126" w:type="dxa"/>
            <w:vAlign w:val="center"/>
          </w:tcPr>
          <w:p>
            <w:pPr>
              <w:pStyle w:val="65"/>
              <w:rPr>
                <w:rFonts w:hint="eastAsia" w:ascii="MS Sans Serif" w:hAnsi="MS Sans Serif"/>
              </w:rPr>
            </w:pPr>
            <w:r>
              <w:rPr>
                <w:rFonts w:hint="eastAsia" w:ascii="MS Sans Serif" w:hAnsi="MS Sans Serif"/>
              </w:rPr>
              <w:t>2</w:t>
            </w:r>
          </w:p>
        </w:tc>
        <w:tc>
          <w:tcPr>
            <w:tcW w:w="2337" w:type="dxa"/>
            <w:vAlign w:val="center"/>
          </w:tcPr>
          <w:p>
            <w:pPr>
              <w:pStyle w:val="65"/>
              <w:rPr>
                <w:rFonts w:hint="eastAsia" w:ascii="MS Sans Serif" w:hAnsi="MS Sans Serif"/>
              </w:rPr>
            </w:pPr>
            <w:r>
              <w:rPr>
                <w:rFonts w:hint="eastAsia" w:ascii="MS Sans Serif" w:hAnsi="MS Sans Serif"/>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13" w:type="dxa"/>
            <w:gridSpan w:val="2"/>
            <w:vAlign w:val="center"/>
          </w:tcPr>
          <w:p>
            <w:pPr>
              <w:pStyle w:val="65"/>
              <w:rPr>
                <w:rFonts w:hint="eastAsia" w:ascii="MS Sans Serif" w:hAnsi="MS Sans Serif"/>
              </w:rPr>
            </w:pPr>
            <w:r>
              <w:rPr>
                <w:rFonts w:hint="eastAsia" w:ascii="MS Sans Serif" w:hAnsi="MS Sans Serif"/>
              </w:rPr>
              <w:t>表面平整度</w:t>
            </w:r>
          </w:p>
        </w:tc>
        <w:tc>
          <w:tcPr>
            <w:tcW w:w="2126" w:type="dxa"/>
            <w:vAlign w:val="center"/>
          </w:tcPr>
          <w:p>
            <w:pPr>
              <w:pStyle w:val="65"/>
              <w:rPr>
                <w:rFonts w:hint="eastAsia" w:ascii="MS Sans Serif" w:hAnsi="MS Sans Serif"/>
              </w:rPr>
            </w:pPr>
            <w:r>
              <w:rPr>
                <w:rFonts w:hint="eastAsia" w:ascii="MS Sans Serif" w:hAnsi="MS Sans Serif"/>
              </w:rPr>
              <w:t>5</w:t>
            </w:r>
          </w:p>
        </w:tc>
        <w:tc>
          <w:tcPr>
            <w:tcW w:w="2337" w:type="dxa"/>
            <w:vAlign w:val="center"/>
          </w:tcPr>
          <w:p>
            <w:pPr>
              <w:pStyle w:val="65"/>
              <w:rPr>
                <w:rFonts w:hint="eastAsia" w:ascii="MS Sans Serif" w:hAnsi="MS Sans Serif"/>
              </w:rPr>
            </w:pPr>
            <w:r>
              <w:rPr>
                <w:rFonts w:hint="eastAsia" w:ascii="MS Sans Serif" w:hAnsi="MS Sans Serif"/>
              </w:rPr>
              <w:t>2m 靠尺和塞尺检查</w:t>
            </w:r>
          </w:p>
        </w:tc>
      </w:tr>
    </w:tbl>
    <w:p>
      <w:pPr>
        <w:pStyle w:val="101"/>
        <w:ind w:left="840" w:hanging="840"/>
      </w:pPr>
      <w:r>
        <w:rPr>
          <w:rFonts w:hint="eastAsia"/>
        </w:rPr>
        <w:t>注：检查轴线位置时，应沿纵、横两个方向量测，并取其中的较大值。</w:t>
      </w:r>
    </w:p>
    <w:p/>
    <w:p>
      <w:pPr>
        <w:pStyle w:val="3"/>
      </w:pPr>
      <w:bookmarkStart w:id="498" w:name="_Toc173143042"/>
      <w:bookmarkStart w:id="499" w:name="_Toc172211471"/>
      <w:bookmarkStart w:id="500" w:name="_Toc202345837"/>
      <w:r>
        <w:rPr>
          <w:rFonts w:hint="eastAsia"/>
        </w:rPr>
        <w:t>结构装配施工</w:t>
      </w:r>
      <w:bookmarkEnd w:id="498"/>
      <w:bookmarkEnd w:id="499"/>
      <w:bookmarkEnd w:id="500"/>
      <w:bookmarkStart w:id="501" w:name="_Toc197444899"/>
      <w:bookmarkEnd w:id="501"/>
    </w:p>
    <w:p>
      <w:pPr>
        <w:snapToGrid w:val="0"/>
        <w:spacing w:line="360" w:lineRule="auto"/>
        <w:jc w:val="center"/>
        <w:rPr>
          <w:rFonts w:ascii="黑体" w:hAnsi="黑体" w:eastAsia="黑体"/>
        </w:rPr>
      </w:pPr>
      <w:r>
        <w:rPr>
          <w:rFonts w:hint="eastAsia" w:ascii="黑体" w:hAnsi="黑体" w:eastAsia="黑体"/>
        </w:rPr>
        <w:t>主控项目</w:t>
      </w:r>
    </w:p>
    <w:p>
      <w:pPr>
        <w:pStyle w:val="4"/>
      </w:pPr>
      <w:r>
        <w:rPr>
          <w:rFonts w:hint="eastAsia"/>
        </w:rPr>
        <w:t>预制柱钢筋采用套筒灌浆连接时，灌浆料强度应满足国家现行有关标准的规定和设计要求。</w:t>
      </w:r>
    </w:p>
    <w:p>
      <w:pPr>
        <w:tabs>
          <w:tab w:val="left" w:pos="840"/>
        </w:tabs>
        <w:snapToGrid w:val="0"/>
        <w:spacing w:line="360" w:lineRule="auto"/>
        <w:ind w:firstLine="566" w:firstLineChars="236"/>
      </w:pPr>
      <w:r>
        <w:rPr>
          <w:rFonts w:hint="eastAsia"/>
        </w:rPr>
        <w:t>检查数量：按批检验，以每层为一个检验批；每工作班应制作1组且每层不少于3组40mm×40mm×160mm的长方体试件，标准养护28d后进行抗压强度试验。</w:t>
      </w:r>
    </w:p>
    <w:p>
      <w:pPr>
        <w:tabs>
          <w:tab w:val="left" w:pos="840"/>
        </w:tabs>
        <w:snapToGrid w:val="0"/>
        <w:spacing w:line="360" w:lineRule="auto"/>
        <w:ind w:firstLine="566" w:firstLineChars="236"/>
      </w:pPr>
      <w:r>
        <w:rPr>
          <w:rFonts w:hint="eastAsia"/>
        </w:rPr>
        <w:t>检验方法：检查灌浆料强度试验报告及评定记录。</w:t>
      </w:r>
    </w:p>
    <w:p>
      <w:pPr>
        <w:pStyle w:val="4"/>
      </w:pPr>
      <w:bookmarkStart w:id="502" w:name="_Ref88041492"/>
      <w:r>
        <w:rPr>
          <w:rFonts w:hint="eastAsia"/>
          <w:color w:val="000000"/>
        </w:rPr>
        <w:t>压接装配框架</w:t>
      </w:r>
      <w:r>
        <w:t>预制</w:t>
      </w:r>
      <w:r>
        <w:rPr>
          <w:rFonts w:hint="eastAsia"/>
        </w:rPr>
        <w:t>梁柱节点</w:t>
      </w:r>
      <w:r>
        <w:t>封仓灌浆</w:t>
      </w:r>
      <w:r>
        <w:rPr>
          <w:rFonts w:hint="eastAsia"/>
        </w:rPr>
        <w:t>检查</w:t>
      </w:r>
      <w:r>
        <w:t>主控项目应符合下列规定：</w:t>
      </w:r>
      <w:bookmarkEnd w:id="502"/>
    </w:p>
    <w:p>
      <w:pPr>
        <w:tabs>
          <w:tab w:val="left" w:pos="840"/>
        </w:tabs>
        <w:snapToGrid w:val="0"/>
        <w:spacing w:line="360" w:lineRule="auto"/>
        <w:ind w:firstLine="481" w:firstLineChars="200"/>
      </w:pPr>
      <w:r>
        <w:rPr>
          <w:rFonts w:hint="eastAsia"/>
          <w:b/>
          <w:bCs/>
        </w:rPr>
        <w:t>1</w:t>
      </w:r>
      <w:r>
        <w:tab/>
      </w:r>
      <w:r>
        <w:rPr>
          <w:rFonts w:hint="eastAsia"/>
        </w:rPr>
        <w:t>预制梁安装定位后，预制梁柱接缝宽度检查。</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检验方法：尺量，接缝宽度应在</w:t>
      </w:r>
      <w:r>
        <w:rPr>
          <w:rFonts w:hint="eastAsia"/>
          <w:lang w:eastAsia="zh"/>
        </w:rPr>
        <w:t>2</w:t>
      </w:r>
      <w:r>
        <w:rPr>
          <w:rFonts w:hint="eastAsia"/>
        </w:rPr>
        <w:t>0mm~30mm之间。</w:t>
      </w:r>
    </w:p>
    <w:p>
      <w:pPr>
        <w:tabs>
          <w:tab w:val="left" w:pos="840"/>
        </w:tabs>
        <w:snapToGrid w:val="0"/>
        <w:spacing w:line="360" w:lineRule="auto"/>
        <w:ind w:firstLine="481" w:firstLineChars="200"/>
      </w:pPr>
      <w:r>
        <w:rPr>
          <w:rFonts w:hint="eastAsia"/>
          <w:b/>
        </w:rPr>
        <w:t>2</w:t>
      </w:r>
      <w:r>
        <w:rPr>
          <w:rFonts w:hint="eastAsia"/>
        </w:rPr>
        <w:tab/>
      </w:r>
      <w:r>
        <w:rPr>
          <w:rFonts w:hint="eastAsia"/>
        </w:rPr>
        <w:t>预制梁柱接缝三面封仓前，接缝处金属波纹管接头密封检查。</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 xml:space="preserve">检验方法：观察，密封胶带或卡环压紧接口。  </w:t>
      </w:r>
      <w:r>
        <w:rPr>
          <w:rFonts w:hint="eastAsia"/>
        </w:rPr>
        <w:tab/>
      </w:r>
    </w:p>
    <w:p>
      <w:pPr>
        <w:tabs>
          <w:tab w:val="left" w:pos="840"/>
        </w:tabs>
        <w:snapToGrid w:val="0"/>
        <w:spacing w:line="360" w:lineRule="auto"/>
        <w:ind w:firstLine="481" w:firstLineChars="200"/>
      </w:pPr>
      <w:r>
        <w:rPr>
          <w:rFonts w:hint="eastAsia"/>
          <w:b/>
        </w:rPr>
        <w:t>3</w:t>
      </w:r>
      <w:r>
        <w:rPr>
          <w:rFonts w:hint="eastAsia"/>
        </w:rPr>
        <w:tab/>
      </w:r>
      <w:r>
        <w:rPr>
          <w:rFonts w:hint="eastAsia"/>
        </w:rPr>
        <w:t>灌浆完毕后10min~15min时检查灌浆顶面标高。</w:t>
      </w:r>
    </w:p>
    <w:p>
      <w:pPr>
        <w:tabs>
          <w:tab w:val="left" w:pos="840"/>
        </w:tabs>
        <w:snapToGrid w:val="0"/>
        <w:spacing w:line="360" w:lineRule="auto"/>
        <w:ind w:firstLine="480" w:firstLineChars="200"/>
      </w:pPr>
      <w:r>
        <w:tab/>
      </w:r>
      <w:r>
        <w:rPr>
          <w:rFonts w:hint="eastAsia"/>
        </w:rPr>
        <w:t>检查数量：全数检查。</w:t>
      </w:r>
    </w:p>
    <w:p>
      <w:pPr>
        <w:tabs>
          <w:tab w:val="left" w:pos="840"/>
        </w:tabs>
        <w:snapToGrid w:val="0"/>
        <w:spacing w:line="360" w:lineRule="auto"/>
        <w:ind w:firstLine="480" w:firstLineChars="200"/>
      </w:pPr>
      <w:r>
        <w:tab/>
      </w:r>
      <w:r>
        <w:rPr>
          <w:rFonts w:hint="eastAsia"/>
        </w:rPr>
        <w:t>检验方法：观察，灌浆面下降不大于3mm</w:t>
      </w:r>
      <w:r>
        <w:t>。</w:t>
      </w:r>
    </w:p>
    <w:p>
      <w:pPr>
        <w:pStyle w:val="4"/>
      </w:pPr>
      <w:r>
        <w:rPr>
          <w:rFonts w:hint="eastAsia"/>
        </w:rPr>
        <w:t>钢筋采用套筒灌浆连接时，套筒灌浆连接接头检验应符合现行行业标准《钢筋套筒灌浆连接应用技术规程》JGJ 355及现行北京市地方标准《钢筋套筒灌浆连接技术规程》DB11/T 1470的规定。</w:t>
      </w:r>
    </w:p>
    <w:p>
      <w:pPr>
        <w:pStyle w:val="5"/>
      </w:pPr>
      <w:r>
        <w:rPr>
          <w:rFonts w:hint="eastAsia"/>
        </w:rPr>
        <w:t>检查数量：按照同一工程、同一牌号和同一规格钢筋，施工过程中应按批次制作3个平行拉拔试件。</w:t>
      </w:r>
    </w:p>
    <w:p>
      <w:pPr>
        <w:pStyle w:val="5"/>
      </w:pPr>
      <w:r>
        <w:rPr>
          <w:rFonts w:hint="eastAsia"/>
        </w:rPr>
        <w:t>检验方法：检查钢筋接头力学性能试验报告。</w:t>
      </w:r>
    </w:p>
    <w:p>
      <w:pPr>
        <w:pStyle w:val="4"/>
      </w:pPr>
      <w:r>
        <w:rPr>
          <w:rFonts w:hint="eastAsia"/>
        </w:rPr>
        <w:t>钢筋采用机械连接时，其接头质量应符合现行行业标准《钢筋机械连接技术规程》JGJ 107的有关规定。</w:t>
      </w:r>
    </w:p>
    <w:p>
      <w:pPr>
        <w:pStyle w:val="5"/>
      </w:pPr>
      <w:r>
        <w:rPr>
          <w:rFonts w:hint="eastAsia"/>
        </w:rPr>
        <w:t xml:space="preserve">检查数量：按现行行业标准《钢筋机械连接技术规程》JGJ 107的规定确定。 </w:t>
      </w:r>
    </w:p>
    <w:p>
      <w:pPr>
        <w:pStyle w:val="5"/>
      </w:pPr>
      <w:r>
        <w:rPr>
          <w:rFonts w:hint="eastAsia"/>
        </w:rPr>
        <w:t>检验方法：检查钢筋机械连接施工记录及平行加工试件的强度试验报告。</w:t>
      </w:r>
    </w:p>
    <w:p>
      <w:pPr>
        <w:pStyle w:val="4"/>
      </w:pPr>
      <w:r>
        <w:rPr>
          <w:rFonts w:hint="eastAsia"/>
        </w:rPr>
        <w:t>压接装配框架结构采用后张预应力混凝土叠合梁时，应符合国家现行标准《混凝土结构工程施工质量验收规范》GB 50204、《预应力混凝土结构设计规范》JGJ 369、《预应力混凝土结构抗震设计规程》JGJ 140的有关规定。</w:t>
      </w:r>
    </w:p>
    <w:p>
      <w:pPr>
        <w:tabs>
          <w:tab w:val="left" w:pos="840"/>
        </w:tabs>
        <w:snapToGrid w:val="0"/>
        <w:spacing w:line="360" w:lineRule="auto"/>
        <w:ind w:firstLine="480" w:firstLineChars="200"/>
      </w:pPr>
      <w:r>
        <w:rPr>
          <w:rFonts w:hint="eastAsia"/>
        </w:rPr>
        <w:t xml:space="preserve">检查数量：全数检查。 </w:t>
      </w:r>
    </w:p>
    <w:p>
      <w:pPr>
        <w:tabs>
          <w:tab w:val="left" w:pos="840"/>
        </w:tabs>
        <w:snapToGrid w:val="0"/>
        <w:spacing w:line="360" w:lineRule="auto"/>
        <w:ind w:firstLine="480" w:firstLineChars="200"/>
      </w:pPr>
      <w:r>
        <w:rPr>
          <w:rFonts w:hint="eastAsia"/>
        </w:rPr>
        <w:t>检验方法：应符合现行国家标准《混凝土结构工程施工质量验收规范》GB 50204的规定。</w:t>
      </w:r>
    </w:p>
    <w:p>
      <w:pPr>
        <w:pStyle w:val="4"/>
      </w:pPr>
      <w:r>
        <w:rPr>
          <w:rFonts w:hint="eastAsia"/>
        </w:rPr>
        <w:t>装配式混凝土结构分项工程的外观质量不应有严重缺陷，且不得有影响结构性能和使用功能的尺寸偏差。</w:t>
      </w:r>
    </w:p>
    <w:p>
      <w:pPr>
        <w:tabs>
          <w:tab w:val="left" w:pos="840"/>
        </w:tabs>
        <w:snapToGrid w:val="0"/>
        <w:spacing w:line="360" w:lineRule="auto"/>
        <w:ind w:firstLine="480" w:firstLineChars="200"/>
      </w:pPr>
      <w:r>
        <w:rPr>
          <w:rFonts w:hint="eastAsia"/>
        </w:rPr>
        <w:t>检查数量：全数检查。</w:t>
      </w:r>
    </w:p>
    <w:p>
      <w:pPr>
        <w:tabs>
          <w:tab w:val="left" w:pos="840"/>
        </w:tabs>
        <w:snapToGrid w:val="0"/>
        <w:spacing w:line="360" w:lineRule="auto"/>
        <w:ind w:firstLine="480" w:firstLineChars="200"/>
      </w:pPr>
      <w:r>
        <w:rPr>
          <w:rFonts w:hint="eastAsia"/>
        </w:rPr>
        <w:t>检验方法：观察、量测；检查质量验收记录。</w:t>
      </w:r>
    </w:p>
    <w:p>
      <w:pPr>
        <w:tabs>
          <w:tab w:val="left" w:pos="840"/>
        </w:tabs>
        <w:snapToGrid w:val="0"/>
        <w:spacing w:line="360" w:lineRule="auto"/>
        <w:ind w:firstLine="480" w:firstLineChars="200"/>
      </w:pPr>
    </w:p>
    <w:bookmarkEnd w:id="492"/>
    <w:p>
      <w:pPr>
        <w:snapToGrid w:val="0"/>
        <w:spacing w:line="360" w:lineRule="auto"/>
        <w:jc w:val="center"/>
        <w:rPr>
          <w:rFonts w:ascii="黑体" w:hAnsi="黑体" w:eastAsia="黑体"/>
        </w:rPr>
      </w:pPr>
      <w:r>
        <w:rPr>
          <w:rFonts w:hint="eastAsia" w:ascii="黑体" w:hAnsi="黑体" w:eastAsia="黑体"/>
        </w:rPr>
        <w:t>一般项目</w:t>
      </w:r>
    </w:p>
    <w:p>
      <w:pPr>
        <w:pStyle w:val="4"/>
        <w:rPr>
          <w:color w:val="000000"/>
        </w:rPr>
      </w:pPr>
      <w:bookmarkStart w:id="503" w:name="_Ref198109005"/>
      <w:r>
        <w:rPr>
          <w:rFonts w:hint="eastAsia"/>
          <w:color w:val="000000"/>
        </w:rPr>
        <w:t>压接</w:t>
      </w:r>
      <w:r>
        <w:rPr>
          <w:rFonts w:hint="eastAsia"/>
        </w:rPr>
        <w:t>装配</w:t>
      </w:r>
      <w:r>
        <w:rPr>
          <w:rFonts w:hint="eastAsia"/>
          <w:color w:val="000000"/>
        </w:rPr>
        <w:t>结构安装施工完毕后，预制构件安装尺寸允许偏差应符合</w:t>
      </w:r>
      <w:r>
        <w:t>表</w:t>
      </w:r>
      <w:r>
        <w:fldChar w:fldCharType="begin"/>
      </w:r>
      <w:r>
        <w:instrText xml:space="preserve"> STYLEREF 3 \s </w:instrText>
      </w:r>
      <w:r>
        <w:fldChar w:fldCharType="separate"/>
      </w:r>
      <w:r>
        <w:t>8. 4. 7</w:t>
      </w:r>
      <w:r>
        <w:fldChar w:fldCharType="end"/>
      </w:r>
      <w:r>
        <w:t>的规定</w:t>
      </w:r>
      <w:r>
        <w:rPr>
          <w:rFonts w:hint="eastAsia"/>
        </w:rPr>
        <w:t>。</w:t>
      </w:r>
      <w:bookmarkEnd w:id="503"/>
    </w:p>
    <w:p>
      <w:pPr>
        <w:tabs>
          <w:tab w:val="left" w:pos="840"/>
        </w:tabs>
        <w:snapToGrid w:val="0"/>
        <w:spacing w:line="360" w:lineRule="auto"/>
        <w:ind w:firstLine="960" w:firstLineChars="400"/>
      </w:pPr>
      <w:r>
        <w:rPr>
          <w:rFonts w:hint="eastAsia"/>
        </w:rPr>
        <w:t>检查数量：按楼层、结构缝或施工段划分检验批。在同一检验批内，对梁、柱构件应抽查构件数量的10%，且不少于3件；对墙、板构件应按有代表性的自然间抽查10%，且不少于3间。</w:t>
      </w:r>
    </w:p>
    <w:p>
      <w:pPr>
        <w:ind w:firstLine="496"/>
        <w:jc w:val="center"/>
        <w:rPr>
          <w:rFonts w:eastAsia="黑体"/>
          <w:sz w:val="21"/>
          <w:szCs w:val="21"/>
        </w:rPr>
      </w:pPr>
      <w:r>
        <w:rPr>
          <w:rFonts w:eastAsia="黑体"/>
          <w:sz w:val="21"/>
          <w:szCs w:val="21"/>
        </w:rPr>
        <w:t>表</w:t>
      </w:r>
      <w:r>
        <w:rPr>
          <w:rFonts w:eastAsia="黑体"/>
          <w:sz w:val="21"/>
          <w:szCs w:val="21"/>
        </w:rPr>
        <w:fldChar w:fldCharType="begin"/>
      </w:r>
      <w:r>
        <w:rPr>
          <w:rFonts w:eastAsia="黑体"/>
          <w:sz w:val="21"/>
          <w:szCs w:val="21"/>
        </w:rPr>
        <w:instrText xml:space="preserve"> </w:instrText>
      </w:r>
      <w:r>
        <w:rPr>
          <w:rFonts w:hint="eastAsia" w:eastAsia="黑体"/>
          <w:sz w:val="21"/>
          <w:szCs w:val="21"/>
        </w:rPr>
        <w:instrText xml:space="preserve">REF _Ref198109005 \r \h</w:instrText>
      </w:r>
      <w:r>
        <w:rPr>
          <w:rFonts w:eastAsia="黑体"/>
          <w:sz w:val="21"/>
          <w:szCs w:val="21"/>
        </w:rPr>
        <w:instrText xml:space="preserve"> </w:instrText>
      </w:r>
      <w:r>
        <w:rPr>
          <w:rFonts w:eastAsia="黑体"/>
          <w:sz w:val="21"/>
          <w:szCs w:val="21"/>
        </w:rPr>
        <w:fldChar w:fldCharType="separate"/>
      </w:r>
      <w:r>
        <w:rPr>
          <w:rFonts w:eastAsia="黑体"/>
          <w:sz w:val="21"/>
          <w:szCs w:val="21"/>
        </w:rPr>
        <w:t>8. 4. 7</w:t>
      </w:r>
      <w:r>
        <w:rPr>
          <w:rFonts w:eastAsia="黑体"/>
          <w:sz w:val="21"/>
          <w:szCs w:val="21"/>
        </w:rPr>
        <w:fldChar w:fldCharType="end"/>
      </w:r>
      <w:r>
        <w:rPr>
          <w:rFonts w:eastAsia="黑体"/>
          <w:sz w:val="21"/>
          <w:szCs w:val="21"/>
        </w:rPr>
        <w:t xml:space="preserve">  </w:t>
      </w:r>
      <w:r>
        <w:rPr>
          <w:rFonts w:hint="eastAsia" w:eastAsia="黑体"/>
          <w:sz w:val="21"/>
          <w:szCs w:val="21"/>
        </w:rPr>
        <w:t>压接装配结构安装尺寸的允许偏差及检验方法</w:t>
      </w:r>
    </w:p>
    <w:tbl>
      <w:tblPr>
        <w:tblStyle w:val="8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276"/>
        <w:gridCol w:w="1417"/>
        <w:gridCol w:w="1701"/>
        <w:gridCol w:w="2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1" w:type="dxa"/>
            <w:gridSpan w:val="3"/>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项目</w:t>
            </w:r>
          </w:p>
        </w:tc>
        <w:tc>
          <w:tcPr>
            <w:tcW w:w="1701"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允许偏差（mm）</w:t>
            </w:r>
          </w:p>
        </w:tc>
        <w:tc>
          <w:tcPr>
            <w:tcW w:w="2054"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检验方法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vAlign w:val="center"/>
          </w:tcPr>
          <w:p>
            <w:pPr>
              <w:pStyle w:val="65"/>
              <w:rPr>
                <w:rFonts w:hint="eastAsia" w:ascii="MS Sans Serif" w:hAnsi="MS Sans Serif"/>
              </w:rPr>
            </w:pPr>
            <w:r>
              <w:rPr>
                <w:rFonts w:hint="eastAsia" w:ascii="MS Sans Serif" w:hAnsi="MS Sans Serif"/>
              </w:rPr>
              <w:t>构件中心线对轴线位置</w:t>
            </w:r>
          </w:p>
        </w:tc>
        <w:tc>
          <w:tcPr>
            <w:tcW w:w="2693" w:type="dxa"/>
            <w:gridSpan w:val="2"/>
            <w:vAlign w:val="center"/>
          </w:tcPr>
          <w:p>
            <w:pPr>
              <w:pStyle w:val="65"/>
              <w:rPr>
                <w:rFonts w:hint="eastAsia" w:ascii="MS Sans Serif" w:hAnsi="MS Sans Serif"/>
              </w:rPr>
            </w:pPr>
            <w:r>
              <w:rPr>
                <w:rFonts w:hint="eastAsia" w:ascii="MS Sans Serif" w:hAnsi="MS Sans Serif"/>
              </w:rPr>
              <w:t>基础</w:t>
            </w:r>
          </w:p>
        </w:tc>
        <w:tc>
          <w:tcPr>
            <w:tcW w:w="1701" w:type="dxa"/>
            <w:vAlign w:val="center"/>
          </w:tcPr>
          <w:p>
            <w:pPr>
              <w:pStyle w:val="65"/>
              <w:rPr>
                <w:rFonts w:hint="eastAsia" w:ascii="MS Sans Serif" w:hAnsi="MS Sans Serif"/>
              </w:rPr>
            </w:pPr>
            <w:r>
              <w:rPr>
                <w:rFonts w:hint="eastAsia" w:ascii="MS Sans Serif" w:hAnsi="MS Sans Serif"/>
              </w:rPr>
              <w:t>15</w:t>
            </w:r>
          </w:p>
        </w:tc>
        <w:tc>
          <w:tcPr>
            <w:tcW w:w="2054" w:type="dxa"/>
            <w:vMerge w:val="restart"/>
            <w:vAlign w:val="center"/>
          </w:tcPr>
          <w:p>
            <w:pPr>
              <w:pStyle w:val="65"/>
              <w:rPr>
                <w:rFonts w:hint="eastAsia" w:ascii="MS Sans Serif" w:hAnsi="MS Sans Serif"/>
              </w:rPr>
            </w:pPr>
            <w:r>
              <w:rPr>
                <w:rFonts w:hint="eastAsia" w:ascii="MS Sans Serif" w:hAnsi="MS Sans Serif"/>
              </w:rPr>
              <w:t>经纬仪及尺量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2693" w:type="dxa"/>
            <w:gridSpan w:val="2"/>
            <w:vAlign w:val="center"/>
          </w:tcPr>
          <w:p>
            <w:pPr>
              <w:pStyle w:val="65"/>
              <w:rPr>
                <w:rFonts w:hint="eastAsia" w:ascii="MS Sans Serif" w:hAnsi="MS Sans Serif"/>
              </w:rPr>
            </w:pPr>
            <w:r>
              <w:rPr>
                <w:rFonts w:hint="eastAsia" w:ascii="MS Sans Serif" w:hAnsi="MS Sans Serif"/>
              </w:rPr>
              <w:t>竖向构件（柱）</w:t>
            </w:r>
          </w:p>
        </w:tc>
        <w:tc>
          <w:tcPr>
            <w:tcW w:w="1701" w:type="dxa"/>
            <w:vAlign w:val="center"/>
          </w:tcPr>
          <w:p>
            <w:pPr>
              <w:pStyle w:val="65"/>
              <w:rPr>
                <w:rFonts w:hint="eastAsia" w:ascii="MS Sans Serif" w:hAnsi="MS Sans Serif"/>
              </w:rPr>
            </w:pPr>
            <w:r>
              <w:rPr>
                <w:rFonts w:hint="eastAsia" w:ascii="MS Sans Serif" w:hAnsi="MS Sans Serif"/>
              </w:rPr>
              <w:t>8</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2693" w:type="dxa"/>
            <w:gridSpan w:val="2"/>
            <w:vAlign w:val="center"/>
          </w:tcPr>
          <w:p>
            <w:pPr>
              <w:pStyle w:val="65"/>
              <w:rPr>
                <w:rFonts w:hint="eastAsia" w:ascii="MS Sans Serif" w:hAnsi="MS Sans Serif"/>
              </w:rPr>
            </w:pPr>
            <w:r>
              <w:rPr>
                <w:rFonts w:hint="eastAsia" w:ascii="MS Sans Serif" w:hAnsi="MS Sans Serif"/>
              </w:rPr>
              <w:t>水平构件（梁、板、楼梯）</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Align w:val="center"/>
          </w:tcPr>
          <w:p>
            <w:pPr>
              <w:pStyle w:val="65"/>
              <w:rPr>
                <w:rFonts w:hint="eastAsia" w:ascii="MS Sans Serif" w:hAnsi="MS Sans Serif"/>
              </w:rPr>
            </w:pPr>
            <w:r>
              <w:rPr>
                <w:rFonts w:hint="eastAsia" w:ascii="MS Sans Serif" w:hAnsi="MS Sans Serif"/>
              </w:rPr>
              <w:t>构件标高</w:t>
            </w:r>
          </w:p>
        </w:tc>
        <w:tc>
          <w:tcPr>
            <w:tcW w:w="2693" w:type="dxa"/>
            <w:gridSpan w:val="2"/>
            <w:vAlign w:val="center"/>
          </w:tcPr>
          <w:p>
            <w:pPr>
              <w:pStyle w:val="65"/>
              <w:rPr>
                <w:rFonts w:hint="eastAsia" w:ascii="MS Sans Serif" w:hAnsi="MS Sans Serif"/>
              </w:rPr>
            </w:pPr>
            <w:r>
              <w:rPr>
                <w:rFonts w:hint="eastAsia" w:ascii="MS Sans Serif" w:hAnsi="MS Sans Serif"/>
              </w:rPr>
              <w:t>梁、柱、板底面或顶面</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Align w:val="center"/>
          </w:tcPr>
          <w:p>
            <w:pPr>
              <w:pStyle w:val="65"/>
              <w:rPr>
                <w:rFonts w:hint="eastAsia" w:ascii="MS Sans Serif" w:hAnsi="MS Sans Serif"/>
              </w:rPr>
            </w:pPr>
            <w:r>
              <w:rPr>
                <w:rFonts w:hint="eastAsia" w:ascii="MS Sans Serif" w:hAnsi="MS Sans Serif"/>
              </w:rPr>
              <w:t>水准仪或拉线、尺量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vAlign w:val="center"/>
          </w:tcPr>
          <w:p>
            <w:pPr>
              <w:pStyle w:val="65"/>
              <w:rPr>
                <w:rFonts w:hint="eastAsia" w:ascii="MS Sans Serif" w:hAnsi="MS Sans Serif"/>
              </w:rPr>
            </w:pPr>
            <w:r>
              <w:rPr>
                <w:rFonts w:hint="eastAsia" w:ascii="MS Sans Serif" w:hAnsi="MS Sans Serif"/>
              </w:rPr>
              <w:t>构件垂直度</w:t>
            </w:r>
          </w:p>
        </w:tc>
        <w:tc>
          <w:tcPr>
            <w:tcW w:w="1276" w:type="dxa"/>
            <w:vMerge w:val="restart"/>
            <w:vAlign w:val="center"/>
          </w:tcPr>
          <w:p>
            <w:pPr>
              <w:pStyle w:val="65"/>
              <w:rPr>
                <w:rFonts w:hint="eastAsia" w:ascii="MS Sans Serif" w:hAnsi="MS Sans Serif"/>
              </w:rPr>
            </w:pPr>
            <w:r>
              <w:rPr>
                <w:rFonts w:hint="eastAsia" w:ascii="MS Sans Serif" w:hAnsi="MS Sans Serif"/>
              </w:rPr>
              <w:t>柱</w:t>
            </w:r>
          </w:p>
        </w:tc>
        <w:tc>
          <w:tcPr>
            <w:tcW w:w="1417" w:type="dxa"/>
            <w:vAlign w:val="center"/>
          </w:tcPr>
          <w:p>
            <w:pPr>
              <w:pStyle w:val="65"/>
              <w:rPr>
                <w:rFonts w:hint="eastAsia" w:ascii="MS Sans Serif" w:hAnsi="MS Sans Serif"/>
              </w:rPr>
            </w:pPr>
            <w:r>
              <w:rPr>
                <w:rFonts w:hint="eastAsia" w:ascii="MS Sans Serif" w:hAnsi="MS Sans Serif"/>
              </w:rPr>
              <w:t>≤6m</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Merge w:val="restart"/>
            <w:vAlign w:val="center"/>
          </w:tcPr>
          <w:p>
            <w:pPr>
              <w:pStyle w:val="65"/>
              <w:rPr>
                <w:rFonts w:hint="eastAsia" w:ascii="MS Sans Serif" w:hAnsi="MS Sans Serif"/>
              </w:rPr>
            </w:pPr>
            <w:r>
              <w:rPr>
                <w:rFonts w:hint="eastAsia" w:ascii="MS Sans Serif" w:hAnsi="MS Sans Serif"/>
              </w:rPr>
              <w:t>经纬仪或吊线、尺量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276" w:type="dxa"/>
            <w:vMerge w:val="continue"/>
            <w:vAlign w:val="center"/>
          </w:tcPr>
          <w:p>
            <w:pPr>
              <w:pStyle w:val="65"/>
              <w:rPr>
                <w:rFonts w:hint="eastAsia" w:ascii="MS Sans Serif" w:hAnsi="MS Sans Serif"/>
              </w:rPr>
            </w:pPr>
          </w:p>
        </w:tc>
        <w:tc>
          <w:tcPr>
            <w:tcW w:w="1417" w:type="dxa"/>
            <w:vAlign w:val="center"/>
          </w:tcPr>
          <w:p>
            <w:pPr>
              <w:pStyle w:val="65"/>
              <w:rPr>
                <w:rFonts w:hint="eastAsia" w:ascii="MS Sans Serif" w:hAnsi="MS Sans Serif"/>
              </w:rPr>
            </w:pPr>
            <w:r>
              <w:rPr>
                <w:rFonts w:hint="eastAsia" w:ascii="MS Sans Serif" w:hAnsi="MS Sans Serif"/>
              </w:rPr>
              <w:t>＞6m</w:t>
            </w:r>
          </w:p>
        </w:tc>
        <w:tc>
          <w:tcPr>
            <w:tcW w:w="1701" w:type="dxa"/>
            <w:vAlign w:val="center"/>
          </w:tcPr>
          <w:p>
            <w:pPr>
              <w:pStyle w:val="65"/>
              <w:rPr>
                <w:rFonts w:hint="eastAsia" w:ascii="MS Sans Serif" w:hAnsi="MS Sans Serif"/>
              </w:rPr>
            </w:pPr>
            <w:r>
              <w:rPr>
                <w:rFonts w:hint="eastAsia" w:ascii="MS Sans Serif" w:hAnsi="MS Sans Serif"/>
              </w:rPr>
              <w:t>L</w:t>
            </w:r>
            <w:r>
              <w:rPr>
                <w:rFonts w:ascii="MS Sans Serif" w:hAnsi="MS Sans Serif"/>
              </w:rPr>
              <w:t>/1200</w:t>
            </w:r>
            <w:r>
              <w:rPr>
                <w:rFonts w:hint="eastAsia" w:ascii="MS Sans Serif" w:hAnsi="MS Sans Serif"/>
              </w:rPr>
              <w:t>且≤10</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Align w:val="center"/>
          </w:tcPr>
          <w:p>
            <w:pPr>
              <w:pStyle w:val="65"/>
              <w:rPr>
                <w:rFonts w:hint="eastAsia" w:ascii="MS Sans Serif" w:hAnsi="MS Sans Serif"/>
              </w:rPr>
            </w:pPr>
            <w:r>
              <w:rPr>
                <w:rFonts w:hint="eastAsia" w:ascii="MS Sans Serif" w:hAnsi="MS Sans Serif"/>
              </w:rPr>
              <w:t>构件倾斜度</w:t>
            </w:r>
          </w:p>
        </w:tc>
        <w:tc>
          <w:tcPr>
            <w:tcW w:w="2693" w:type="dxa"/>
            <w:gridSpan w:val="2"/>
            <w:vAlign w:val="center"/>
          </w:tcPr>
          <w:p>
            <w:pPr>
              <w:pStyle w:val="65"/>
              <w:rPr>
                <w:rFonts w:hint="eastAsia" w:ascii="MS Sans Serif" w:hAnsi="MS Sans Serif"/>
              </w:rPr>
            </w:pPr>
            <w:r>
              <w:rPr>
                <w:rFonts w:hint="eastAsia" w:ascii="MS Sans Serif" w:hAnsi="MS Sans Serif"/>
              </w:rPr>
              <w:t>梁</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Align w:val="center"/>
          </w:tcPr>
          <w:p>
            <w:pPr>
              <w:pStyle w:val="65"/>
              <w:rPr>
                <w:rFonts w:hint="eastAsia" w:ascii="MS Sans Serif" w:hAnsi="MS Sans Serif"/>
              </w:rPr>
            </w:pPr>
            <w:r>
              <w:rPr>
                <w:rFonts w:hint="eastAsia" w:ascii="MS Sans Serif" w:hAnsi="MS Sans Serif"/>
              </w:rPr>
              <w:t>经纬仪或吊线、尺量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vAlign w:val="center"/>
          </w:tcPr>
          <w:p>
            <w:pPr>
              <w:pStyle w:val="65"/>
              <w:rPr>
                <w:rFonts w:hint="eastAsia" w:ascii="MS Sans Serif" w:hAnsi="MS Sans Serif"/>
              </w:rPr>
            </w:pPr>
            <w:r>
              <w:rPr>
                <w:rFonts w:hint="eastAsia" w:ascii="MS Sans Serif" w:hAnsi="MS Sans Serif"/>
              </w:rPr>
              <w:t>相邻构件平整度</w:t>
            </w:r>
          </w:p>
        </w:tc>
        <w:tc>
          <w:tcPr>
            <w:tcW w:w="2693" w:type="dxa"/>
            <w:gridSpan w:val="2"/>
            <w:vAlign w:val="center"/>
          </w:tcPr>
          <w:p>
            <w:pPr>
              <w:pStyle w:val="65"/>
              <w:rPr>
                <w:rFonts w:hint="eastAsia" w:ascii="MS Sans Serif" w:hAnsi="MS Sans Serif"/>
              </w:rPr>
            </w:pPr>
            <w:r>
              <w:rPr>
                <w:rFonts w:hint="eastAsia" w:ascii="MS Sans Serif" w:hAnsi="MS Sans Serif"/>
              </w:rPr>
              <w:t>板端面</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Merge w:val="restart"/>
            <w:vAlign w:val="center"/>
          </w:tcPr>
          <w:p>
            <w:pPr>
              <w:pStyle w:val="65"/>
              <w:rPr>
                <w:rFonts w:hint="eastAsia" w:ascii="MS Sans Serif" w:hAnsi="MS Sans Serif"/>
              </w:rPr>
            </w:pPr>
            <w:r>
              <w:rPr>
                <w:rFonts w:hint="eastAsia" w:ascii="MS Sans Serif" w:hAnsi="MS Sans Serif"/>
              </w:rPr>
              <w:t>2m靠尺和塞尺量测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276" w:type="dxa"/>
            <w:vMerge w:val="restart"/>
            <w:vAlign w:val="center"/>
          </w:tcPr>
          <w:p>
            <w:pPr>
              <w:pStyle w:val="65"/>
              <w:rPr>
                <w:rFonts w:hint="eastAsia" w:ascii="MS Sans Serif" w:hAnsi="MS Sans Serif"/>
              </w:rPr>
            </w:pPr>
            <w:r>
              <w:rPr>
                <w:rFonts w:hint="eastAsia" w:ascii="MS Sans Serif" w:hAnsi="MS Sans Serif"/>
              </w:rPr>
              <w:t>梁、板底面</w:t>
            </w:r>
          </w:p>
        </w:tc>
        <w:tc>
          <w:tcPr>
            <w:tcW w:w="1417" w:type="dxa"/>
            <w:vAlign w:val="center"/>
          </w:tcPr>
          <w:p>
            <w:pPr>
              <w:pStyle w:val="65"/>
              <w:rPr>
                <w:rFonts w:hint="eastAsia" w:ascii="MS Sans Serif" w:hAnsi="MS Sans Serif"/>
              </w:rPr>
            </w:pPr>
            <w:r>
              <w:rPr>
                <w:rFonts w:hint="eastAsia" w:ascii="MS Sans Serif" w:hAnsi="MS Sans Serif"/>
              </w:rPr>
              <w:t>外露</w:t>
            </w:r>
          </w:p>
        </w:tc>
        <w:tc>
          <w:tcPr>
            <w:tcW w:w="1701" w:type="dxa"/>
            <w:vAlign w:val="center"/>
          </w:tcPr>
          <w:p>
            <w:pPr>
              <w:pStyle w:val="65"/>
              <w:rPr>
                <w:rFonts w:hint="eastAsia" w:ascii="MS Sans Serif" w:hAnsi="MS Sans Serif"/>
              </w:rPr>
            </w:pPr>
            <w:r>
              <w:rPr>
                <w:rFonts w:hint="eastAsia" w:ascii="MS Sans Serif" w:hAnsi="MS Sans Serif"/>
              </w:rPr>
              <w:t>3</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276" w:type="dxa"/>
            <w:vMerge w:val="continue"/>
            <w:vAlign w:val="center"/>
          </w:tcPr>
          <w:p>
            <w:pPr>
              <w:pStyle w:val="65"/>
              <w:rPr>
                <w:rFonts w:hint="eastAsia" w:ascii="MS Sans Serif" w:hAnsi="MS Sans Serif"/>
              </w:rPr>
            </w:pPr>
          </w:p>
        </w:tc>
        <w:tc>
          <w:tcPr>
            <w:tcW w:w="1417" w:type="dxa"/>
            <w:vAlign w:val="center"/>
          </w:tcPr>
          <w:p>
            <w:pPr>
              <w:pStyle w:val="65"/>
              <w:rPr>
                <w:rFonts w:hint="eastAsia" w:ascii="MS Sans Serif" w:hAnsi="MS Sans Serif"/>
              </w:rPr>
            </w:pPr>
            <w:r>
              <w:rPr>
                <w:rFonts w:hint="eastAsia" w:ascii="MS Sans Serif" w:hAnsi="MS Sans Serif"/>
              </w:rPr>
              <w:t>不外露</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276" w:type="dxa"/>
            <w:vMerge w:val="restart"/>
            <w:vAlign w:val="center"/>
          </w:tcPr>
          <w:p>
            <w:pPr>
              <w:pStyle w:val="65"/>
              <w:rPr>
                <w:rFonts w:hint="eastAsia" w:ascii="MS Sans Serif" w:hAnsi="MS Sans Serif"/>
              </w:rPr>
            </w:pPr>
            <w:r>
              <w:rPr>
                <w:rFonts w:hint="eastAsia" w:ascii="MS Sans Serif" w:hAnsi="MS Sans Serif"/>
              </w:rPr>
              <w:t>柱</w:t>
            </w:r>
          </w:p>
        </w:tc>
        <w:tc>
          <w:tcPr>
            <w:tcW w:w="1417" w:type="dxa"/>
            <w:vAlign w:val="center"/>
          </w:tcPr>
          <w:p>
            <w:pPr>
              <w:pStyle w:val="65"/>
              <w:rPr>
                <w:rFonts w:hint="eastAsia" w:ascii="MS Sans Serif" w:hAnsi="MS Sans Serif"/>
              </w:rPr>
            </w:pPr>
            <w:r>
              <w:rPr>
                <w:rFonts w:hint="eastAsia" w:ascii="MS Sans Serif" w:hAnsi="MS Sans Serif"/>
              </w:rPr>
              <w:t>外露</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vAlign w:val="center"/>
          </w:tcPr>
          <w:p>
            <w:pPr>
              <w:pStyle w:val="65"/>
              <w:rPr>
                <w:rFonts w:hint="eastAsia" w:ascii="MS Sans Serif" w:hAnsi="MS Sans Serif"/>
              </w:rPr>
            </w:pPr>
          </w:p>
        </w:tc>
        <w:tc>
          <w:tcPr>
            <w:tcW w:w="1276" w:type="dxa"/>
            <w:vMerge w:val="continue"/>
            <w:vAlign w:val="center"/>
          </w:tcPr>
          <w:p>
            <w:pPr>
              <w:pStyle w:val="65"/>
              <w:rPr>
                <w:rFonts w:hint="eastAsia" w:ascii="MS Sans Serif" w:hAnsi="MS Sans Serif"/>
              </w:rPr>
            </w:pPr>
          </w:p>
        </w:tc>
        <w:tc>
          <w:tcPr>
            <w:tcW w:w="1417" w:type="dxa"/>
            <w:vAlign w:val="center"/>
          </w:tcPr>
          <w:p>
            <w:pPr>
              <w:pStyle w:val="65"/>
              <w:rPr>
                <w:rFonts w:hint="eastAsia" w:ascii="MS Sans Serif" w:hAnsi="MS Sans Serif"/>
              </w:rPr>
            </w:pPr>
            <w:r>
              <w:rPr>
                <w:rFonts w:hint="eastAsia" w:ascii="MS Sans Serif" w:hAnsi="MS Sans Serif"/>
              </w:rPr>
              <w:t>不外露</w:t>
            </w:r>
          </w:p>
        </w:tc>
        <w:tc>
          <w:tcPr>
            <w:tcW w:w="1701" w:type="dxa"/>
            <w:vAlign w:val="center"/>
          </w:tcPr>
          <w:p>
            <w:pPr>
              <w:pStyle w:val="65"/>
              <w:rPr>
                <w:rFonts w:hint="eastAsia" w:ascii="MS Sans Serif" w:hAnsi="MS Sans Serif"/>
              </w:rPr>
            </w:pPr>
            <w:r>
              <w:rPr>
                <w:rFonts w:hint="eastAsia" w:ascii="MS Sans Serif" w:hAnsi="MS Sans Serif"/>
              </w:rPr>
              <w:t>8</w:t>
            </w:r>
          </w:p>
        </w:tc>
        <w:tc>
          <w:tcPr>
            <w:tcW w:w="2054" w:type="dxa"/>
            <w:vMerge w:val="continue"/>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Align w:val="center"/>
          </w:tcPr>
          <w:p>
            <w:pPr>
              <w:pStyle w:val="65"/>
              <w:rPr>
                <w:rFonts w:hint="eastAsia" w:ascii="MS Sans Serif" w:hAnsi="MS Sans Serif"/>
              </w:rPr>
            </w:pPr>
            <w:r>
              <w:rPr>
                <w:rFonts w:hint="eastAsia" w:ascii="MS Sans Serif" w:hAnsi="MS Sans Serif"/>
              </w:rPr>
              <w:t>构件搁置长度</w:t>
            </w:r>
          </w:p>
        </w:tc>
        <w:tc>
          <w:tcPr>
            <w:tcW w:w="2693" w:type="dxa"/>
            <w:gridSpan w:val="2"/>
            <w:vAlign w:val="center"/>
          </w:tcPr>
          <w:p>
            <w:pPr>
              <w:pStyle w:val="65"/>
              <w:rPr>
                <w:rFonts w:hint="eastAsia" w:ascii="MS Sans Serif" w:hAnsi="MS Sans Serif"/>
              </w:rPr>
            </w:pPr>
            <w:r>
              <w:rPr>
                <w:rFonts w:hint="eastAsia" w:ascii="MS Sans Serif" w:hAnsi="MS Sans Serif"/>
              </w:rPr>
              <w:t>梁、板</w:t>
            </w:r>
          </w:p>
        </w:tc>
        <w:tc>
          <w:tcPr>
            <w:tcW w:w="1701" w:type="dxa"/>
            <w:vAlign w:val="center"/>
          </w:tcPr>
          <w:p>
            <w:pPr>
              <w:pStyle w:val="65"/>
              <w:rPr>
                <w:rFonts w:hint="eastAsia" w:ascii="MS Sans Serif" w:hAnsi="MS Sans Serif"/>
              </w:rPr>
            </w:pPr>
            <w:r>
              <w:rPr>
                <w:rFonts w:hint="eastAsia" w:ascii="MS Sans Serif" w:hAnsi="MS Sans Serif"/>
              </w:rPr>
              <w:t>±10</w:t>
            </w:r>
          </w:p>
        </w:tc>
        <w:tc>
          <w:tcPr>
            <w:tcW w:w="2054" w:type="dxa"/>
            <w:vAlign w:val="center"/>
          </w:tcPr>
          <w:p>
            <w:pPr>
              <w:pStyle w:val="65"/>
              <w:rPr>
                <w:rFonts w:hint="eastAsia" w:ascii="MS Sans Serif" w:hAnsi="MS Sans Serif"/>
              </w:rPr>
            </w:pPr>
            <w:r>
              <w:rPr>
                <w:rFonts w:hint="eastAsia" w:ascii="MS Sans Serif" w:hAnsi="MS Sans Serif"/>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Align w:val="center"/>
          </w:tcPr>
          <w:p>
            <w:pPr>
              <w:pStyle w:val="65"/>
              <w:rPr>
                <w:rFonts w:hint="eastAsia" w:ascii="MS Sans Serif" w:hAnsi="MS Sans Serif"/>
              </w:rPr>
            </w:pPr>
            <w:r>
              <w:rPr>
                <w:rFonts w:hint="eastAsia" w:ascii="MS Sans Serif" w:hAnsi="MS Sans Serif"/>
              </w:rPr>
              <w:t>支座、支垫中心位置</w:t>
            </w:r>
          </w:p>
        </w:tc>
        <w:tc>
          <w:tcPr>
            <w:tcW w:w="2693" w:type="dxa"/>
            <w:gridSpan w:val="2"/>
            <w:vAlign w:val="center"/>
          </w:tcPr>
          <w:p>
            <w:pPr>
              <w:pStyle w:val="65"/>
              <w:rPr>
                <w:rFonts w:hint="eastAsia" w:ascii="MS Sans Serif" w:hAnsi="MS Sans Serif"/>
              </w:rPr>
            </w:pPr>
            <w:r>
              <w:rPr>
                <w:rFonts w:hint="eastAsia" w:ascii="MS Sans Serif" w:hAnsi="MS Sans Serif"/>
              </w:rPr>
              <w:t>板、梁、柱等</w:t>
            </w:r>
          </w:p>
        </w:tc>
        <w:tc>
          <w:tcPr>
            <w:tcW w:w="1701" w:type="dxa"/>
            <w:vAlign w:val="center"/>
          </w:tcPr>
          <w:p>
            <w:pPr>
              <w:pStyle w:val="65"/>
              <w:rPr>
                <w:rFonts w:hint="eastAsia" w:ascii="MS Sans Serif" w:hAnsi="MS Sans Serif"/>
              </w:rPr>
            </w:pPr>
            <w:r>
              <w:rPr>
                <w:rFonts w:hint="eastAsia" w:ascii="MS Sans Serif" w:hAnsi="MS Sans Serif"/>
              </w:rPr>
              <w:t>10</w:t>
            </w:r>
          </w:p>
        </w:tc>
        <w:tc>
          <w:tcPr>
            <w:tcW w:w="2054" w:type="dxa"/>
            <w:vAlign w:val="center"/>
          </w:tcPr>
          <w:p>
            <w:pPr>
              <w:pStyle w:val="65"/>
              <w:rPr>
                <w:rFonts w:hint="eastAsia" w:ascii="MS Sans Serif" w:hAnsi="MS Sans Serif"/>
              </w:rPr>
            </w:pPr>
            <w:r>
              <w:rPr>
                <w:rFonts w:hint="eastAsia" w:ascii="MS Sans Serif" w:hAnsi="MS Sans Serif"/>
              </w:rPr>
              <w:t>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1" w:type="dxa"/>
            <w:gridSpan w:val="3"/>
            <w:vAlign w:val="center"/>
          </w:tcPr>
          <w:p>
            <w:pPr>
              <w:pStyle w:val="65"/>
              <w:rPr>
                <w:rFonts w:hint="eastAsia" w:ascii="MS Sans Serif" w:hAnsi="MS Sans Serif"/>
              </w:rPr>
            </w:pPr>
            <w:r>
              <w:rPr>
                <w:rFonts w:hint="eastAsia" w:ascii="MS Sans Serif" w:hAnsi="MS Sans Serif"/>
              </w:rPr>
              <w:t>墙体接缝宽度</w:t>
            </w:r>
          </w:p>
        </w:tc>
        <w:tc>
          <w:tcPr>
            <w:tcW w:w="1701" w:type="dxa"/>
            <w:vAlign w:val="center"/>
          </w:tcPr>
          <w:p>
            <w:pPr>
              <w:pStyle w:val="65"/>
              <w:rPr>
                <w:rFonts w:hint="eastAsia" w:ascii="MS Sans Serif" w:hAnsi="MS Sans Serif"/>
              </w:rPr>
            </w:pPr>
            <w:r>
              <w:rPr>
                <w:rFonts w:hint="eastAsia" w:ascii="MS Sans Serif" w:hAnsi="MS Sans Serif"/>
              </w:rPr>
              <w:t>±5</w:t>
            </w:r>
          </w:p>
        </w:tc>
        <w:tc>
          <w:tcPr>
            <w:tcW w:w="2054" w:type="dxa"/>
            <w:vAlign w:val="center"/>
          </w:tcPr>
          <w:p>
            <w:pPr>
              <w:pStyle w:val="65"/>
              <w:rPr>
                <w:rFonts w:hint="eastAsia" w:ascii="MS Sans Serif" w:hAnsi="MS Sans Serif"/>
              </w:rPr>
            </w:pPr>
            <w:r>
              <w:rPr>
                <w:rFonts w:hint="eastAsia" w:ascii="MS Sans Serif" w:hAnsi="MS Sans Serif"/>
              </w:rPr>
              <w:t>尺量</w:t>
            </w:r>
          </w:p>
        </w:tc>
      </w:tr>
    </w:tbl>
    <w:p>
      <w:pPr>
        <w:snapToGrid w:val="0"/>
        <w:spacing w:line="360" w:lineRule="auto"/>
      </w:pPr>
    </w:p>
    <w:p>
      <w:pPr>
        <w:pStyle w:val="3"/>
      </w:pPr>
      <w:bookmarkStart w:id="504" w:name="_Toc202345838"/>
      <w:r>
        <w:rPr>
          <w:rFonts w:hint="eastAsia"/>
        </w:rPr>
        <w:t>预应力张拉施工</w:t>
      </w:r>
      <w:bookmarkEnd w:id="504"/>
      <w:bookmarkStart w:id="505" w:name="_Toc197444900"/>
      <w:bookmarkEnd w:id="505"/>
    </w:p>
    <w:p>
      <w:pPr>
        <w:snapToGrid w:val="0"/>
        <w:spacing w:line="360" w:lineRule="auto"/>
        <w:jc w:val="center"/>
        <w:rPr>
          <w:rFonts w:ascii="黑体" w:hAnsi="黑体" w:eastAsia="黑体"/>
        </w:rPr>
      </w:pPr>
      <w:r>
        <w:rPr>
          <w:rFonts w:hint="eastAsia" w:ascii="黑体" w:hAnsi="黑体" w:eastAsia="黑体"/>
        </w:rPr>
        <w:t>主控项目</w:t>
      </w:r>
    </w:p>
    <w:p>
      <w:pPr>
        <w:pStyle w:val="4"/>
      </w:pPr>
      <w:r>
        <w:rPr>
          <w:rFonts w:hint="eastAsia"/>
        </w:rPr>
        <w:t>预应力钢绞线安装时，其品种、规格、级别和数量必须符合设计要求。</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检验方法：观察、尺量。</w:t>
      </w:r>
    </w:p>
    <w:p>
      <w:pPr>
        <w:pStyle w:val="4"/>
      </w:pPr>
      <w:r>
        <w:rPr>
          <w:rFonts w:hint="eastAsia"/>
        </w:rPr>
        <w:t>预应力钢绞线张拉前，应对构件混凝土强度进行检验。同条件养护的混凝土立方体试件抗压强度应符合设计要求，当设计无具体要求时应达到配套锚具要求的混凝土最低强度，且不应低于混凝土设计强度的80%。</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检验方法：检查同条件养护试件抗压强度报告。</w:t>
      </w:r>
    </w:p>
    <w:p>
      <w:pPr>
        <w:pStyle w:val="4"/>
      </w:pPr>
      <w:r>
        <w:rPr>
          <w:rFonts w:hint="eastAsia"/>
        </w:rPr>
        <w:t>预应力钢绞线张拉后应可靠锚固，且不应有断丝或滑丝。</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w:t>
      </w:r>
    </w:p>
    <w:p>
      <w:pPr>
        <w:pStyle w:val="4"/>
      </w:pPr>
      <w:r>
        <w:rPr>
          <w:rFonts w:hint="eastAsia"/>
        </w:rPr>
        <w:t>预应力钢绞线有粘结段长度应符合施工图纸设计要求，现场在无粘结预应力筋上进行有粘结处理时应保证钢绞线束裸露且无明显润滑涂层残留。</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检验方法：观察、尺量。</w:t>
      </w:r>
    </w:p>
    <w:p>
      <w:pPr>
        <w:pStyle w:val="5"/>
      </w:pPr>
    </w:p>
    <w:p>
      <w:pPr>
        <w:snapToGrid w:val="0"/>
        <w:spacing w:line="360" w:lineRule="auto"/>
        <w:jc w:val="center"/>
        <w:rPr>
          <w:rFonts w:ascii="黑体" w:hAnsi="黑体" w:eastAsia="黑体"/>
        </w:rPr>
      </w:pPr>
      <w:r>
        <w:rPr>
          <w:rFonts w:hint="eastAsia" w:ascii="黑体" w:hAnsi="黑体" w:eastAsia="黑体"/>
        </w:rPr>
        <w:t>一般项目</w:t>
      </w:r>
    </w:p>
    <w:p>
      <w:pPr>
        <w:pStyle w:val="4"/>
      </w:pPr>
      <w:r>
        <w:rPr>
          <w:rFonts w:hint="eastAsia"/>
        </w:rPr>
        <w:t>预应力钢绞线孔道质量应符合下列规定：</w:t>
      </w:r>
    </w:p>
    <w:p>
      <w:pPr>
        <w:pStyle w:val="70"/>
      </w:pPr>
      <w:r>
        <w:rPr>
          <w:rFonts w:hint="eastAsia"/>
          <w:b/>
        </w:rPr>
        <w:t>1</w:t>
      </w:r>
      <w:r>
        <w:tab/>
      </w:r>
      <w:r>
        <w:rPr>
          <w:rFonts w:hint="eastAsia"/>
        </w:rPr>
        <w:t>金属波纹管孔道的连接应密封。</w:t>
      </w:r>
    </w:p>
    <w:p>
      <w:pPr>
        <w:pStyle w:val="70"/>
      </w:pPr>
      <w:r>
        <w:rPr>
          <w:rFonts w:hint="eastAsia"/>
          <w:b/>
        </w:rPr>
        <w:t>2</w:t>
      </w:r>
      <w:r>
        <w:tab/>
      </w:r>
      <w:r>
        <w:rPr>
          <w:rFonts w:hint="eastAsia"/>
        </w:rPr>
        <w:t>孔道应平顺，并应与定位支撑钢筋绑扎牢固。</w:t>
      </w:r>
    </w:p>
    <w:p>
      <w:pPr>
        <w:pStyle w:val="70"/>
      </w:pPr>
      <w:r>
        <w:rPr>
          <w:rFonts w:hint="eastAsia"/>
          <w:b/>
        </w:rPr>
        <w:t>3</w:t>
      </w:r>
      <w:r>
        <w:tab/>
      </w:r>
      <w:r>
        <w:rPr>
          <w:rFonts w:hint="eastAsia"/>
        </w:rPr>
        <w:t>孔道排气孔应按要求设置。</w:t>
      </w:r>
    </w:p>
    <w:p>
      <w:pPr>
        <w:pStyle w:val="70"/>
      </w:pPr>
      <w:r>
        <w:rPr>
          <w:rFonts w:hint="eastAsia"/>
          <w:b/>
        </w:rPr>
        <w:t>4</w:t>
      </w:r>
      <w:r>
        <w:tab/>
      </w:r>
      <w:r>
        <w:rPr>
          <w:rFonts w:hint="eastAsia"/>
        </w:rPr>
        <w:t>锚垫板的承压面应与预应力钢绞线或孔道末端垂直。</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检验方法：观察、尺量。</w:t>
      </w:r>
    </w:p>
    <w:p>
      <w:pPr>
        <w:pStyle w:val="4"/>
      </w:pPr>
      <w:r>
        <w:rPr>
          <w:rFonts w:hint="eastAsia"/>
        </w:rPr>
        <w:t>采用应力控制方法张拉时，张拉力下预应力钢绞线的实测伸长值与计算伸长值的相对允许偏差为±6%，且最大张拉应力不应大于0.75</w:t>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w:rPr>
                <w:rFonts w:ascii="Cambria Math" w:hAnsi="Cambria Math" w:cs="XITS Math"/>
              </w:rPr>
              <m:t>ptk</m:t>
            </m:r>
            <m:ctrlPr>
              <w:rPr>
                <w:rFonts w:ascii="Cambria Math" w:hAnsi="Cambria Math" w:cs="XITS Math"/>
                <w:i/>
                <w:iCs/>
              </w:rPr>
            </m:ctrlPr>
          </m:sub>
        </m:sSub>
      </m:oMath>
      <w:r>
        <w:rPr>
          <w:rFonts w:hint="eastAsia" w:hAnsi="Cambria Math" w:cs="XITS Math"/>
          <w:iCs/>
        </w:rPr>
        <w:t>。</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检验方法：检查张拉记录。</w:t>
      </w:r>
    </w:p>
    <w:p>
      <w:pPr>
        <w:pStyle w:val="4"/>
      </w:pPr>
      <w:r>
        <w:rPr>
          <w:rFonts w:hint="eastAsia"/>
        </w:rPr>
        <w:t>预应力孔道灌浆后，孔道内水泥浆应饱满、密实。</w:t>
      </w:r>
    </w:p>
    <w:p>
      <w:pPr>
        <w:tabs>
          <w:tab w:val="left" w:pos="840"/>
        </w:tabs>
        <w:snapToGrid w:val="0"/>
        <w:spacing w:line="360" w:lineRule="auto"/>
        <w:ind w:firstLine="960" w:firstLineChars="400"/>
      </w:pPr>
      <w:r>
        <w:rPr>
          <w:rFonts w:hint="eastAsia"/>
        </w:rPr>
        <w:t>检查数量：全数检查</w:t>
      </w:r>
    </w:p>
    <w:p>
      <w:pPr>
        <w:tabs>
          <w:tab w:val="left" w:pos="840"/>
        </w:tabs>
        <w:snapToGrid w:val="0"/>
        <w:spacing w:line="360" w:lineRule="auto"/>
        <w:ind w:firstLine="960" w:firstLineChars="400"/>
      </w:pPr>
      <w:r>
        <w:rPr>
          <w:rFonts w:hint="eastAsia"/>
        </w:rPr>
        <w:t>检验方法：观察，检查灌浆记录。</w:t>
      </w:r>
    </w:p>
    <w:p>
      <w:pPr>
        <w:pStyle w:val="4"/>
      </w:pPr>
      <w:r>
        <w:rPr>
          <w:rFonts w:hint="eastAsia"/>
        </w:rPr>
        <w:t>现场留置的孔道灌浆用水泥浆试件的抗压强度检验应符合下列规定：</w:t>
      </w:r>
    </w:p>
    <w:p>
      <w:pPr>
        <w:pStyle w:val="70"/>
      </w:pPr>
      <w:r>
        <w:rPr>
          <w:rFonts w:hint="eastAsia"/>
          <w:b/>
        </w:rPr>
        <w:t>1</w:t>
      </w:r>
      <w:r>
        <w:tab/>
      </w:r>
      <w:r>
        <w:rPr>
          <w:rFonts w:hint="eastAsia"/>
        </w:rPr>
        <w:t>每组应留取6个边长为70.7mm的立方体试块，并应标准养护28d。</w:t>
      </w:r>
    </w:p>
    <w:p>
      <w:pPr>
        <w:pStyle w:val="70"/>
      </w:pPr>
      <w:r>
        <w:rPr>
          <w:rFonts w:hint="eastAsia"/>
          <w:b/>
        </w:rPr>
        <w:t>2</w:t>
      </w:r>
      <w:r>
        <w:tab/>
      </w:r>
      <w:r>
        <w:rPr>
          <w:rFonts w:hint="eastAsia"/>
        </w:rPr>
        <w:t>试件抗压强度应取6个试件的平均值；当一组试件中抗压强度最大值或最小值与平均值相差超过20%时，应取中间4个试件强度的平均值。</w:t>
      </w:r>
    </w:p>
    <w:p>
      <w:pPr>
        <w:tabs>
          <w:tab w:val="left" w:pos="840"/>
        </w:tabs>
        <w:snapToGrid w:val="0"/>
        <w:spacing w:line="360" w:lineRule="auto"/>
        <w:ind w:firstLine="960" w:firstLineChars="400"/>
      </w:pPr>
      <w:r>
        <w:rPr>
          <w:rFonts w:hint="eastAsia"/>
        </w:rPr>
        <w:t>检查数量：每组工作班留置一组</w:t>
      </w:r>
    </w:p>
    <w:p>
      <w:pPr>
        <w:tabs>
          <w:tab w:val="left" w:pos="840"/>
        </w:tabs>
        <w:snapToGrid w:val="0"/>
        <w:spacing w:line="360" w:lineRule="auto"/>
        <w:ind w:firstLine="960" w:firstLineChars="400"/>
      </w:pPr>
      <w:r>
        <w:rPr>
          <w:rFonts w:hint="eastAsia"/>
        </w:rPr>
        <w:t>检验方法：检查试件强度试验报告。</w:t>
      </w:r>
    </w:p>
    <w:p>
      <w:pPr>
        <w:pStyle w:val="5"/>
      </w:pPr>
    </w:p>
    <w:p>
      <w:pPr>
        <w:pStyle w:val="70"/>
        <w:ind w:firstLine="480"/>
        <w:sectPr>
          <w:headerReference r:id="rId5" w:type="default"/>
          <w:footerReference r:id="rId7" w:type="default"/>
          <w:headerReference r:id="rId6" w:type="even"/>
          <w:footerReference r:id="rId8" w:type="even"/>
          <w:pgSz w:w="11906" w:h="16838"/>
          <w:pgMar w:top="1440" w:right="1800" w:bottom="1440" w:left="1800" w:header="851" w:footer="992" w:gutter="0"/>
          <w:pgNumType w:start="1"/>
          <w:cols w:space="425" w:num="1"/>
          <w:docGrid w:type="lines" w:linePitch="326" w:charSpace="0"/>
        </w:sectPr>
      </w:pPr>
    </w:p>
    <w:p>
      <w:pPr>
        <w:pStyle w:val="108"/>
      </w:pPr>
      <w:bookmarkStart w:id="506" w:name="_Toc86068023"/>
      <w:bookmarkStart w:id="507" w:name="_Ref173246832"/>
      <w:bookmarkStart w:id="508" w:name="_Ref167199120"/>
      <w:bookmarkStart w:id="509" w:name="_Toc91664531"/>
      <w:bookmarkStart w:id="510" w:name="_Toc91664421"/>
      <w:bookmarkStart w:id="511" w:name="_Toc92182267"/>
      <w:bookmarkStart w:id="512" w:name="_Toc202345839"/>
      <w:r>
        <w:rPr>
          <w:rFonts w:hint="eastAsia"/>
        </w:rPr>
        <w:t>预应力</w:t>
      </w:r>
      <w:r>
        <w:t>压接装配</w:t>
      </w:r>
      <w:r>
        <w:rPr>
          <w:rFonts w:hint="eastAsia"/>
        </w:rPr>
        <w:t>节点位移极限状态</w:t>
      </w:r>
      <w:bookmarkEnd w:id="506"/>
      <w:r>
        <w:rPr>
          <w:rFonts w:hint="eastAsia"/>
        </w:rPr>
        <w:t>验算</w:t>
      </w:r>
      <w:bookmarkEnd w:id="507"/>
      <w:bookmarkEnd w:id="508"/>
      <w:bookmarkEnd w:id="509"/>
      <w:bookmarkEnd w:id="510"/>
      <w:bookmarkEnd w:id="511"/>
      <w:bookmarkEnd w:id="512"/>
    </w:p>
    <w:p>
      <w:pPr>
        <w:pStyle w:val="107"/>
      </w:pPr>
      <w:bookmarkStart w:id="513" w:name="_Ref178582046"/>
      <w:bookmarkStart w:id="514" w:name="_Ref178582089"/>
      <w:bookmarkStart w:id="515" w:name="_Toc86068024"/>
      <w:bookmarkStart w:id="516" w:name="_Ref86141087"/>
      <w:bookmarkStart w:id="517" w:name="_Ref178582041"/>
      <w:r>
        <w:rPr>
          <w:rFonts w:hint="eastAsia"/>
        </w:rPr>
        <w:t>位移极限状态下，梁板柱复合梁柱节点的</w:t>
      </w:r>
      <w:r>
        <w:t>梁端耗能钢筋</w:t>
      </w:r>
      <w:r>
        <w:rPr>
          <w:rFonts w:hint="eastAsia"/>
        </w:rPr>
        <w:t>最大拉</w:t>
      </w:r>
      <w:r>
        <w:t>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s</m:t>
            </m:r>
            <m:ctrlPr>
              <w:rPr>
                <w:rFonts w:ascii="Cambria Math" w:hAnsi="Cambria Math"/>
              </w:rPr>
            </m:ctrlPr>
          </m:sub>
        </m:sSub>
      </m:oMath>
      <w:r>
        <w:t>和预应力钢绞线在梁柱结合面缝隙张开时的</w:t>
      </w:r>
      <w:r>
        <w:rPr>
          <w:rFonts w:hint="eastAsia"/>
        </w:rPr>
        <w:t>最大</w:t>
      </w:r>
      <w:r>
        <w:t>附加应变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pt</m:t>
            </m:r>
            <m:ctrlPr>
              <w:rPr>
                <w:rFonts w:ascii="Cambria Math" w:hAnsi="Cambria Math"/>
              </w:rPr>
            </m:ctrlPr>
          </m:sub>
        </m:sSub>
      </m:oMath>
      <w:r>
        <w:t>可按下式计算（</w:t>
      </w:r>
      <w:r>
        <w:rPr>
          <w:rFonts w:hint="eastAsia"/>
        </w:rPr>
        <w:t>图</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w:t>
      </w:r>
      <w:bookmarkEnd w:id="513"/>
      <w:bookmarkEnd w:id="514"/>
      <w:bookmarkEnd w:id="515"/>
      <w:bookmarkEnd w:id="516"/>
      <w:bookmarkEnd w:id="517"/>
    </w:p>
    <w:p>
      <w:pPr>
        <w:pStyle w:val="85"/>
      </w:pPr>
      <w:r>
        <w:tab/>
      </w:r>
      <m:oMath>
        <m:sSub>
          <m:sSubPr>
            <m:ctrlPr>
              <w:rPr>
                <w:rFonts w:ascii="Cambria Math" w:hAnsi="Cambria Math"/>
              </w:rPr>
            </m:ctrlPr>
          </m:sSubPr>
          <m:e>
            <m:r>
              <m:rPr/>
              <w:rPr>
                <w:rFonts w:ascii="Cambria Math" w:hAnsi="Cambria Math"/>
              </w:rPr>
              <m:t>ε</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s1</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u</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b</m:t>
                </m:r>
                <m:ctrlPr>
                  <w:rPr>
                    <w:rFonts w:ascii="Cambria Math" w:hAnsi="Cambria Math"/>
                  </w:rPr>
                </m:ctrlPr>
              </m:sub>
            </m:sSub>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b</m:t>
                </m:r>
                <m:ctrlPr>
                  <w:rPr>
                    <w:rFonts w:ascii="Cambria Math" w:hAnsi="Cambria Math"/>
                  </w:rPr>
                </m:ctrlPr>
              </m:sub>
            </m:sSub>
            <m:ctrlPr>
              <w:rPr>
                <w:rFonts w:ascii="Cambria Math" w:hAnsi="Cambria Math"/>
              </w:rPr>
            </m:ctrlPr>
          </m:den>
        </m:f>
      </m:oMath>
      <w: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1</w:t>
      </w:r>
      <w:r>
        <w:fldChar w:fldCharType="end"/>
      </w:r>
      <w:r>
        <w:t>）</w:t>
      </w:r>
    </w:p>
    <w:p>
      <w:pPr>
        <w:pStyle w:val="85"/>
      </w:pPr>
      <w:r>
        <w:tab/>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pt</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ups</m:t>
                </m:r>
                <m:ctrlPr>
                  <w:rPr>
                    <w:rFonts w:ascii="Cambria Math" w:hAnsi="Cambria Math"/>
                  </w:rPr>
                </m:ctrlPr>
              </m:sub>
            </m:sSub>
            <m:ctrlPr>
              <w:rPr>
                <w:rFonts w:ascii="Cambria Math" w:hAnsi="Cambria Math"/>
              </w:rPr>
            </m:ctrlPr>
          </m:den>
        </m:f>
      </m:oMath>
      <w: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2</w:t>
      </w:r>
      <w:r>
        <w:fldChar w:fldCharType="end"/>
      </w:r>
      <w:r>
        <w:t>）</w:t>
      </w:r>
    </w:p>
    <w:p>
      <w:pPr>
        <w:pStyle w:val="85"/>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s1</m:t>
            </m:r>
            <m:ctrlPr>
              <w:rPr>
                <w:rFonts w:ascii="Cambria Math" w:hAnsi="Cambria Math"/>
              </w:rPr>
            </m:ctrlPr>
          </m:sub>
        </m:sSub>
        <m:r>
          <m:rPr>
            <m:sty m:val="p"/>
          </m:rPr>
          <w:rPr>
            <w:rFonts w:ascii="Cambria Math" w:hAnsi="Cambria Math"/>
          </w:rPr>
          <m: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1</m:t>
            </m:r>
            <m:ctrlPr>
              <w:rPr>
                <w:rFonts w:ascii="Cambria Math" w:hAnsi="Cambria Math"/>
                <w:i/>
              </w:rPr>
            </m:ctrlPr>
          </m:sub>
        </m:sSub>
        <m:d>
          <m:dPr>
            <m:ctrlPr>
              <w:rPr>
                <w:rFonts w:ascii="Cambria Math" w:hAnsi="Cambria Math"/>
              </w:rPr>
            </m:ctrlPr>
          </m:dPr>
          <m:e>
            <m:sSub>
              <m:sSubPr>
                <m:ctrlPr>
                  <w:rPr>
                    <w:rFonts w:ascii="Cambria Math" w:hAnsi="Cambria Math"/>
                  </w:rPr>
                </m:ctrlPr>
              </m:sSubPr>
              <m:e>
                <m:r>
                  <m:rPr/>
                  <w:rPr>
                    <w:rFonts w:ascii="Cambria Math" w:hAnsi="Cambria Math"/>
                  </w:rPr>
                  <m:t>ℎ</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d>
      </m:oMath>
      <w: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3</w:t>
      </w:r>
      <w:r>
        <w:fldChar w:fldCharType="end"/>
      </w:r>
      <w:r>
        <w:t>）</w:t>
      </w:r>
    </w:p>
    <w:p>
      <w:pPr>
        <w:pStyle w:val="85"/>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pt1</m:t>
            </m:r>
            <m:ctrlPr>
              <w:rPr>
                <w:rFonts w:ascii="Cambria Math" w:hAnsi="Cambria Math"/>
              </w:rPr>
            </m:ctrlPr>
          </m:sub>
        </m:sSub>
        <m:r>
          <m:rPr>
            <m:sty m:val="p"/>
          </m:rPr>
          <w:rPr>
            <w:rFonts w:ascii="Cambria Math" w:hAnsi="Cambria Math"/>
          </w:rPr>
          <m: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1</m:t>
            </m:r>
            <m:ctrlPr>
              <w:rPr>
                <w:rFonts w:ascii="Cambria Math" w:hAnsi="Cambria Math"/>
                <w:i/>
              </w:rPr>
            </m:ctrlPr>
          </m:sub>
        </m:sSub>
        <m:d>
          <m:dPr>
            <m:begChr m:val="["/>
            <m:endChr m:val="]"/>
            <m:ctrlPr>
              <w:rPr>
                <w:rFonts w:ascii="Cambria Math" w:hAnsi="Cambria Math"/>
              </w:rPr>
            </m:ctrlPr>
          </m:dPr>
          <m:e>
            <m:d>
              <m:dPr>
                <m:ctrlPr>
                  <w:rPr>
                    <w:rFonts w:ascii="Cambria Math" w:hAnsi="Cambria Math"/>
                  </w:rPr>
                </m:ctrlPr>
              </m:dPr>
              <m:e>
                <m:r>
                  <m:rPr/>
                  <w:rPr>
                    <w:rFonts w:ascii="Cambria Math" w:hAnsi="Cambria Math"/>
                  </w:rPr>
                  <m:t>ℎ</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ctrlPr>
                      <w:rPr>
                        <w:rFonts w:ascii="Cambria Math" w:hAnsi="Cambria Math"/>
                      </w:rPr>
                    </m:ctrlPr>
                  </m:e>
                  <m:sub>
                    <m:r>
                      <m:rPr>
                        <m:sty m:val="p"/>
                      </m:rPr>
                      <w:rPr>
                        <w:rFonts w:ascii="Cambria Math" w:hAnsi="Cambria Math"/>
                      </w:rPr>
                      <m:t>p</m:t>
                    </m:r>
                    <m:ctrlPr>
                      <w:rPr>
                        <w:rFonts w:ascii="Cambria Math" w:hAnsi="Cambria Math"/>
                      </w:rPr>
                    </m:ctrlPr>
                  </m:sub>
                </m:sSub>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d>
      </m:oMath>
      <w: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4</w:t>
      </w:r>
      <w:r>
        <w:fldChar w:fldCharType="end"/>
      </w:r>
      <w:r>
        <w:t>）</w:t>
      </w:r>
    </w:p>
    <w:p>
      <w:pPr>
        <w:pStyle w:val="85"/>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pt2</m:t>
            </m:r>
            <m:ctrlPr>
              <w:rPr>
                <w:rFonts w:ascii="Cambria Math" w:hAnsi="Cambria Math"/>
              </w:rPr>
            </m:ctrlPr>
          </m:sub>
        </m:sSub>
        <m:r>
          <m:rPr>
            <m:sty m:val="p"/>
          </m:rPr>
          <w:rPr>
            <w:rFonts w:ascii="Cambria Math" w:hAnsi="Cambria Math"/>
          </w:rPr>
          <m: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2</m:t>
            </m:r>
            <m:ctrlPr>
              <w:rPr>
                <w:rFonts w:ascii="Cambria Math" w:hAnsi="Cambria Math"/>
                <w:i/>
              </w:rPr>
            </m:ctrlP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ctrlPr>
                  <w:rPr>
                    <w:rFonts w:ascii="Cambria Math" w:hAnsi="Cambria Math"/>
                  </w:rPr>
                </m:ctrlPr>
              </m:e>
              <m:sub>
                <m:r>
                  <m:rPr>
                    <m:sty m:val="p"/>
                  </m:rPr>
                  <w:rPr>
                    <w:rFonts w:ascii="Cambria Math" w:hAnsi="Cambria Math"/>
                  </w:rPr>
                  <m:t>p</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d>
      </m:oMath>
      <w: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5</w:t>
      </w:r>
      <w:r>
        <w:fldChar w:fldCharType="end"/>
      </w:r>
      <w:r>
        <w:t>）</w:t>
      </w:r>
    </w:p>
    <w:p>
      <w:pPr>
        <w:pStyle w:val="85"/>
      </w:pPr>
      <w:r>
        <w:rPr>
          <w:rStyle w:val="83"/>
          <w:rFonts w:cs="Times New Roman"/>
          <w:color w:val="auto"/>
        </w:rPr>
        <w:tab/>
      </w:r>
      <m:oMath>
        <m:sSub>
          <m:sSubPr>
            <m:ctrlPr>
              <w:rPr>
                <w:rStyle w:val="83"/>
                <w:rFonts w:ascii="Cambria Math" w:hAnsi="Cambria Math" w:cs="Times New Roman"/>
                <w:color w:val="auto"/>
              </w:rPr>
            </m:ctrlPr>
          </m:sSubPr>
          <m:e>
            <m:r>
              <m:rPr/>
              <w:rPr>
                <w:rStyle w:val="83"/>
                <w:rFonts w:ascii="Cambria Math" w:hAnsi="Cambria Math" w:cs="Times New Roman"/>
                <w:color w:val="auto"/>
              </w:rPr>
              <m:t>x</m:t>
            </m:r>
            <m:ctrlPr>
              <w:rPr>
                <w:rStyle w:val="83"/>
                <w:rFonts w:ascii="Cambria Math" w:hAnsi="Cambria Math" w:cs="Times New Roman"/>
                <w:color w:val="auto"/>
              </w:rPr>
            </m:ctrlPr>
          </m:e>
          <m:sub>
            <m:r>
              <m:rPr>
                <m:sty m:val="p"/>
              </m:rPr>
              <w:rPr>
                <w:rStyle w:val="83"/>
                <w:rFonts w:ascii="Cambria Math" w:hAnsi="Cambria Math" w:cs="Times New Roman"/>
                <w:color w:val="auto"/>
              </w:rPr>
              <m:t>1</m:t>
            </m:r>
            <m:ctrlPr>
              <w:rPr>
                <w:rStyle w:val="83"/>
                <w:rFonts w:ascii="Cambria Math" w:hAnsi="Cambria Math" w:cs="Times New Roman"/>
                <w:color w:val="auto"/>
              </w:rPr>
            </m:ctrlPr>
          </m:sub>
        </m:sSub>
        <m:r>
          <m:rPr>
            <m:sty m:val="p"/>
          </m:rPr>
          <w:rPr>
            <w:rStyle w:val="83"/>
            <w:rFonts w:ascii="Cambria Math" w:hAnsi="Cambria Math" w:cs="Times New Roman"/>
            <w:color w:val="auto"/>
          </w:rPr>
          <m:t>=</m:t>
        </m:r>
        <m:d>
          <m:dPr>
            <m:begChr m:val="["/>
            <m:endChr m:val="]"/>
            <m:ctrlPr>
              <w:rPr>
                <w:rStyle w:val="83"/>
                <w:rFonts w:ascii="Cambria Math" w:hAnsi="Cambria Math" w:cs="Times New Roman"/>
                <w:color w:val="auto"/>
              </w:rPr>
            </m:ctrlPr>
          </m:dPr>
          <m:e>
            <m:f>
              <m:fPr>
                <m:ctrlPr>
                  <w:rPr>
                    <w:rStyle w:val="83"/>
                    <w:rFonts w:ascii="Cambria Math" w:hAnsi="Cambria Math" w:cs="Times New Roman"/>
                    <w:color w:val="auto"/>
                  </w:rPr>
                </m:ctrlPr>
              </m:fPr>
              <m:num>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m:sty m:val="p"/>
                      </m:rPr>
                      <w:rPr>
                        <w:rStyle w:val="83"/>
                        <w:rFonts w:ascii="Cambria Math" w:hAnsi="Cambria Math" w:cs="Times New Roman"/>
                        <w:color w:val="auto"/>
                      </w:rPr>
                      <m:t>σ</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r>
                  <m:rPr>
                    <m:sty m:val="p"/>
                  </m:rPr>
                  <w:rPr>
                    <w:rStyle w:val="83"/>
                    <w:rFonts w:ascii="Cambria Math" w:hAnsi="Cambria Math" w:cs="Times New Roman"/>
                    <w:color w:val="auto"/>
                  </w:rPr>
                  <m:t>+</m:t>
                </m:r>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m:sty m:val="p"/>
                      </m:rPr>
                      <w:rPr>
                        <w:rStyle w:val="83"/>
                        <w:rFonts w:ascii="Cambria Math" w:hAnsi="Cambria Math" w:cs="Times New Roman"/>
                        <w:color w:val="auto"/>
                      </w:rPr>
                      <m:t>σ</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ctrlPr>
                  <w:rPr>
                    <w:rStyle w:val="83"/>
                    <w:rFonts w:ascii="Cambria Math" w:hAnsi="Cambria Math" w:cs="Times New Roman"/>
                    <w:color w:val="auto"/>
                  </w:rPr>
                </m:ctrlPr>
              </m:num>
              <m:den>
                <m:sSub>
                  <m:sSubPr>
                    <m:ctrlPr>
                      <w:rPr>
                        <w:rStyle w:val="83"/>
                        <w:rFonts w:ascii="Cambria Math" w:hAnsi="Cambria Math" w:cs="Times New Roman"/>
                        <w:color w:val="auto"/>
                      </w:rPr>
                    </m:ctrlPr>
                  </m:sSubPr>
                  <m:e>
                    <m:r>
                      <m:rPr/>
                      <w:rPr>
                        <w:rStyle w:val="83"/>
                        <w:rFonts w:ascii="Cambria Math" w:hAnsi="Cambria Math" w:cs="Times New Roman"/>
                        <w:color w:val="auto"/>
                      </w:rPr>
                      <m:t>α</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w:rPr>
                        <w:rStyle w:val="83"/>
                        <w:rFonts w:ascii="Cambria Math" w:hAnsi="Cambria Math" w:cs="Times New Roman"/>
                        <w:color w:val="auto"/>
                      </w:rPr>
                      <m:t>β</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r>
                  <m:rPr/>
                  <w:rPr>
                    <w:rStyle w:val="83"/>
                    <w:rFonts w:ascii="Cambria Math" w:hAnsi="Cambria Math" w:cs="Times New Roman"/>
                    <w:color w:val="auto"/>
                  </w:rPr>
                  <m:t>b</m:t>
                </m:r>
                <m:sSub>
                  <m:sSubPr>
                    <m:ctrlPr>
                      <w:rPr>
                        <w:rStyle w:val="83"/>
                        <w:rFonts w:ascii="Cambria Math" w:hAnsi="Cambria Math" w:cs="Times New Roman"/>
                        <w:color w:val="auto"/>
                      </w:rPr>
                    </m:ctrlPr>
                  </m:sSubPr>
                  <m:e>
                    <m:r>
                      <m:rPr/>
                      <w:rPr>
                        <w:rStyle w:val="83"/>
                        <w:rFonts w:ascii="Cambria Math" w:hAnsi="Cambria Math" w:cs="Times New Roman"/>
                        <w:color w:val="auto"/>
                      </w:rPr>
                      <m:t>f</m:t>
                    </m:r>
                    <m:ctrlPr>
                      <w:rPr>
                        <w:rStyle w:val="83"/>
                        <w:rFonts w:ascii="Cambria Math" w:hAnsi="Cambria Math" w:cs="Times New Roman"/>
                        <w:color w:val="auto"/>
                      </w:rPr>
                    </m:ctrlPr>
                  </m:e>
                  <m:sub>
                    <m:r>
                      <m:rPr/>
                      <w:rPr>
                        <w:rStyle w:val="83"/>
                        <w:rFonts w:ascii="Cambria Math" w:hAnsi="Cambria Math" w:cs="Times New Roman"/>
                        <w:color w:val="auto"/>
                      </w:rPr>
                      <m:t>c</m:t>
                    </m:r>
                    <m:ctrlPr>
                      <w:rPr>
                        <w:rStyle w:val="83"/>
                        <w:rFonts w:ascii="Cambria Math" w:hAnsi="Cambria Math" w:cs="Times New Roman"/>
                        <w:color w:val="auto"/>
                      </w:rPr>
                    </m:ctrlPr>
                  </m:sub>
                </m:sSub>
                <m:ctrlPr>
                  <w:rPr>
                    <w:rStyle w:val="83"/>
                    <w:rFonts w:ascii="Cambria Math" w:hAnsi="Cambria Math" w:cs="Times New Roman"/>
                    <w:color w:val="auto"/>
                  </w:rPr>
                </m:ctrlPr>
              </m:den>
            </m:f>
            <m:ctrlPr>
              <w:rPr>
                <w:rStyle w:val="83"/>
                <w:rFonts w:ascii="Cambria Math" w:hAnsi="Cambria Math" w:cs="Times New Roman"/>
                <w:color w:val="auto"/>
              </w:rPr>
            </m:ctrlPr>
          </m:e>
        </m:d>
      </m:oMath>
      <w:r>
        <w:rPr>
          <w:rStyle w:val="83"/>
          <w:rFonts w:cs="Times New Roman"/>
          <w:color w:val="auto"/>
        </w:rP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fldChar w:fldCharType="begin"/>
      </w:r>
      <w:r>
        <w:instrText xml:space="preserve"> SEQ 公式 \* ARABIC \s 3 </w:instrText>
      </w:r>
      <w:r>
        <w:fldChar w:fldCharType="separate"/>
      </w:r>
      <w:r>
        <w:t>6</w:t>
      </w:r>
      <w:r>
        <w:fldChar w:fldCharType="end"/>
      </w:r>
      <w:r>
        <w:t>）</w:t>
      </w:r>
    </w:p>
    <w:p>
      <w:pPr>
        <w:pStyle w:val="85"/>
      </w:pPr>
      <w:r>
        <w:rPr>
          <w:rStyle w:val="83"/>
          <w:rFonts w:cs="Times New Roman"/>
          <w:color w:val="auto"/>
        </w:rPr>
        <w:tab/>
      </w:r>
      <m:oMath>
        <m:sSub>
          <m:sSubPr>
            <m:ctrlPr>
              <w:rPr>
                <w:rStyle w:val="83"/>
                <w:rFonts w:ascii="Cambria Math" w:hAnsi="Cambria Math" w:cs="Times New Roman"/>
                <w:color w:val="auto"/>
              </w:rPr>
            </m:ctrlPr>
          </m:sSubPr>
          <m:e>
            <m:r>
              <m:rPr/>
              <w:rPr>
                <w:rStyle w:val="83"/>
                <w:rFonts w:ascii="Cambria Math" w:hAnsi="Cambria Math" w:cs="Times New Roman"/>
                <w:color w:val="auto"/>
              </w:rPr>
              <m:t>x</m:t>
            </m:r>
            <m:ctrlPr>
              <w:rPr>
                <w:rStyle w:val="83"/>
                <w:rFonts w:ascii="Cambria Math" w:hAnsi="Cambria Math" w:cs="Times New Roman"/>
                <w:color w:val="auto"/>
              </w:rPr>
            </m:ctrlPr>
          </m:e>
          <m:sub>
            <m:r>
              <m:rPr>
                <m:sty m:val="p"/>
              </m:rPr>
              <w:rPr>
                <w:rStyle w:val="83"/>
                <w:rFonts w:ascii="Cambria Math" w:hAnsi="Cambria Math" w:cs="Times New Roman"/>
                <w:color w:val="auto"/>
              </w:rPr>
              <m:t>2</m:t>
            </m:r>
            <m:ctrlPr>
              <w:rPr>
                <w:rStyle w:val="83"/>
                <w:rFonts w:ascii="Cambria Math" w:hAnsi="Cambria Math" w:cs="Times New Roman"/>
                <w:color w:val="auto"/>
              </w:rPr>
            </m:ctrlPr>
          </m:sub>
        </m:sSub>
        <m:r>
          <m:rPr>
            <m:sty m:val="p"/>
          </m:rPr>
          <w:rPr>
            <w:rStyle w:val="83"/>
            <w:rFonts w:ascii="Cambria Math" w:hAnsi="Cambria Math" w:cs="Times New Roman"/>
            <w:color w:val="auto"/>
          </w:rPr>
          <m:t>=</m:t>
        </m:r>
        <m:d>
          <m:dPr>
            <m:begChr m:val="["/>
            <m:endChr m:val="]"/>
            <m:ctrlPr>
              <w:rPr>
                <w:rStyle w:val="83"/>
                <w:rFonts w:ascii="Cambria Math" w:hAnsi="Cambria Math" w:cs="Times New Roman"/>
                <w:color w:val="auto"/>
              </w:rPr>
            </m:ctrlPr>
          </m:dPr>
          <m:e>
            <m:f>
              <m:fPr>
                <m:ctrlPr>
                  <w:rPr>
                    <w:rStyle w:val="83"/>
                    <w:rFonts w:ascii="Cambria Math" w:hAnsi="Cambria Math" w:cs="Times New Roman"/>
                    <w:color w:val="auto"/>
                  </w:rPr>
                </m:ctrlPr>
              </m:fPr>
              <m:num>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m:sty m:val="p"/>
                      </m:rPr>
                      <w:rPr>
                        <w:rStyle w:val="83"/>
                        <w:rFonts w:ascii="Cambria Math" w:hAnsi="Cambria Math" w:cs="Times New Roman"/>
                        <w:color w:val="auto"/>
                      </w:rPr>
                      <m:t>σ</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r>
                  <m:rPr>
                    <m:sty m:val="p"/>
                  </m:rPr>
                  <w:rPr>
                    <w:rStyle w:val="83"/>
                    <w:rFonts w:ascii="Cambria Math" w:hAnsi="Cambria Math" w:cs="Times New Roman"/>
                    <w:color w:val="auto"/>
                  </w:rPr>
                  <m:t>−1.25</m:t>
                </m:r>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sSub>
                  <m:sSubPr>
                    <m:ctrlPr>
                      <w:rPr>
                        <w:rStyle w:val="83"/>
                        <w:rFonts w:ascii="Cambria Math" w:hAnsi="Cambria Math" w:cs="Times New Roman"/>
                        <w:i/>
                        <w:iCs/>
                        <w:color w:val="auto"/>
                      </w:rPr>
                    </m:ctrlPr>
                  </m:sSubPr>
                  <m:e>
                    <m:r>
                      <m:rPr/>
                      <w:rPr>
                        <w:rStyle w:val="83"/>
                        <w:rFonts w:ascii="Cambria Math" w:hAnsi="Cambria Math" w:cs="Times New Roman"/>
                        <w:color w:val="auto"/>
                      </w:rPr>
                      <m:t>f</m:t>
                    </m:r>
                    <m:ctrlPr>
                      <w:rPr>
                        <w:rStyle w:val="83"/>
                        <w:rFonts w:ascii="Cambria Math" w:hAnsi="Cambria Math" w:cs="Times New Roman"/>
                        <w:i/>
                        <w:iCs/>
                        <w:color w:val="auto"/>
                      </w:rPr>
                    </m:ctrlPr>
                  </m:e>
                  <m:sub>
                    <m:r>
                      <m:rPr/>
                      <w:rPr>
                        <w:rStyle w:val="83"/>
                        <w:rFonts w:ascii="Cambria Math" w:hAnsi="Cambria Math" w:cs="Times New Roman"/>
                        <w:color w:val="auto"/>
                      </w:rPr>
                      <m:t>y</m:t>
                    </m:r>
                    <m:ctrlPr>
                      <w:rPr>
                        <w:rStyle w:val="83"/>
                        <w:rFonts w:ascii="Cambria Math" w:hAnsi="Cambria Math" w:cs="Times New Roman"/>
                        <w:i/>
                        <w:iCs/>
                        <w:color w:val="auto"/>
                      </w:rPr>
                    </m:ctrlPr>
                  </m:sub>
                </m:sSub>
                <m:ctrlPr>
                  <w:rPr>
                    <w:rStyle w:val="83"/>
                    <w:rFonts w:ascii="Cambria Math" w:hAnsi="Cambria Math" w:cs="Times New Roman"/>
                    <w:color w:val="auto"/>
                  </w:rPr>
                </m:ctrlPr>
              </m:num>
              <m:den>
                <m:sSub>
                  <m:sSubPr>
                    <m:ctrlPr>
                      <w:rPr>
                        <w:rStyle w:val="83"/>
                        <w:rFonts w:ascii="Cambria Math" w:hAnsi="Cambria Math" w:cs="Times New Roman"/>
                        <w:color w:val="auto"/>
                      </w:rPr>
                    </m:ctrlPr>
                  </m:sSubPr>
                  <m:e>
                    <m:r>
                      <m:rPr/>
                      <w:rPr>
                        <w:rStyle w:val="83"/>
                        <w:rFonts w:ascii="Cambria Math" w:hAnsi="Cambria Math" w:cs="Times New Roman"/>
                        <w:color w:val="auto"/>
                      </w:rPr>
                      <m:t>α</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w:rPr>
                        <w:rStyle w:val="83"/>
                        <w:rFonts w:ascii="Cambria Math" w:hAnsi="Cambria Math" w:cs="Times New Roman"/>
                        <w:color w:val="auto"/>
                      </w:rPr>
                      <m:t>β</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r>
                  <m:rPr/>
                  <w:rPr>
                    <w:rStyle w:val="83"/>
                    <w:rFonts w:ascii="Cambria Math" w:hAnsi="Cambria Math" w:cs="Times New Roman"/>
                    <w:color w:val="auto"/>
                  </w:rPr>
                  <m:t>b</m:t>
                </m:r>
                <m:sSub>
                  <m:sSubPr>
                    <m:ctrlPr>
                      <w:rPr>
                        <w:rStyle w:val="83"/>
                        <w:rFonts w:ascii="Cambria Math" w:hAnsi="Cambria Math" w:cs="Times New Roman"/>
                        <w:color w:val="auto"/>
                      </w:rPr>
                    </m:ctrlPr>
                  </m:sSubPr>
                  <m:e>
                    <m:r>
                      <m:rPr/>
                      <w:rPr>
                        <w:rStyle w:val="83"/>
                        <w:rFonts w:ascii="Cambria Math" w:hAnsi="Cambria Math" w:cs="Times New Roman"/>
                        <w:color w:val="auto"/>
                      </w:rPr>
                      <m:t>f</m:t>
                    </m:r>
                    <m:ctrlPr>
                      <w:rPr>
                        <w:rStyle w:val="83"/>
                        <w:rFonts w:ascii="Cambria Math" w:hAnsi="Cambria Math" w:cs="Times New Roman"/>
                        <w:color w:val="auto"/>
                      </w:rPr>
                    </m:ctrlPr>
                  </m:e>
                  <m:sub>
                    <m:r>
                      <m:rPr/>
                      <w:rPr>
                        <w:rStyle w:val="83"/>
                        <w:rFonts w:ascii="Cambria Math" w:hAnsi="Cambria Math" w:cs="Times New Roman"/>
                        <w:color w:val="auto"/>
                      </w:rPr>
                      <m:t>c</m:t>
                    </m:r>
                    <m:ctrlPr>
                      <w:rPr>
                        <w:rStyle w:val="83"/>
                        <w:rFonts w:ascii="Cambria Math" w:hAnsi="Cambria Math" w:cs="Times New Roman"/>
                        <w:color w:val="auto"/>
                      </w:rPr>
                    </m:ctrlPr>
                  </m:sub>
                </m:sSub>
                <m:ctrlPr>
                  <w:rPr>
                    <w:rStyle w:val="83"/>
                    <w:rFonts w:ascii="Cambria Math" w:hAnsi="Cambria Math" w:cs="Times New Roman"/>
                    <w:color w:val="auto"/>
                  </w:rPr>
                </m:ctrlPr>
              </m:den>
            </m:f>
            <m:ctrlPr>
              <w:rPr>
                <w:rStyle w:val="83"/>
                <w:rFonts w:ascii="Cambria Math" w:hAnsi="Cambria Math" w:cs="Times New Roman"/>
                <w:color w:val="auto"/>
              </w:rPr>
            </m:ctrlPr>
          </m:e>
        </m:d>
      </m:oMath>
      <w:r>
        <w:rPr>
          <w:rStyle w:val="83"/>
          <w:rFonts w:cs="Times New Roman"/>
          <w:color w:val="auto"/>
        </w:rPr>
        <w:tab/>
      </w:r>
      <w:r>
        <w:t>（</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noBreakHyphen/>
      </w:r>
      <w:r>
        <w:t>7）</w:t>
      </w:r>
    </w:p>
    <w:p>
      <w:pPr>
        <w:pStyle w:val="86"/>
      </w:pPr>
      <w:r>
        <w:t>式中：</w:t>
      </w:r>
      <w: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m:t>
            </m:r>
            <m:ctrlPr>
              <w:rPr>
                <w:rFonts w:ascii="Cambria Math" w:hAnsi="Cambria Math"/>
                <w:i/>
                <w:iCs/>
              </w:rPr>
            </m:ctrlPr>
          </m:sub>
        </m:sSub>
      </m:oMath>
      <w:r>
        <w:t>——</w:t>
      </w:r>
      <w:r>
        <w:tab/>
      </w:r>
      <w:r>
        <w:t>梁端耗能钢筋无</w:t>
      </w:r>
      <w:r>
        <w:rPr>
          <w:rFonts w:hint="eastAsia"/>
        </w:rPr>
        <w:t>粘结</w:t>
      </w:r>
      <w:r>
        <w:t>长度（mm）；</w:t>
      </w:r>
    </w:p>
    <w:p>
      <w:pPr>
        <w:pStyle w:val="86"/>
      </w:pPr>
      <w:r>
        <w:tab/>
      </w:r>
      <m:oMath>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1</m:t>
            </m:r>
            <m:ctrlPr>
              <w:rPr>
                <w:rFonts w:ascii="Cambria Math" w:hAnsi="Cambria Math"/>
                <w:i/>
              </w:rPr>
            </m:ctrlPr>
          </m:sub>
        </m:sSub>
        <m:r>
          <m:rPr/>
          <w:rPr>
            <w:rFonts w:hint="eastAsia" w:ascii="Cambria Math" w:hAnsi="Cambria Math"/>
          </w:rPr>
          <m:t>、</m:t>
        </m:r>
        <m:sSub>
          <m:sSubPr>
            <m:ctrlPr>
              <w:rPr>
                <w:rFonts w:ascii="Cambria Math" w:hAnsi="Cambria Math"/>
                <w:i/>
              </w:rPr>
            </m:ctrlPr>
          </m:sSubPr>
          <m:e>
            <m:r>
              <m:rPr/>
              <w:rPr>
                <w:rFonts w:ascii="Cambria Math" w:hAnsi="Cambria Math"/>
              </w:rPr>
              <m:t>θ</m:t>
            </m:r>
            <m:ctrlPr>
              <w:rPr>
                <w:rFonts w:ascii="Cambria Math" w:hAnsi="Cambria Math"/>
                <w:i/>
              </w:rPr>
            </m:ctrlPr>
          </m:e>
          <m:sub>
            <m:r>
              <m:rPr/>
              <w:rPr>
                <w:rFonts w:ascii="Cambria Math" w:hAnsi="Cambria Math"/>
              </w:rPr>
              <m:t>2</m:t>
            </m:r>
            <m:ctrlPr>
              <w:rPr>
                <w:rFonts w:ascii="Cambria Math" w:hAnsi="Cambria Math"/>
                <w:i/>
              </w:rPr>
            </m:ctrlPr>
          </m:sub>
        </m:sSub>
      </m:oMath>
      <w:r>
        <w:t>——</w:t>
      </w:r>
      <w:r>
        <w:tab/>
      </w:r>
      <w:r>
        <w:rPr>
          <w:rFonts w:hint="eastAsia"/>
        </w:rPr>
        <w:t>柱两侧梁柱</w:t>
      </w:r>
      <w:r>
        <w:t>结合面</w:t>
      </w:r>
      <w:r>
        <w:rPr>
          <w:rFonts w:hint="eastAsia"/>
        </w:rPr>
        <w:t>张开</w:t>
      </w:r>
      <w:r>
        <w:t>角度（rad）；</w:t>
      </w:r>
    </w:p>
    <w:p>
      <w:pPr>
        <w:pStyle w:val="86"/>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s1</m:t>
            </m:r>
            <m:ctrlPr>
              <w:rPr>
                <w:rFonts w:ascii="Cambria Math" w:hAnsi="Cambria Math"/>
              </w:rPr>
            </m:ctrlPr>
          </m:sub>
        </m:sSub>
      </m:oMath>
      <w:r>
        <w:t>——</w:t>
      </w:r>
      <w:r>
        <w:tab/>
      </w:r>
      <w:r>
        <w:t>耗能钢筋伸长值（mm）；</w:t>
      </w:r>
    </w:p>
    <w:p>
      <w:pPr>
        <w:pStyle w:val="86"/>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pt1</m:t>
            </m:r>
            <m:ctrlPr>
              <w:rPr>
                <w:rFonts w:ascii="Cambria Math" w:hAnsi="Cambria Math"/>
              </w:rPr>
            </m:ctrlPr>
          </m:sub>
        </m:sSub>
        <m:r>
          <m:rPr/>
          <w:rPr>
            <w:rFonts w:hint="eastAsia" w:ascii="Cambria Math" w:hAnsi="Cambria Math"/>
          </w:rPr>
          <m:t>、</m:t>
        </m:r>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pt2</m:t>
            </m:r>
            <m:ctrlPr>
              <w:rPr>
                <w:rFonts w:ascii="Cambria Math" w:hAnsi="Cambria Math"/>
              </w:rPr>
            </m:ctrlPr>
          </m:sub>
        </m:sSub>
      </m:oMath>
      <w:r>
        <w:t>——</w:t>
      </w:r>
      <w:r>
        <w:tab/>
      </w:r>
      <w:r>
        <w:t>柱</w:t>
      </w:r>
      <w:r>
        <w:rPr>
          <w:rFonts w:hint="eastAsia"/>
        </w:rPr>
        <w:t>两侧</w:t>
      </w:r>
      <w:r>
        <w:t>预应力钢绞线伸长</w:t>
      </w:r>
      <w:r>
        <w:rPr>
          <w:rFonts w:hint="eastAsia"/>
        </w:rPr>
        <w:t>值</w:t>
      </w:r>
      <w:r>
        <w:t>（mm），边柱</w:t>
      </w:r>
      <w:r>
        <w:rPr>
          <w:rFonts w:hint="eastAsia"/>
        </w:rPr>
        <w:t>一侧</w:t>
      </w:r>
      <w:r>
        <w:t>取0；当</w:t>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pt1</m:t>
            </m:r>
            <m:ctrlPr>
              <w:rPr>
                <w:rFonts w:ascii="Cambria Math" w:hAnsi="Cambria Math"/>
              </w:rPr>
            </m:ctrlPr>
          </m:sub>
        </m:sSub>
      </m:oMath>
      <w:r>
        <w:rPr>
          <w:rFonts w:hint="eastAsia" w:hAnsi="Cambria Math"/>
        </w:rPr>
        <w:t>小于0时，</w:t>
      </w:r>
      <w:r>
        <w:t>取0；</w:t>
      </w:r>
    </w:p>
    <w:p>
      <w:pPr>
        <w:pStyle w:val="86"/>
      </w:pPr>
      <w:r>
        <w:tab/>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b</m:t>
            </m:r>
            <m:ctrlPr>
              <w:rPr>
                <w:rFonts w:ascii="Cambria Math" w:hAnsi="Cambria Math"/>
              </w:rPr>
            </m:ctrlPr>
          </m:sub>
        </m:sSub>
      </m:oMath>
      <w:r>
        <w:t>——</w:t>
      </w:r>
      <w:r>
        <w:tab/>
      </w:r>
      <w:r>
        <w:t>梁端耗能钢筋应变渗透系数，HRB400和HRB500钢筋分别取</w:t>
      </w:r>
      <w:r>
        <w:rPr>
          <w:rFonts w:hint="eastAsia"/>
        </w:rPr>
        <w:t>1</w:t>
      </w:r>
      <w:r>
        <w:t>.0和</w:t>
      </w:r>
      <w:r>
        <w:rPr>
          <w:rFonts w:hint="eastAsia"/>
        </w:rPr>
        <w:t>1.25</w:t>
      </w:r>
      <w:r>
        <w:t>；</w:t>
      </w:r>
    </w:p>
    <w:p>
      <w:pPr>
        <w:pStyle w:val="86"/>
      </w:pPr>
      <w:r>
        <w:rPr>
          <w:iCs/>
        </w:rP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ups</m:t>
            </m:r>
            <m:ctrlPr>
              <w:rPr>
                <w:rFonts w:ascii="Cambria Math" w:hAnsi="Cambria Math"/>
                <w:i/>
                <w:iCs/>
              </w:rPr>
            </m:ctrlPr>
          </m:sub>
        </m:sSub>
      </m:oMath>
      <w:r>
        <w:t>——</w:t>
      </w:r>
      <w:r>
        <w:tab/>
      </w:r>
      <w:r>
        <w:t>预应力钢绞线的无</w:t>
      </w:r>
      <w:r>
        <w:rPr>
          <w:rFonts w:hint="eastAsia"/>
        </w:rPr>
        <w:t>粘结</w:t>
      </w:r>
      <w:r>
        <w:t>长度（mm）</w:t>
      </w:r>
      <w:r>
        <w:rPr>
          <w:rFonts w:hint="eastAsia"/>
        </w:rPr>
        <w:t>，当一侧有粘结端时，尚应附加钢绞线应变渗透长度；当两侧均有粘结端时，应附加双倍钢绞线应变渗透长度；钢绞线应变渗透长度取单根钢绞线公称直径的20倍；</w:t>
      </w:r>
    </w:p>
    <w:p>
      <w:pPr>
        <w:pStyle w:val="86"/>
      </w:pPr>
      <w:r>
        <w:tab/>
      </w:r>
      <m:oMath>
        <m:sSub>
          <m:sSubPr>
            <m:ctrlPr>
              <w:rPr>
                <w:rFonts w:ascii="Cambria Math" w:hAnsi="Cambria Math"/>
                <w:i/>
                <w:iCs/>
              </w:rPr>
            </m:ctrlPr>
          </m:sSubPr>
          <m:e>
            <m:sSub>
              <m:sSubPr>
                <m:ctrlPr>
                  <w:rPr>
                    <w:rStyle w:val="83"/>
                    <w:rFonts w:ascii="Cambria Math" w:hAnsi="Cambria Math"/>
                    <w:i/>
                    <w:iCs/>
                    <w:color w:val="auto"/>
                  </w:rPr>
                </m:ctrlPr>
              </m:sSubPr>
              <m:e>
                <m:r>
                  <m:rPr/>
                  <w:rPr>
                    <w:rStyle w:val="83"/>
                    <w:rFonts w:ascii="Cambria Math" w:hAnsi="Cambria Math"/>
                    <w:color w:val="auto"/>
                  </w:rPr>
                  <m:t>α</m:t>
                </m:r>
                <m:ctrlPr>
                  <w:rPr>
                    <w:rStyle w:val="83"/>
                    <w:rFonts w:ascii="Cambria Math" w:hAnsi="Cambria Math"/>
                    <w:i/>
                    <w:iCs/>
                    <w:color w:val="auto"/>
                  </w:rPr>
                </m:ctrlPr>
              </m:e>
              <m:sub>
                <m:r>
                  <m:rPr/>
                  <w:rPr>
                    <w:rStyle w:val="83"/>
                    <w:rFonts w:ascii="Cambria Math" w:hAnsi="Cambria Math"/>
                    <w:color w:val="auto"/>
                  </w:rPr>
                  <m:t>1</m:t>
                </m:r>
                <m:ctrlPr>
                  <w:rPr>
                    <w:rStyle w:val="83"/>
                    <w:rFonts w:ascii="Cambria Math" w:hAnsi="Cambria Math"/>
                    <w:i/>
                    <w:iCs/>
                    <w:color w:val="auto"/>
                  </w:rPr>
                </m:ctrlPr>
              </m:sub>
            </m:sSub>
            <m:r>
              <m:rPr/>
              <w:rPr>
                <w:rFonts w:hint="eastAsia" w:ascii="Cambria Math" w:hAnsi="Cambria Math"/>
              </w:rPr>
              <m:t>、</m:t>
            </m:r>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w:t>
      </w:r>
      <w:r>
        <w:tab/>
      </w:r>
      <w:r>
        <w:t>受压区混凝土等效矩形应力图调整系数</w:t>
      </w:r>
      <w:r>
        <w:rPr>
          <w:rFonts w:hint="eastAsia"/>
        </w:rPr>
        <w:t>，</w:t>
      </w:r>
      <w:r>
        <w:t>混凝土强度等级不超过C50时，</w:t>
      </w:r>
      <m:oMath>
        <m:sSub>
          <m:sSubPr>
            <m:ctrlPr>
              <w:rPr>
                <w:rFonts w:ascii="Cambria Math" w:hAnsi="Cambria Math"/>
                <w:i/>
                <w:iCs/>
              </w:rPr>
            </m:ctrlPr>
          </m:sSubPr>
          <m:e>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取为0.80；混凝土强度等级为C80时，</w:t>
      </w:r>
      <m:oMath>
        <m:sSub>
          <m:sSubPr>
            <m:ctrlPr>
              <w:rPr>
                <w:rFonts w:ascii="Cambria Math" w:hAnsi="Cambria Math"/>
                <w:i/>
                <w:iCs/>
              </w:rPr>
            </m:ctrlPr>
          </m:sSubPr>
          <m:e>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取为0.74；其间按线性内插法确定；混凝土强度等级不超过C50时，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取为1.0</w:t>
      </w:r>
      <w:r>
        <w:rPr>
          <w:rFonts w:hint="eastAsia"/>
        </w:rPr>
        <w:t>0</w:t>
      </w:r>
      <w:r>
        <w:t>；混凝土强度等级为C80时，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取为0.94；其间按线性内插法确定；</w:t>
      </w:r>
    </w:p>
    <w:p>
      <w:pPr>
        <w:pStyle w:val="86"/>
      </w:pPr>
      <w:r>
        <w:tab/>
      </w:r>
      <m:oMath>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1</m:t>
            </m:r>
            <m:ctrlPr>
              <w:rPr>
                <w:rFonts w:ascii="Cambria Math" w:hAnsi="Cambria Math"/>
              </w:rPr>
            </m:ctrlPr>
          </m:sub>
        </m:sSub>
        <m:r>
          <m:rPr/>
          <w:rPr>
            <w:rFonts w:hint="eastAsia"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2</m:t>
            </m:r>
            <m:ctrlPr>
              <w:rPr>
                <w:rFonts w:ascii="Cambria Math" w:hAnsi="Cambria Math"/>
              </w:rPr>
            </m:ctrlPr>
          </m:sub>
        </m:sSub>
      </m:oMath>
      <w:r>
        <w:t>——</w:t>
      </w:r>
      <w:r>
        <w:tab/>
      </w:r>
      <w:r>
        <w:t>柱</w:t>
      </w:r>
      <w:r>
        <w:rPr>
          <w:rFonts w:hint="eastAsia"/>
        </w:rPr>
        <w:t>两侧</w:t>
      </w:r>
      <w:r>
        <w:t>梁截面受压区高度（mm）；</w:t>
      </w:r>
    </w:p>
    <w:p>
      <w:pPr>
        <w:pStyle w:val="86"/>
      </w:pPr>
      <w:r>
        <w:tab/>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w:rPr>
                <w:rFonts w:ascii="Cambria Math" w:hAnsi="Cambria Math"/>
              </w:rPr>
              <m:t>b</m:t>
            </m:r>
            <m:ctrlPr>
              <w:rPr>
                <w:rFonts w:ascii="Cambria Math" w:hAnsi="Cambria Math"/>
                <w:i/>
                <w:iCs/>
              </w:rPr>
            </m:ctrlPr>
          </m:sub>
        </m:sSub>
      </m:oMath>
      <w:r>
        <w:t>——</w:t>
      </w:r>
      <w:r>
        <w:tab/>
      </w:r>
      <w:r>
        <w:t>梁端耗能钢筋直径（mm）；</w:t>
      </w:r>
    </w:p>
    <w:p>
      <w:pPr>
        <w:pStyle w:val="86"/>
      </w:pPr>
      <w:r>
        <w:tab/>
      </w:r>
      <w:r>
        <w:rPr>
          <w:rFonts w:hint="eastAsia"/>
          <w:i/>
          <w:iCs/>
        </w:rPr>
        <w:t>h</w:t>
      </w:r>
      <w:r>
        <w:t>——</w:t>
      </w:r>
      <w:r>
        <w:tab/>
      </w:r>
      <w:r>
        <w:t>梁截面</w:t>
      </w:r>
      <w:r>
        <w:rPr>
          <w:rFonts w:hint="eastAsia"/>
        </w:rPr>
        <w:t>高度</w:t>
      </w:r>
      <w:r>
        <w:t>（mm）；</w:t>
      </w:r>
    </w:p>
    <w:p>
      <w:pPr>
        <w:pStyle w:val="86"/>
      </w:pPr>
      <w:r>
        <w:tab/>
      </w:r>
      <m:oMath>
        <m:sSub>
          <m:sSubPr>
            <m:ctrlPr>
              <w:rPr>
                <w:rFonts w:ascii="Cambria Math" w:hAnsi="Cambria Math"/>
                <w:i/>
                <w:iCs/>
              </w:rPr>
            </m:ctrlPr>
          </m:sSubPr>
          <m:e>
            <m:r>
              <m:rPr/>
              <w:rPr>
                <w:rFonts w:ascii="Cambria Math" w:hAnsi="Cambria Math" w:eastAsia="MS Gothic"/>
              </w:rPr>
              <m:t>ℎ</m:t>
            </m:r>
            <m:ctrlPr>
              <w:rPr>
                <w:rFonts w:ascii="Cambria Math" w:hAnsi="Cambria Math"/>
                <w:i/>
                <w:iCs/>
              </w:rPr>
            </m:ctrlPr>
          </m:e>
          <m:sub>
            <m:r>
              <m:rPr/>
              <w:rPr>
                <w:rFonts w:ascii="Cambria Math" w:hAnsi="Cambria Math"/>
              </w:rPr>
              <m:t>0</m:t>
            </m:r>
            <m:ctrlPr>
              <w:rPr>
                <w:rFonts w:ascii="Cambria Math" w:hAnsi="Cambria Math"/>
                <w:i/>
                <w:iCs/>
              </w:rPr>
            </m:ctrlPr>
          </m:sub>
        </m:sSub>
      </m:oMath>
      <w:r>
        <w:t>——</w:t>
      </w:r>
      <w:r>
        <w:tab/>
      </w:r>
      <w:r>
        <w:t>梁端耗能钢筋到梁截面底边缘的距离（mm）；</w:t>
      </w:r>
    </w:p>
    <w:p>
      <w:pPr>
        <w:pStyle w:val="86"/>
      </w:pPr>
      <w:r>
        <w:tab/>
      </w:r>
      <m:oMath>
        <m:sSub>
          <m:sSubPr>
            <m:ctrlPr>
              <w:rPr>
                <w:rFonts w:ascii="Cambria Math" w:hAnsi="Cambria Math"/>
                <w:i/>
                <w:iCs/>
              </w:rPr>
            </m:ctrlPr>
          </m:sSubPr>
          <m:e>
            <m:r>
              <m:rPr/>
              <w:rPr>
                <w:rFonts w:ascii="Cambria Math" w:hAnsi="Cambria Math"/>
              </w:rPr>
              <m:t>ℎ</m:t>
            </m:r>
            <m:ctrlPr>
              <w:rPr>
                <w:rFonts w:ascii="Cambria Math" w:hAnsi="Cambria Math"/>
                <w:i/>
                <w:iCs/>
              </w:rPr>
            </m:ctrlPr>
          </m:e>
          <m:sub>
            <m:r>
              <m:rPr/>
              <w:rPr>
                <w:rFonts w:ascii="Cambria Math" w:hAnsi="Cambria Math"/>
              </w:rPr>
              <m:t>p</m:t>
            </m:r>
            <m:ctrlPr>
              <w:rPr>
                <w:rFonts w:ascii="Cambria Math" w:hAnsi="Cambria Math"/>
                <w:i/>
                <w:iCs/>
              </w:rPr>
            </m:ctrlPr>
          </m:sub>
        </m:sSub>
      </m:oMath>
      <w:r>
        <w:t>——</w:t>
      </w:r>
      <w:r>
        <w:tab/>
      </w:r>
      <w:r>
        <w:t>预应力钢绞线到梁截面顶边缘的距离（mm）；</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s</m:t>
            </m:r>
            <m:ctrlPr>
              <w:rPr>
                <w:rFonts w:ascii="Cambria Math" w:hAnsi="Cambria Math"/>
                <w:i/>
                <w:iCs/>
              </w:rPr>
            </m:ctrlPr>
          </m:sub>
        </m:sSub>
      </m:oMath>
      <w:r>
        <w:t>——</w:t>
      </w:r>
      <w:r>
        <w:tab/>
      </w:r>
      <w:r>
        <w:t>耗能钢筋的应力（N/mm</w:t>
      </w:r>
      <w:r>
        <w:rPr>
          <w:vertAlign w:val="superscript"/>
        </w:rPr>
        <w:t>2</w:t>
      </w:r>
      <w:r>
        <w:t>），应按</w:t>
      </w:r>
      <w:r>
        <w:rPr>
          <w:rFonts w:hint="eastAsia"/>
        </w:rPr>
        <w:t>本规程第</w:t>
      </w:r>
      <w:r>
        <w:fldChar w:fldCharType="begin"/>
      </w:r>
      <w:r>
        <w:instrText xml:space="preserve"> REF _Ref77068657 \r \h </w:instrText>
      </w:r>
      <w:r>
        <w:fldChar w:fldCharType="separate"/>
      </w:r>
      <w:r>
        <w:t>A. 0. 3</w:t>
      </w:r>
      <w:r>
        <w:fldChar w:fldCharType="end"/>
      </w:r>
      <w:r>
        <w:t>条计算；</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p</m:t>
            </m:r>
            <m:ctrlPr>
              <w:rPr>
                <w:rFonts w:ascii="Cambria Math" w:hAnsi="Cambria Math"/>
                <w:i/>
                <w:iCs/>
              </w:rPr>
            </m:ctrlPr>
          </m:sub>
        </m:sSub>
      </m:oMath>
      <w:r>
        <w:t>——</w:t>
      </w:r>
      <w:r>
        <w:tab/>
      </w:r>
      <w:r>
        <w:t>预应力钢绞线的应力（N/mm</w:t>
      </w:r>
      <w:r>
        <w:rPr>
          <w:vertAlign w:val="superscript"/>
        </w:rPr>
        <w:t>2</w:t>
      </w:r>
      <w:r>
        <w:t>），应按本规程</w:t>
      </w:r>
      <w:r>
        <w:rPr>
          <w:rFonts w:hint="eastAsia"/>
        </w:rPr>
        <w:t>第</w:t>
      </w:r>
      <w:r>
        <w:fldChar w:fldCharType="begin"/>
      </w:r>
      <w:r>
        <w:instrText xml:space="preserve"> REF _Ref77068595 \r \h </w:instrText>
      </w:r>
      <w:r>
        <w:fldChar w:fldCharType="separate"/>
      </w:r>
      <w:r>
        <w:t>A. 0. 4</w:t>
      </w:r>
      <w:r>
        <w:fldChar w:fldCharType="end"/>
      </w:r>
      <w:r>
        <w:rPr>
          <w:rFonts w:hint="eastAsia"/>
        </w:rPr>
        <w:t>条</w:t>
      </w:r>
      <w:r>
        <w:t>计算</w:t>
      </w:r>
      <w:r>
        <w:rPr>
          <w:rFonts w:hint="eastAsia"/>
        </w:rPr>
        <w:t>。</w:t>
      </w:r>
    </w:p>
    <w:p>
      <w:pPr>
        <w:pStyle w:val="69"/>
      </w:pPr>
      <w:r>
        <w:drawing>
          <wp:inline distT="0" distB="0" distL="0" distR="0">
            <wp:extent cx="3195320" cy="1727200"/>
            <wp:effectExtent l="0" t="0" r="5080" b="6350"/>
            <wp:docPr id="101" name="图片 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3195320" cy="1727200"/>
                    </a:xfrm>
                    <a:prstGeom prst="rect">
                      <a:avLst/>
                    </a:prstGeom>
                    <a:noFill/>
                    <a:ln>
                      <a:noFill/>
                    </a:ln>
                  </pic:spPr>
                </pic:pic>
              </a:graphicData>
            </a:graphic>
          </wp:inline>
        </w:drawing>
      </w:r>
    </w:p>
    <w:p>
      <w:pPr>
        <w:pStyle w:val="69"/>
      </w:pPr>
      <w:r>
        <w:rPr>
          <w:rFonts w:hint="eastAsia"/>
        </w:rPr>
        <w:t>图</w:t>
      </w:r>
      <w:r>
        <w:fldChar w:fldCharType="begin"/>
      </w:r>
      <w:r>
        <w:instrText xml:space="preserve"> </w:instrText>
      </w:r>
      <w:r>
        <w:rPr>
          <w:rFonts w:hint="eastAsia"/>
        </w:rPr>
        <w:instrText xml:space="preserve">REF _Ref178582089 \r \h</w:instrText>
      </w:r>
      <w:r>
        <w:instrText xml:space="preserve"> </w:instrText>
      </w:r>
      <w:r>
        <w:fldChar w:fldCharType="separate"/>
      </w:r>
      <w:r>
        <w:t>A. 0. 1</w:t>
      </w:r>
      <w:r>
        <w:fldChar w:fldCharType="end"/>
      </w:r>
      <w:r>
        <w:t xml:space="preserve"> </w:t>
      </w:r>
      <w:r>
        <w:rPr>
          <w:rFonts w:hint="eastAsia"/>
        </w:rPr>
        <w:t>位移极限状态下梁板柱复合中节点</w:t>
      </w:r>
      <w:r>
        <w:t>变形</w:t>
      </w:r>
      <w:r>
        <w:rPr>
          <w:rFonts w:hint="eastAsia"/>
        </w:rPr>
        <w:t>示意</w:t>
      </w:r>
    </w:p>
    <w:p>
      <w:pPr>
        <w:pStyle w:val="69"/>
      </w:pPr>
      <w:r>
        <w:t>1—耗能钢筋；2—预应力钢绞线</w:t>
      </w:r>
    </w:p>
    <w:p>
      <w:pPr>
        <w:pStyle w:val="107"/>
      </w:pPr>
      <w:bookmarkStart w:id="518" w:name="_Ref167198128"/>
      <w:r>
        <w:rPr>
          <w:rFonts w:hint="eastAsia"/>
        </w:rPr>
        <w:t>位移极限状态下，自复位梁柱节点的</w:t>
      </w:r>
      <w:r>
        <w:t>耗能钢筋</w:t>
      </w:r>
      <w:r>
        <w:rPr>
          <w:rFonts w:hint="eastAsia"/>
        </w:rPr>
        <w:t>最大拉</w:t>
      </w:r>
      <w:r>
        <w:t>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s</m:t>
            </m:r>
            <m:ctrlPr>
              <w:rPr>
                <w:rFonts w:ascii="Cambria Math" w:hAnsi="Cambria Math"/>
              </w:rPr>
            </m:ctrlPr>
          </m:sub>
        </m:sSub>
      </m:oMath>
      <w:r>
        <w:t>和预应力钢绞线在梁柱结合面缝隙张开时的</w:t>
      </w:r>
      <w:r>
        <w:rPr>
          <w:rFonts w:hint="eastAsia"/>
        </w:rPr>
        <w:t>最大</w:t>
      </w:r>
      <w:r>
        <w:t>附加应变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pt</m:t>
            </m:r>
            <m:ctrlPr>
              <w:rPr>
                <w:rFonts w:ascii="Cambria Math" w:hAnsi="Cambria Math"/>
              </w:rPr>
            </m:ctrlPr>
          </m:sub>
        </m:sSub>
      </m:oMath>
      <w:r>
        <w:t>可按下式计算</w:t>
      </w:r>
      <w:r>
        <w:rPr>
          <w:rFonts w:hint="eastAsia"/>
        </w:rPr>
        <w:t>（图</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rPr>
          <w:rFonts w:hint="eastAsia"/>
        </w:rPr>
        <w:t>）：</w:t>
      </w:r>
      <w:bookmarkEnd w:id="518"/>
    </w:p>
    <w:p>
      <w:pPr>
        <w:pStyle w:val="85"/>
      </w:pPr>
      <w:r>
        <w:tab/>
      </w:r>
      <m:oMath>
        <m:sSub>
          <m:sSubPr>
            <m:ctrlPr>
              <w:rPr>
                <w:rFonts w:ascii="Cambria Math" w:hAnsi="Cambria Math"/>
              </w:rPr>
            </m:ctrlPr>
          </m:sSubPr>
          <m:e>
            <m:r>
              <m:rPr/>
              <w:rPr>
                <w:rFonts w:ascii="Cambria Math" w:hAnsi="Cambria Math"/>
              </w:rPr>
              <m:t>ε</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u</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b</m:t>
                </m:r>
                <m:ctrlPr>
                  <w:rPr>
                    <w:rFonts w:ascii="Cambria Math" w:hAnsi="Cambria Math"/>
                  </w:rPr>
                </m:ctrlPr>
              </m:sub>
            </m:sSub>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b</m:t>
                </m:r>
                <m:ctrlPr>
                  <w:rPr>
                    <w:rFonts w:ascii="Cambria Math" w:hAnsi="Cambria Math"/>
                  </w:rPr>
                </m:ctrlPr>
              </m:sub>
            </m:sSub>
            <m:ctrlPr>
              <w:rPr>
                <w:rFonts w:ascii="Cambria Math" w:hAnsi="Cambria Math"/>
              </w:rPr>
            </m:ctrlPr>
          </m:den>
        </m:f>
      </m:oMath>
      <w:r>
        <w:tab/>
      </w:r>
      <w:r>
        <w:t>（</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noBreakHyphen/>
      </w:r>
      <w:r>
        <w:t>1）</w:t>
      </w:r>
    </w:p>
    <w:p>
      <w:pPr>
        <w:pStyle w:val="85"/>
      </w:pPr>
      <w:r>
        <w:tab/>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pt</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hint="eastAsia" w:ascii="Cambria Math" w:hAnsi="Cambria Math"/>
              </w:rPr>
              <m:t>m</m:t>
            </m:r>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ups</m:t>
                </m:r>
                <m:ctrlPr>
                  <w:rPr>
                    <w:rFonts w:ascii="Cambria Math" w:hAnsi="Cambria Math"/>
                  </w:rPr>
                </m:ctrlPr>
              </m:sub>
            </m:sSub>
            <m:ctrlPr>
              <w:rPr>
                <w:rFonts w:ascii="Cambria Math" w:hAnsi="Cambria Math"/>
              </w:rPr>
            </m:ctrlPr>
          </m:den>
        </m:f>
      </m:oMath>
      <w:r>
        <w:tab/>
      </w:r>
      <w:r>
        <w:t>（</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noBreakHyphen/>
      </w:r>
      <w:r>
        <w:t>2）</w:t>
      </w:r>
    </w:p>
    <w:p>
      <w:pPr>
        <w:pStyle w:val="85"/>
        <w:rPr>
          <w:rFonts w:cs="Times New Roman"/>
        </w:rPr>
      </w:pPr>
      <w:r>
        <w:rPr>
          <w:rFonts w:cs="Times New Roman"/>
        </w:rPr>
        <w:tab/>
      </w:r>
      <m:oMath>
        <m:sSub>
          <m:sSubPr>
            <m:ctrlPr>
              <w:rPr>
                <w:rFonts w:ascii="Cambria Math" w:hAnsi="Cambria Math" w:cs="Times New Roman"/>
              </w:rPr>
            </m:ctrlPr>
          </m:sSubPr>
          <m:e>
            <m:r>
              <m:rPr>
                <m:sty m:val="p"/>
              </m:rPr>
              <w:rPr>
                <w:rFonts w:ascii="Cambria Math" w:hAnsi="Cambria Math" w:cs="Times New Roman"/>
              </w:rPr>
              <m:t>Δ</m:t>
            </m:r>
            <m:ctrlPr>
              <w:rPr>
                <w:rFonts w:ascii="Cambria Math" w:hAnsi="Cambria Math" w:cs="Times New Roman"/>
              </w:rPr>
            </m:ctrlPr>
          </m:e>
          <m:sub>
            <m:r>
              <m:rPr/>
              <w:rPr>
                <w:rFonts w:ascii="Cambria Math" w:hAnsi="Cambria Math" w:cs="Times New Roman"/>
              </w:rPr>
              <m:t>s</m:t>
            </m:r>
            <m:ctrlPr>
              <w:rPr>
                <w:rFonts w:ascii="Cambria Math" w:hAnsi="Cambria Math" w:cs="Times New Roman"/>
              </w:rPr>
            </m:ctrlPr>
          </m:sub>
        </m:sSub>
        <m:r>
          <m:rPr>
            <m:sty m:val="p"/>
          </m:rPr>
          <w:rPr>
            <w:rFonts w:ascii="Cambria Math" w:hAnsi="Cambria Math" w:cs="Times New Roman"/>
          </w:rPr>
          <m:t>=</m:t>
        </m:r>
        <m:r>
          <m:rPr/>
          <w:rPr>
            <w:rFonts w:ascii="Cambria Math" w:hAnsi="Cambria Math" w:cs="Times New Roman"/>
          </w:rPr>
          <m:t>θ</m:t>
        </m:r>
        <m:d>
          <m:dPr>
            <m:ctrlPr>
              <w:rPr>
                <w:rFonts w:ascii="Cambria Math" w:hAnsi="Cambria Math" w:cs="Times New Roman"/>
              </w:rPr>
            </m:ctrlPr>
          </m:dPr>
          <m:e>
            <m:sSub>
              <m:sSubPr>
                <m:ctrlPr>
                  <w:rPr>
                    <w:rFonts w:ascii="Cambria Math" w:hAnsi="Cambria Math" w:cs="Times New Roman"/>
                  </w:rPr>
                </m:ctrlPr>
              </m:sSubPr>
              <m:e>
                <m:r>
                  <m:rPr/>
                  <w:rPr>
                    <w:rFonts w:ascii="Cambria Math" w:hAnsi="Cambria Math" w:cs="Times New Roman"/>
                  </w:rPr>
                  <m:t>ℎ</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x</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ctrlPr>
              <w:rPr>
                <w:rFonts w:ascii="Cambria Math" w:hAnsi="Cambria Math" w:cs="Times New Roman"/>
              </w:rPr>
            </m:ctrlPr>
          </m:e>
        </m:d>
      </m:oMath>
      <w:r>
        <w:rPr>
          <w:rFonts w:cs="Times New Roman"/>
        </w:rPr>
        <w:tab/>
      </w:r>
      <w:r>
        <w:rPr>
          <w:rFonts w:cs="Times New Roman"/>
        </w:rPr>
        <w:t>（</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rPr>
          <w:rFonts w:cs="Times New Roman"/>
        </w:rPr>
        <w:noBreakHyphen/>
      </w:r>
      <w:r>
        <w:rPr>
          <w:rFonts w:cs="Times New Roman"/>
        </w:rPr>
        <w:t>3）</w:t>
      </w:r>
    </w:p>
    <w:p>
      <w:pPr>
        <w:pStyle w:val="85"/>
        <w:rPr>
          <w:rFonts w:cs="Times New Roman"/>
        </w:rPr>
      </w:pPr>
      <w:r>
        <w:rPr>
          <w:rFonts w:cs="Times New Roman"/>
        </w:rPr>
        <w:tab/>
      </w:r>
      <m:oMath>
        <m:sSub>
          <m:sSubPr>
            <m:ctrlPr>
              <w:rPr>
                <w:rFonts w:ascii="Cambria Math" w:hAnsi="Cambria Math" w:cs="Times New Roman"/>
              </w:rPr>
            </m:ctrlPr>
          </m:sSubPr>
          <m:e>
            <m:r>
              <m:rPr>
                <m:sty m:val="p"/>
              </m:rPr>
              <w:rPr>
                <w:rFonts w:ascii="Cambria Math" w:hAnsi="Cambria Math" w:cs="Times New Roman"/>
              </w:rPr>
              <m:t>Δ</m:t>
            </m:r>
            <m:ctrlPr>
              <w:rPr>
                <w:rFonts w:ascii="Cambria Math" w:hAnsi="Cambria Math" w:cs="Times New Roman"/>
              </w:rPr>
            </m:ctrlPr>
          </m:e>
          <m:sub>
            <m:r>
              <m:rPr/>
              <w:rPr>
                <w:rFonts w:ascii="Cambria Math" w:hAnsi="Cambria Math" w:cs="Times New Roman"/>
              </w:rPr>
              <m:t>pt</m:t>
            </m:r>
            <m:ctrlPr>
              <w:rPr>
                <w:rFonts w:ascii="Cambria Math" w:hAnsi="Cambria Math" w:cs="Times New Roman"/>
              </w:rPr>
            </m:ctrlPr>
          </m:sub>
        </m:sSub>
        <m:r>
          <m:rPr>
            <m:sty m:val="p"/>
          </m:rPr>
          <w:rPr>
            <w:rFonts w:ascii="Cambria Math" w:hAnsi="Cambria Math" w:cs="Times New Roman"/>
          </w:rPr>
          <m:t>=</m:t>
        </m:r>
        <m:r>
          <m:rPr/>
          <w:rPr>
            <w:rFonts w:ascii="Cambria Math" w:hAnsi="Cambria Math" w:cs="Times New Roman"/>
          </w:rPr>
          <m:t>θ</m:t>
        </m:r>
        <m:d>
          <m:dPr>
            <m:begChr m:val="["/>
            <m:endChr m:val="]"/>
            <m:ctrlPr>
              <w:rPr>
                <w:rFonts w:ascii="Cambria Math" w:hAnsi="Cambria Math" w:cs="Times New Roman"/>
              </w:rPr>
            </m:ctrlPr>
          </m:dPr>
          <m:e>
            <m:d>
              <m:dPr>
                <m:ctrlPr>
                  <w:rPr>
                    <w:rFonts w:ascii="Cambria Math" w:hAnsi="Cambria Math" w:cs="Times New Roman"/>
                  </w:rPr>
                </m:ctrlPr>
              </m:dPr>
              <m:e>
                <m:r>
                  <m:rPr/>
                  <w:rPr>
                    <w:rFonts w:ascii="Cambria Math" w:hAnsi="Cambria Math" w:cs="Times New Roman"/>
                  </w:rPr>
                  <m:t>ℎ</m:t>
                </m:r>
                <m:r>
                  <m:rPr>
                    <m:sty m:val="p"/>
                  </m:rPr>
                  <w:rPr>
                    <w:rFonts w:ascii="Cambria Math" w:hAnsi="Cambria Math" w:cs="Times New Roman"/>
                  </w:rPr>
                  <m:t>/2</m:t>
                </m:r>
                <m:ctrlPr>
                  <w:rPr>
                    <w:rFonts w:ascii="Cambria Math" w:hAnsi="Cambria Math" w:cs="Times New Roman"/>
                  </w:rPr>
                </m:ctrlPr>
              </m:e>
            </m:d>
            <m:r>
              <m:rPr>
                <m:sty m:val="p"/>
              </m:rPr>
              <w:rPr>
                <w:rFonts w:ascii="Cambria Math" w:hAnsi="Cambria Math" w:cs="Times New Roman"/>
              </w:rPr>
              <m:t>−</m:t>
            </m:r>
            <m:sSub>
              <m:sSubPr>
                <m:ctrlPr>
                  <w:rPr>
                    <w:rFonts w:ascii="Cambria Math" w:hAnsi="Cambria Math" w:cs="Times New Roman"/>
                  </w:rPr>
                </m:ctrlPr>
              </m:sSubPr>
              <m:e>
                <m:r>
                  <m:rPr/>
                  <w:rPr>
                    <w:rFonts w:ascii="Cambria Math" w:hAnsi="Cambria Math" w:cs="Times New Roman"/>
                  </w:rPr>
                  <m:t>x</m:t>
                </m:r>
                <m:ctrlPr>
                  <w:rPr>
                    <w:rFonts w:ascii="Cambria Math" w:hAnsi="Cambria Math" w:cs="Times New Roman"/>
                  </w:rPr>
                </m:ctrlPr>
              </m:e>
              <m:sub>
                <m:r>
                  <m:rPr>
                    <m:sty m:val="p"/>
                  </m:rPr>
                  <w:rPr>
                    <w:rFonts w:ascii="Cambria Math" w:hAnsi="Cambria Math" w:cs="Times New Roman"/>
                  </w:rPr>
                  <m:t>0</m:t>
                </m:r>
                <m:ctrlPr>
                  <w:rPr>
                    <w:rFonts w:ascii="Cambria Math" w:hAnsi="Cambria Math" w:cs="Times New Roman"/>
                  </w:rPr>
                </m:ctrlPr>
              </m:sub>
            </m:sSub>
            <m:ctrlPr>
              <w:rPr>
                <w:rFonts w:ascii="Cambria Math" w:hAnsi="Cambria Math" w:cs="Times New Roman"/>
              </w:rPr>
            </m:ctrlPr>
          </m:e>
        </m:d>
      </m:oMath>
      <w:r>
        <w:rPr>
          <w:rFonts w:cs="Times New Roman"/>
        </w:rPr>
        <w:tab/>
      </w:r>
      <w:r>
        <w:rPr>
          <w:rFonts w:cs="Times New Roman"/>
        </w:rPr>
        <w:t>（</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rPr>
          <w:rFonts w:cs="Times New Roman"/>
        </w:rPr>
        <w:noBreakHyphen/>
      </w:r>
      <w:r>
        <w:rPr>
          <w:rFonts w:cs="Times New Roman"/>
        </w:rPr>
        <w:t>4）</w:t>
      </w:r>
    </w:p>
    <w:p>
      <w:pPr>
        <w:pStyle w:val="85"/>
      </w:pPr>
      <w:r>
        <w:rPr>
          <w:rStyle w:val="83"/>
          <w:rFonts w:cs="Times New Roman"/>
          <w:color w:val="auto"/>
        </w:rPr>
        <w:tab/>
      </w:r>
      <m:oMath>
        <m:sSub>
          <m:sSubPr>
            <m:ctrlPr>
              <w:rPr>
                <w:rStyle w:val="83"/>
                <w:rFonts w:ascii="Cambria Math" w:hAnsi="Cambria Math" w:cs="Times New Roman"/>
                <w:color w:val="auto"/>
              </w:rPr>
            </m:ctrlPr>
          </m:sSubPr>
          <m:e>
            <m:r>
              <m:rPr/>
              <w:rPr>
                <w:rStyle w:val="83"/>
                <w:rFonts w:ascii="Cambria Math" w:hAnsi="Cambria Math" w:cs="Times New Roman"/>
                <w:color w:val="auto"/>
              </w:rPr>
              <m:t>x</m:t>
            </m:r>
            <m:ctrlPr>
              <w:rPr>
                <w:rStyle w:val="83"/>
                <w:rFonts w:ascii="Cambria Math" w:hAnsi="Cambria Math" w:cs="Times New Roman"/>
                <w:color w:val="auto"/>
              </w:rPr>
            </m:ctrlPr>
          </m:e>
          <m:sub>
            <m:r>
              <m:rPr>
                <m:sty m:val="p"/>
              </m:rPr>
              <w:rPr>
                <w:rStyle w:val="83"/>
                <w:rFonts w:ascii="Cambria Math" w:hAnsi="Cambria Math" w:cs="Times New Roman"/>
                <w:color w:val="auto"/>
              </w:rPr>
              <m:t>0</m:t>
            </m:r>
            <m:ctrlPr>
              <w:rPr>
                <w:rStyle w:val="83"/>
                <w:rFonts w:ascii="Cambria Math" w:hAnsi="Cambria Math" w:cs="Times New Roman"/>
                <w:color w:val="auto"/>
              </w:rPr>
            </m:ctrlPr>
          </m:sub>
        </m:sSub>
        <m:r>
          <m:rPr>
            <m:sty m:val="p"/>
          </m:rPr>
          <w:rPr>
            <w:rStyle w:val="83"/>
            <w:rFonts w:ascii="Cambria Math" w:hAnsi="Cambria Math" w:cs="Times New Roman"/>
            <w:color w:val="auto"/>
          </w:rPr>
          <m:t>=</m:t>
        </m:r>
        <m:d>
          <m:dPr>
            <m:begChr m:val="["/>
            <m:endChr m:val="]"/>
            <m:ctrlPr>
              <w:rPr>
                <w:rStyle w:val="83"/>
                <w:rFonts w:ascii="Cambria Math" w:hAnsi="Cambria Math" w:cs="Times New Roman"/>
                <w:color w:val="auto"/>
              </w:rPr>
            </m:ctrlPr>
          </m:dPr>
          <m:e>
            <m:f>
              <m:fPr>
                <m:ctrlPr>
                  <w:rPr>
                    <w:rStyle w:val="83"/>
                    <w:rFonts w:ascii="Cambria Math" w:hAnsi="Cambria Math" w:cs="Times New Roman"/>
                    <w:color w:val="auto"/>
                  </w:rPr>
                </m:ctrlPr>
              </m:fPr>
              <m:num>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m:sty m:val="p"/>
                      </m:rPr>
                      <w:rPr>
                        <w:rStyle w:val="83"/>
                        <w:rFonts w:ascii="Cambria Math" w:hAnsi="Cambria Math" w:cs="Times New Roman"/>
                        <w:color w:val="auto"/>
                      </w:rPr>
                      <m:t>σ</m:t>
                    </m:r>
                    <m:ctrlPr>
                      <w:rPr>
                        <w:rStyle w:val="83"/>
                        <w:rFonts w:ascii="Cambria Math" w:hAnsi="Cambria Math" w:cs="Times New Roman"/>
                        <w:color w:val="auto"/>
                      </w:rPr>
                    </m:ctrlPr>
                  </m:e>
                  <m:sub>
                    <m:r>
                      <m:rPr/>
                      <w:rPr>
                        <w:rStyle w:val="83"/>
                        <w:rFonts w:ascii="Cambria Math" w:hAnsi="Cambria Math" w:cs="Times New Roman"/>
                        <w:color w:val="auto"/>
                      </w:rPr>
                      <m:t>p</m:t>
                    </m:r>
                    <m:ctrlPr>
                      <w:rPr>
                        <w:rStyle w:val="83"/>
                        <w:rFonts w:ascii="Cambria Math" w:hAnsi="Cambria Math" w:cs="Times New Roman"/>
                        <w:color w:val="auto"/>
                      </w:rPr>
                    </m:ctrlPr>
                  </m:sub>
                </m:sSub>
                <m:r>
                  <m:rPr>
                    <m:sty m:val="p"/>
                  </m:rPr>
                  <w:rPr>
                    <w:rStyle w:val="83"/>
                    <w:rFonts w:ascii="Cambria Math" w:hAnsi="Cambria Math" w:cs="Times New Roman"/>
                    <w:color w:val="auto"/>
                  </w:rPr>
                  <m:t>+</m:t>
                </m:r>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m:sty m:val="p"/>
                      </m:rPr>
                      <w:rPr>
                        <w:rStyle w:val="83"/>
                        <w:rFonts w:ascii="Cambria Math" w:hAnsi="Cambria Math" w:cs="Times New Roman"/>
                        <w:color w:val="auto"/>
                      </w:rPr>
                      <m:t>σ</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r>
                  <m:rPr>
                    <m:sty m:val="p"/>
                  </m:rPr>
                  <w:rPr>
                    <w:rStyle w:val="83"/>
                    <w:rFonts w:ascii="Cambria Math" w:hAnsi="Cambria Math" w:cs="Times New Roman"/>
                    <w:color w:val="auto"/>
                  </w:rPr>
                  <m:t>−1.25</m:t>
                </m:r>
                <m:sSub>
                  <m:sSubPr>
                    <m:ctrlPr>
                      <w:rPr>
                        <w:rStyle w:val="83"/>
                        <w:rFonts w:ascii="Cambria Math" w:hAnsi="Cambria Math" w:cs="Times New Roman"/>
                        <w:color w:val="auto"/>
                      </w:rPr>
                    </m:ctrlPr>
                  </m:sSubPr>
                  <m:e>
                    <m:r>
                      <m:rPr/>
                      <w:rPr>
                        <w:rStyle w:val="83"/>
                        <w:rFonts w:ascii="Cambria Math" w:hAnsi="Cambria Math" w:cs="Times New Roman"/>
                        <w:color w:val="auto"/>
                      </w:rPr>
                      <m:t>A</m:t>
                    </m:r>
                    <m:ctrlPr>
                      <w:rPr>
                        <w:rStyle w:val="83"/>
                        <w:rFonts w:ascii="Cambria Math" w:hAnsi="Cambria Math" w:cs="Times New Roman"/>
                        <w:color w:val="auto"/>
                      </w:rPr>
                    </m:ctrlPr>
                  </m:e>
                  <m:sub>
                    <m:r>
                      <m:rPr/>
                      <w:rPr>
                        <w:rStyle w:val="83"/>
                        <w:rFonts w:ascii="Cambria Math" w:hAnsi="Cambria Math" w:cs="Times New Roman"/>
                        <w:color w:val="auto"/>
                      </w:rPr>
                      <m:t>s</m:t>
                    </m:r>
                    <m:ctrlPr>
                      <w:rPr>
                        <w:rStyle w:val="83"/>
                        <w:rFonts w:ascii="Cambria Math" w:hAnsi="Cambria Math" w:cs="Times New Roman"/>
                        <w:color w:val="auto"/>
                      </w:rPr>
                    </m:ctrlPr>
                  </m:sub>
                </m:sSub>
                <m:sSub>
                  <m:sSubPr>
                    <m:ctrlPr>
                      <w:rPr>
                        <w:rStyle w:val="83"/>
                        <w:rFonts w:ascii="Cambria Math" w:hAnsi="Cambria Math" w:cs="Times New Roman"/>
                        <w:i/>
                        <w:iCs/>
                        <w:color w:val="auto"/>
                      </w:rPr>
                    </m:ctrlPr>
                  </m:sSubPr>
                  <m:e>
                    <m:r>
                      <m:rPr/>
                      <w:rPr>
                        <w:rStyle w:val="83"/>
                        <w:rFonts w:ascii="Cambria Math" w:hAnsi="Cambria Math" w:cs="Times New Roman"/>
                        <w:color w:val="auto"/>
                      </w:rPr>
                      <m:t>f</m:t>
                    </m:r>
                    <m:ctrlPr>
                      <w:rPr>
                        <w:rStyle w:val="83"/>
                        <w:rFonts w:ascii="Cambria Math" w:hAnsi="Cambria Math" w:cs="Times New Roman"/>
                        <w:i/>
                        <w:iCs/>
                        <w:color w:val="auto"/>
                      </w:rPr>
                    </m:ctrlPr>
                  </m:e>
                  <m:sub>
                    <m:r>
                      <m:rPr/>
                      <w:rPr>
                        <w:rStyle w:val="83"/>
                        <w:rFonts w:ascii="Cambria Math" w:hAnsi="Cambria Math" w:cs="Times New Roman"/>
                        <w:color w:val="auto"/>
                      </w:rPr>
                      <m:t>y</m:t>
                    </m:r>
                    <m:ctrlPr>
                      <w:rPr>
                        <w:rStyle w:val="83"/>
                        <w:rFonts w:ascii="Cambria Math" w:hAnsi="Cambria Math" w:cs="Times New Roman"/>
                        <w:i/>
                        <w:iCs/>
                        <w:color w:val="auto"/>
                      </w:rPr>
                    </m:ctrlPr>
                  </m:sub>
                </m:sSub>
                <m:ctrlPr>
                  <w:rPr>
                    <w:rStyle w:val="83"/>
                    <w:rFonts w:ascii="Cambria Math" w:hAnsi="Cambria Math" w:cs="Times New Roman"/>
                    <w:color w:val="auto"/>
                  </w:rPr>
                </m:ctrlPr>
              </m:num>
              <m:den>
                <m:sSub>
                  <m:sSubPr>
                    <m:ctrlPr>
                      <w:rPr>
                        <w:rStyle w:val="83"/>
                        <w:rFonts w:ascii="Cambria Math" w:hAnsi="Cambria Math" w:cs="Times New Roman"/>
                        <w:color w:val="auto"/>
                      </w:rPr>
                    </m:ctrlPr>
                  </m:sSubPr>
                  <m:e>
                    <m:r>
                      <m:rPr/>
                      <w:rPr>
                        <w:rStyle w:val="83"/>
                        <w:rFonts w:ascii="Cambria Math" w:hAnsi="Cambria Math" w:cs="Times New Roman"/>
                        <w:color w:val="auto"/>
                      </w:rPr>
                      <m:t>α</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sSub>
                  <m:sSubPr>
                    <m:ctrlPr>
                      <w:rPr>
                        <w:rStyle w:val="83"/>
                        <w:rFonts w:ascii="Cambria Math" w:hAnsi="Cambria Math" w:cs="Times New Roman"/>
                        <w:color w:val="auto"/>
                      </w:rPr>
                    </m:ctrlPr>
                  </m:sSubPr>
                  <m:e>
                    <m:r>
                      <m:rPr/>
                      <w:rPr>
                        <w:rStyle w:val="83"/>
                        <w:rFonts w:ascii="Cambria Math" w:hAnsi="Cambria Math" w:cs="Times New Roman"/>
                        <w:color w:val="auto"/>
                      </w:rPr>
                      <m:t>β</m:t>
                    </m:r>
                    <m:ctrlPr>
                      <w:rPr>
                        <w:rStyle w:val="83"/>
                        <w:rFonts w:ascii="Cambria Math" w:hAnsi="Cambria Math" w:cs="Times New Roman"/>
                        <w:color w:val="auto"/>
                      </w:rPr>
                    </m:ctrlPr>
                  </m:e>
                  <m:sub>
                    <m:r>
                      <m:rPr/>
                      <w:rPr>
                        <w:rStyle w:val="83"/>
                        <w:rFonts w:ascii="Cambria Math" w:hAnsi="Cambria Math" w:cs="Times New Roman"/>
                        <w:color w:val="auto"/>
                      </w:rPr>
                      <m:t>1</m:t>
                    </m:r>
                    <m:ctrlPr>
                      <w:rPr>
                        <w:rStyle w:val="83"/>
                        <w:rFonts w:ascii="Cambria Math" w:hAnsi="Cambria Math" w:cs="Times New Roman"/>
                        <w:color w:val="auto"/>
                      </w:rPr>
                    </m:ctrlPr>
                  </m:sub>
                </m:sSub>
                <m:r>
                  <m:rPr/>
                  <w:rPr>
                    <w:rStyle w:val="83"/>
                    <w:rFonts w:ascii="Cambria Math" w:hAnsi="Cambria Math" w:cs="Times New Roman"/>
                    <w:color w:val="auto"/>
                  </w:rPr>
                  <m:t>δb</m:t>
                </m:r>
                <m:sSub>
                  <m:sSubPr>
                    <m:ctrlPr>
                      <w:rPr>
                        <w:rStyle w:val="83"/>
                        <w:rFonts w:ascii="Cambria Math" w:hAnsi="Cambria Math" w:cs="Times New Roman"/>
                        <w:color w:val="auto"/>
                      </w:rPr>
                    </m:ctrlPr>
                  </m:sSubPr>
                  <m:e>
                    <m:r>
                      <m:rPr/>
                      <w:rPr>
                        <w:rStyle w:val="83"/>
                        <w:rFonts w:ascii="Cambria Math" w:hAnsi="Cambria Math" w:cs="Times New Roman"/>
                        <w:color w:val="auto"/>
                      </w:rPr>
                      <m:t>f</m:t>
                    </m:r>
                    <m:ctrlPr>
                      <w:rPr>
                        <w:rStyle w:val="83"/>
                        <w:rFonts w:ascii="Cambria Math" w:hAnsi="Cambria Math" w:cs="Times New Roman"/>
                        <w:color w:val="auto"/>
                      </w:rPr>
                    </m:ctrlPr>
                  </m:e>
                  <m:sub>
                    <m:r>
                      <m:rPr/>
                      <w:rPr>
                        <w:rStyle w:val="83"/>
                        <w:rFonts w:ascii="Cambria Math" w:hAnsi="Cambria Math" w:cs="Times New Roman"/>
                        <w:color w:val="auto"/>
                      </w:rPr>
                      <m:t>c</m:t>
                    </m:r>
                    <m:ctrlPr>
                      <w:rPr>
                        <w:rStyle w:val="83"/>
                        <w:rFonts w:ascii="Cambria Math" w:hAnsi="Cambria Math" w:cs="Times New Roman"/>
                        <w:color w:val="auto"/>
                      </w:rPr>
                    </m:ctrlPr>
                  </m:sub>
                </m:sSub>
                <m:ctrlPr>
                  <w:rPr>
                    <w:rStyle w:val="83"/>
                    <w:rFonts w:ascii="Cambria Math" w:hAnsi="Cambria Math" w:cs="Times New Roman"/>
                    <w:color w:val="auto"/>
                  </w:rPr>
                </m:ctrlPr>
              </m:den>
            </m:f>
            <m:ctrlPr>
              <w:rPr>
                <w:rStyle w:val="83"/>
                <w:rFonts w:ascii="Cambria Math" w:hAnsi="Cambria Math" w:cs="Times New Roman"/>
                <w:color w:val="auto"/>
              </w:rPr>
            </m:ctrlPr>
          </m:e>
        </m:d>
      </m:oMath>
      <w:r>
        <w:rPr>
          <w:rStyle w:val="83"/>
          <w:rFonts w:cs="Times New Roman"/>
          <w:color w:val="auto"/>
        </w:rPr>
        <w:tab/>
      </w:r>
      <w:r>
        <w:t>（</w:t>
      </w:r>
      <w:r>
        <w:fldChar w:fldCharType="begin"/>
      </w:r>
      <w:r>
        <w:instrText xml:space="preserve"> </w:instrText>
      </w:r>
      <w:r>
        <w:rPr>
          <w:rFonts w:hint="eastAsia"/>
        </w:rPr>
        <w:instrText xml:space="preserve">REF _Ref167198128 \r \h</w:instrText>
      </w:r>
      <w:r>
        <w:instrText xml:space="preserve"> </w:instrText>
      </w:r>
      <w:r>
        <w:fldChar w:fldCharType="separate"/>
      </w:r>
      <w:r>
        <w:t>A. 0. 2</w:t>
      </w:r>
      <w:r>
        <w:fldChar w:fldCharType="end"/>
      </w:r>
      <w:r>
        <w:noBreakHyphen/>
      </w:r>
      <w:r>
        <w:t>5）</w:t>
      </w:r>
    </w:p>
    <w:p>
      <w:pPr>
        <w:pStyle w:val="86"/>
      </w:pPr>
      <w:r>
        <w:t>式中：</w:t>
      </w:r>
      <w: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m:t>
            </m:r>
            <m:ctrlPr>
              <w:rPr>
                <w:rFonts w:ascii="Cambria Math" w:hAnsi="Cambria Math"/>
                <w:i/>
                <w:iCs/>
              </w:rPr>
            </m:ctrlPr>
          </m:sub>
        </m:sSub>
      </m:oMath>
      <w:r>
        <w:t>——</w:t>
      </w:r>
      <w:r>
        <w:tab/>
      </w:r>
      <w:r>
        <w:t>耗能钢筋无</w:t>
      </w:r>
      <w:r>
        <w:rPr>
          <w:rFonts w:hint="eastAsia"/>
        </w:rPr>
        <w:t>粘结</w:t>
      </w:r>
      <w:r>
        <w:t>长度（mm）；</w:t>
      </w:r>
    </w:p>
    <w:p>
      <w:pPr>
        <w:pStyle w:val="86"/>
      </w:pPr>
      <w:r>
        <w:tab/>
      </w:r>
      <m:oMath>
        <m:r>
          <m:rPr/>
          <w:rPr>
            <w:rFonts w:ascii="Cambria Math" w:hAnsi="Cambria Math"/>
          </w:rPr>
          <m:t>θ</m:t>
        </m:r>
      </m:oMath>
      <w:r>
        <w:t>——</w:t>
      </w:r>
      <w:r>
        <w:tab/>
      </w:r>
      <w:r>
        <w:rPr>
          <w:rFonts w:hint="eastAsia"/>
        </w:rPr>
        <w:t>梁柱</w:t>
      </w:r>
      <w:r>
        <w:t>结合面</w:t>
      </w:r>
      <w:r>
        <w:rPr>
          <w:rFonts w:hint="eastAsia"/>
        </w:rPr>
        <w:t>转动</w:t>
      </w:r>
      <w:r>
        <w:t>角度（rad）；</w:t>
      </w:r>
    </w:p>
    <w:p>
      <w:pPr>
        <w:pStyle w:val="86"/>
      </w:pPr>
      <w:r>
        <w:tab/>
      </w:r>
      <m:oMath>
        <m:r>
          <m:rPr/>
          <w:rPr>
            <w:rFonts w:hint="eastAsia" w:ascii="Cambria Math" w:hAnsi="Cambria Math"/>
          </w:rPr>
          <m:t>m</m:t>
        </m:r>
      </m:oMath>
      <w:r>
        <w:t>——</w:t>
      </w:r>
      <w:r>
        <w:tab/>
      </w:r>
      <w:r>
        <w:rPr>
          <w:rFonts w:hint="eastAsia"/>
        </w:rPr>
        <w:t>沿梁方向无粘结预应力筋长度范围内梁柱结合面开合缝隙数量</w:t>
      </w:r>
      <w:r>
        <w:t>；</w:t>
      </w:r>
    </w:p>
    <w:p>
      <w:pPr>
        <w:pStyle w:val="86"/>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s</m:t>
            </m:r>
            <m:ctrlPr>
              <w:rPr>
                <w:rFonts w:ascii="Cambria Math" w:hAnsi="Cambria Math"/>
              </w:rPr>
            </m:ctrlPr>
          </m:sub>
        </m:sSub>
      </m:oMath>
      <w:r>
        <w:t>——</w:t>
      </w:r>
      <w:r>
        <w:tab/>
      </w:r>
      <w:r>
        <w:t>耗能钢筋伸长值（mm）；</w:t>
      </w:r>
    </w:p>
    <w:p>
      <w:pPr>
        <w:pStyle w:val="86"/>
      </w:pPr>
      <w:r>
        <w:tab/>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w:rPr>
                <w:rFonts w:ascii="Cambria Math" w:hAnsi="Cambria Math"/>
              </w:rPr>
              <m:t>pt</m:t>
            </m:r>
            <m:ctrlPr>
              <w:rPr>
                <w:rFonts w:ascii="Cambria Math" w:hAnsi="Cambria Math"/>
              </w:rPr>
            </m:ctrlPr>
          </m:sub>
        </m:sSub>
      </m:oMath>
      <w:r>
        <w:t>——</w:t>
      </w:r>
      <w:r>
        <w:tab/>
      </w:r>
      <w:r>
        <w:t>预应力</w:t>
      </w:r>
      <w:r>
        <w:rPr>
          <w:rFonts w:hint="eastAsia"/>
        </w:rPr>
        <w:t>筋</w:t>
      </w:r>
      <w:r>
        <w:t>伸长</w:t>
      </w:r>
      <w:r>
        <w:rPr>
          <w:rFonts w:hint="eastAsia"/>
        </w:rPr>
        <w:t>值</w:t>
      </w:r>
      <w:r>
        <w:t>（mm）</w:t>
      </w:r>
      <w:r>
        <w:rPr>
          <w:rFonts w:hint="eastAsia"/>
        </w:rPr>
        <w:t>，</w:t>
      </w:r>
      <w:r>
        <w:t>当</w:t>
      </w:r>
      <w:r>
        <w:rPr>
          <w:rFonts w:hint="eastAsia" w:hAnsi="Cambria Math"/>
        </w:rPr>
        <w:t>小于0时，</w:t>
      </w:r>
      <w:r>
        <w:t>取0；</w:t>
      </w:r>
    </w:p>
    <w:p>
      <w:pPr>
        <w:pStyle w:val="86"/>
      </w:pPr>
      <w:r>
        <w:tab/>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b</m:t>
            </m:r>
            <m:ctrlPr>
              <w:rPr>
                <w:rFonts w:ascii="Cambria Math" w:hAnsi="Cambria Math"/>
              </w:rPr>
            </m:ctrlPr>
          </m:sub>
        </m:sSub>
      </m:oMath>
      <w:r>
        <w:t>——</w:t>
      </w:r>
      <w:r>
        <w:tab/>
      </w:r>
      <w:r>
        <w:t>耗能钢筋应变渗透系数，HRB400和HRB500钢筋分别取</w:t>
      </w:r>
      <w:r>
        <w:rPr>
          <w:rFonts w:hint="eastAsia"/>
        </w:rPr>
        <w:t>4</w:t>
      </w:r>
      <w:r>
        <w:t>.0和5.0；</w:t>
      </w:r>
    </w:p>
    <w:p>
      <w:pPr>
        <w:pStyle w:val="86"/>
      </w:pPr>
      <w:r>
        <w:rPr>
          <w:iCs/>
        </w:rPr>
        <w:tab/>
      </w:r>
      <m:oMath>
        <m:sSub>
          <m:sSubPr>
            <m:ctrlPr>
              <w:rPr>
                <w:rFonts w:ascii="Cambria Math" w:hAnsi="Cambria Math"/>
                <w:i/>
                <w:iCs/>
              </w:rPr>
            </m:ctrlPr>
          </m:sSubPr>
          <m:e>
            <m:r>
              <m:rPr/>
              <w:rPr>
                <w:rFonts w:ascii="Cambria Math" w:hAnsi="Cambria Math"/>
              </w:rPr>
              <m:t>L</m:t>
            </m:r>
            <m:ctrlPr>
              <w:rPr>
                <w:rFonts w:ascii="Cambria Math" w:hAnsi="Cambria Math"/>
                <w:i/>
                <w:iCs/>
              </w:rPr>
            </m:ctrlPr>
          </m:e>
          <m:sub>
            <m:r>
              <m:rPr/>
              <w:rPr>
                <w:rFonts w:ascii="Cambria Math" w:hAnsi="Cambria Math"/>
              </w:rPr>
              <m:t>ups</m:t>
            </m:r>
            <m:ctrlPr>
              <w:rPr>
                <w:rFonts w:ascii="Cambria Math" w:hAnsi="Cambria Math"/>
                <w:i/>
                <w:iCs/>
              </w:rPr>
            </m:ctrlPr>
          </m:sub>
        </m:sSub>
      </m:oMath>
      <w:r>
        <w:t>——</w:t>
      </w:r>
      <w:r>
        <w:tab/>
      </w:r>
      <w:r>
        <w:t>预应力钢绞线的无</w:t>
      </w:r>
      <w:r>
        <w:rPr>
          <w:rFonts w:hint="eastAsia"/>
        </w:rPr>
        <w:t>粘结</w:t>
      </w:r>
      <w:r>
        <w:t>长度（mm）</w:t>
      </w:r>
      <w:r>
        <w:rPr>
          <w:rFonts w:hint="eastAsia"/>
        </w:rPr>
        <w:t>，当一侧有粘结端时，尚应附加钢绞线应变渗透长度；当两侧均有粘结端时，应附加双倍钢绞线应变渗透长度；钢绞线应变渗透长度取单根钢绞线公称直径的20倍；</w:t>
      </w:r>
    </w:p>
    <w:p>
      <w:pPr>
        <w:pStyle w:val="86"/>
      </w:pPr>
      <w:r>
        <w:tab/>
      </w:r>
      <m:oMath>
        <m:sSub>
          <m:sSubPr>
            <m:ctrlPr>
              <w:rPr>
                <w:rFonts w:ascii="Cambria Math" w:hAnsi="Cambria Math"/>
                <w:i/>
                <w:iCs/>
              </w:rPr>
            </m:ctrlPr>
          </m:sSubPr>
          <m:e>
            <m:sSub>
              <m:sSubPr>
                <m:ctrlPr>
                  <w:rPr>
                    <w:rStyle w:val="83"/>
                    <w:rFonts w:ascii="Cambria Math" w:hAnsi="Cambria Math"/>
                    <w:i/>
                    <w:iCs/>
                    <w:color w:val="auto"/>
                  </w:rPr>
                </m:ctrlPr>
              </m:sSubPr>
              <m:e>
                <m:r>
                  <m:rPr/>
                  <w:rPr>
                    <w:rStyle w:val="83"/>
                    <w:rFonts w:ascii="Cambria Math" w:hAnsi="Cambria Math"/>
                    <w:color w:val="auto"/>
                  </w:rPr>
                  <m:t>α</m:t>
                </m:r>
                <m:ctrlPr>
                  <w:rPr>
                    <w:rStyle w:val="83"/>
                    <w:rFonts w:ascii="Cambria Math" w:hAnsi="Cambria Math"/>
                    <w:i/>
                    <w:iCs/>
                    <w:color w:val="auto"/>
                  </w:rPr>
                </m:ctrlPr>
              </m:e>
              <m:sub>
                <m:r>
                  <m:rPr/>
                  <w:rPr>
                    <w:rStyle w:val="83"/>
                    <w:rFonts w:ascii="Cambria Math" w:hAnsi="Cambria Math"/>
                    <w:color w:val="auto"/>
                  </w:rPr>
                  <m:t>1</m:t>
                </m:r>
                <m:ctrlPr>
                  <w:rPr>
                    <w:rStyle w:val="83"/>
                    <w:rFonts w:ascii="Cambria Math" w:hAnsi="Cambria Math"/>
                    <w:i/>
                    <w:iCs/>
                    <w:color w:val="auto"/>
                  </w:rPr>
                </m:ctrlPr>
              </m:sub>
            </m:sSub>
            <m:r>
              <m:rPr/>
              <w:rPr>
                <w:rFonts w:hint="eastAsia" w:ascii="Cambria Math" w:hAnsi="Cambria Math"/>
              </w:rPr>
              <m:t>、</m:t>
            </m:r>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w:t>
      </w:r>
      <w:r>
        <w:tab/>
      </w:r>
      <w:r>
        <w:t>受压区混凝土等效矩形应力图调整系数</w:t>
      </w:r>
      <w:r>
        <w:rPr>
          <w:rFonts w:hint="eastAsia"/>
        </w:rPr>
        <w:t>，</w:t>
      </w:r>
      <w:r>
        <w:t>混凝土强度等级不超过C50时，</w:t>
      </w:r>
      <m:oMath>
        <m:sSub>
          <m:sSubPr>
            <m:ctrlPr>
              <w:rPr>
                <w:rFonts w:ascii="Cambria Math" w:hAnsi="Cambria Math"/>
                <w:i/>
                <w:iCs/>
              </w:rPr>
            </m:ctrlPr>
          </m:sSubPr>
          <m:e>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取为0.80；混凝土强度等级为C80时，</w:t>
      </w:r>
      <m:oMath>
        <m:sSub>
          <m:sSubPr>
            <m:ctrlPr>
              <w:rPr>
                <w:rFonts w:ascii="Cambria Math" w:hAnsi="Cambria Math"/>
                <w:i/>
                <w:iCs/>
              </w:rPr>
            </m:ctrlPr>
          </m:sSubPr>
          <m:e>
            <m:r>
              <m:rPr/>
              <w:rPr>
                <w:rFonts w:ascii="Cambria Math" w:hAnsi="Cambria Math"/>
              </w:rPr>
              <m:t>β</m:t>
            </m:r>
            <m:ctrlPr>
              <w:rPr>
                <w:rFonts w:ascii="Cambria Math" w:hAnsi="Cambria Math"/>
                <w:i/>
                <w:iCs/>
              </w:rPr>
            </m:ctrlPr>
          </m:e>
          <m:sub>
            <m:r>
              <m:rPr/>
              <w:rPr>
                <w:rFonts w:ascii="Cambria Math" w:hAnsi="Cambria Math"/>
              </w:rPr>
              <m:t>1</m:t>
            </m:r>
            <m:ctrlPr>
              <w:rPr>
                <w:rFonts w:ascii="Cambria Math" w:hAnsi="Cambria Math"/>
                <w:i/>
                <w:iCs/>
              </w:rPr>
            </m:ctrlPr>
          </m:sub>
        </m:sSub>
      </m:oMath>
      <w:r>
        <w:t>取为0.74；其间按线性内插法确定；混凝土强度等级不超过C50时，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取为1.0</w:t>
      </w:r>
      <w:r>
        <w:rPr>
          <w:rFonts w:hint="eastAsia"/>
        </w:rPr>
        <w:t>0</w:t>
      </w:r>
      <w:r>
        <w:t>；混凝土强度等级为C80时，</w:t>
      </w:r>
      <m:oMath>
        <m:sSub>
          <m:sSubPr>
            <m:ctrlPr>
              <w:rPr>
                <w:rStyle w:val="83"/>
                <w:rFonts w:ascii="Cambria Math" w:hAnsi="Cambria Math"/>
                <w:color w:val="auto"/>
              </w:rPr>
            </m:ctrlPr>
          </m:sSubPr>
          <m:e>
            <m:r>
              <m:rPr/>
              <w:rPr>
                <w:rStyle w:val="83"/>
                <w:rFonts w:ascii="Cambria Math" w:hAnsi="Cambria Math"/>
                <w:color w:val="auto"/>
              </w:rPr>
              <m:t>α</m:t>
            </m:r>
            <m:ctrlPr>
              <w:rPr>
                <w:rStyle w:val="83"/>
                <w:rFonts w:ascii="Cambria Math" w:hAnsi="Cambria Math"/>
                <w:color w:val="auto"/>
              </w:rPr>
            </m:ctrlPr>
          </m:e>
          <m:sub>
            <m:r>
              <m:rPr/>
              <w:rPr>
                <w:rStyle w:val="83"/>
                <w:rFonts w:ascii="Cambria Math" w:hAnsi="Cambria Math"/>
                <w:color w:val="auto"/>
              </w:rPr>
              <m:t>1</m:t>
            </m:r>
            <m:ctrlPr>
              <w:rPr>
                <w:rStyle w:val="83"/>
                <w:rFonts w:ascii="Cambria Math" w:hAnsi="Cambria Math"/>
                <w:color w:val="auto"/>
              </w:rPr>
            </m:ctrlPr>
          </m:sub>
        </m:sSub>
      </m:oMath>
      <w:r>
        <w:t>取为0.94；其间按线性内插法确定；</w:t>
      </w:r>
    </w:p>
    <w:p>
      <w:pPr>
        <w:pStyle w:val="86"/>
      </w:pPr>
      <w:r>
        <w:rPr>
          <w:rStyle w:val="83"/>
          <w:color w:val="auto"/>
        </w:rPr>
        <w:tab/>
      </w:r>
      <m:oMath>
        <m:r>
          <m:rPr/>
          <w:rPr>
            <w:rStyle w:val="83"/>
            <w:rFonts w:ascii="Cambria Math" w:hAnsi="Cambria Math"/>
            <w:color w:val="auto"/>
          </w:rPr>
          <m:t>δ</m:t>
        </m:r>
      </m:oMath>
      <w:r>
        <w:rPr>
          <w:rStyle w:val="83"/>
          <w:rFonts w:hint="eastAsia" w:hAnsi="Cambria Math"/>
          <w:color w:val="auto"/>
        </w:rPr>
        <w:t>——</w:t>
      </w:r>
      <w:r>
        <w:rPr>
          <w:rStyle w:val="83"/>
          <w:rFonts w:hAnsi="Cambria Math"/>
          <w:color w:val="auto"/>
        </w:rPr>
        <w:tab/>
      </w:r>
      <w:r>
        <w:rPr>
          <w:rStyle w:val="83"/>
          <w:rFonts w:hint="eastAsia" w:hAnsi="Cambria Math"/>
          <w:color w:val="auto"/>
        </w:rPr>
        <w:t>受约束混凝土强度提高系数，可根据梁端受压区箍筋约束增强措施在1.2至1.8间取值。</w:t>
      </w:r>
    </w:p>
    <w:p>
      <w:pPr>
        <w:pStyle w:val="86"/>
      </w:pPr>
      <w:r>
        <w:tab/>
      </w:r>
      <m:oMath>
        <m:sSub>
          <m:sSubPr>
            <m:ctrlPr>
              <w:rPr>
                <w:rFonts w:ascii="Cambria Math" w:hAnsi="Cambria Math"/>
              </w:rPr>
            </m:ctrlPr>
          </m:sSubPr>
          <m:e>
            <m:r>
              <m:rPr/>
              <w:rPr>
                <w:rFonts w:ascii="Cambria Math" w:hAnsi="Cambria Math"/>
              </w:rPr>
              <m:t>x</m:t>
            </m:r>
            <m:ctrlPr>
              <w:rPr>
                <w:rFonts w:ascii="Cambria Math" w:hAnsi="Cambria Math"/>
              </w:rPr>
            </m:ctrlPr>
          </m:e>
          <m:sub>
            <m:r>
              <m:rPr>
                <m:sty m:val="p"/>
              </m:rPr>
              <w:rPr>
                <w:rFonts w:ascii="Cambria Math" w:hAnsi="Cambria Math"/>
              </w:rPr>
              <m:t>0</m:t>
            </m:r>
            <m:ctrlPr>
              <w:rPr>
                <w:rFonts w:ascii="Cambria Math" w:hAnsi="Cambria Math"/>
              </w:rPr>
            </m:ctrlPr>
          </m:sub>
        </m:sSub>
      </m:oMath>
      <w:r>
        <w:t>——</w:t>
      </w:r>
      <w:r>
        <w:tab/>
      </w:r>
      <w:r>
        <w:t>截面受压区高度（mm）；</w:t>
      </w:r>
    </w:p>
    <w:p>
      <w:pPr>
        <w:pStyle w:val="86"/>
      </w:pPr>
      <w:r>
        <w:tab/>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w:rPr>
                <w:rFonts w:ascii="Cambria Math" w:hAnsi="Cambria Math"/>
              </w:rPr>
              <m:t>b</m:t>
            </m:r>
            <m:ctrlPr>
              <w:rPr>
                <w:rFonts w:ascii="Cambria Math" w:hAnsi="Cambria Math"/>
                <w:i/>
                <w:iCs/>
              </w:rPr>
            </m:ctrlPr>
          </m:sub>
        </m:sSub>
      </m:oMath>
      <w:r>
        <w:t>——</w:t>
      </w:r>
      <w:r>
        <w:tab/>
      </w:r>
      <w:r>
        <w:t>耗能钢筋直径（mm）；</w:t>
      </w:r>
    </w:p>
    <w:p>
      <w:pPr>
        <w:pStyle w:val="86"/>
      </w:pPr>
      <w:r>
        <w:tab/>
      </w:r>
      <w:r>
        <w:rPr>
          <w:rFonts w:hint="eastAsia"/>
          <w:i/>
          <w:iCs/>
        </w:rPr>
        <w:t>h</w:t>
      </w:r>
      <w:r>
        <w:t>——</w:t>
      </w:r>
      <w:r>
        <w:tab/>
      </w:r>
      <w:r>
        <w:t>截面</w:t>
      </w:r>
      <w:r>
        <w:rPr>
          <w:rFonts w:hint="eastAsia"/>
        </w:rPr>
        <w:t>高度</w:t>
      </w:r>
      <w:r>
        <w:t>（mm）；</w:t>
      </w:r>
    </w:p>
    <w:p>
      <w:pPr>
        <w:pStyle w:val="86"/>
      </w:pPr>
      <w:r>
        <w:tab/>
      </w:r>
      <m:oMath>
        <m:sSub>
          <m:sSubPr>
            <m:ctrlPr>
              <w:rPr>
                <w:rFonts w:ascii="Cambria Math" w:hAnsi="Cambria Math"/>
                <w:i/>
                <w:iCs/>
              </w:rPr>
            </m:ctrlPr>
          </m:sSubPr>
          <m:e>
            <m:r>
              <m:rPr/>
              <w:rPr>
                <w:rFonts w:ascii="Cambria Math" w:hAnsi="Cambria Math" w:eastAsia="MS Gothic"/>
              </w:rPr>
              <m:t>ℎ</m:t>
            </m:r>
            <m:ctrlPr>
              <w:rPr>
                <w:rFonts w:ascii="Cambria Math" w:hAnsi="Cambria Math"/>
                <w:i/>
                <w:iCs/>
              </w:rPr>
            </m:ctrlPr>
          </m:e>
          <m:sub>
            <m:r>
              <m:rPr/>
              <w:rPr>
                <w:rFonts w:ascii="Cambria Math" w:hAnsi="Cambria Math"/>
              </w:rPr>
              <m:t>0</m:t>
            </m:r>
            <m:ctrlPr>
              <w:rPr>
                <w:rFonts w:ascii="Cambria Math" w:hAnsi="Cambria Math"/>
                <w:i/>
                <w:iCs/>
              </w:rPr>
            </m:ctrlPr>
          </m:sub>
        </m:sSub>
      </m:oMath>
      <w:r>
        <w:t>——</w:t>
      </w:r>
      <w:r>
        <w:tab/>
      </w:r>
      <w:r>
        <w:t>耗能钢筋到梁截面底边缘的距离（mm）；</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s</m:t>
            </m:r>
            <m:ctrlPr>
              <w:rPr>
                <w:rFonts w:ascii="Cambria Math" w:hAnsi="Cambria Math"/>
                <w:i/>
                <w:iCs/>
              </w:rPr>
            </m:ctrlPr>
          </m:sub>
        </m:sSub>
      </m:oMath>
      <w:r>
        <w:t>——</w:t>
      </w:r>
      <w:r>
        <w:tab/>
      </w:r>
      <w:r>
        <w:t>耗能钢筋的应力（N/mm</w:t>
      </w:r>
      <w:r>
        <w:rPr>
          <w:vertAlign w:val="superscript"/>
        </w:rPr>
        <w:t>2</w:t>
      </w:r>
      <w:r>
        <w:t>），应按</w:t>
      </w:r>
      <w:r>
        <w:rPr>
          <w:rFonts w:hint="eastAsia"/>
        </w:rPr>
        <w:t>本规程第</w:t>
      </w:r>
      <w:r>
        <w:fldChar w:fldCharType="begin"/>
      </w:r>
      <w:r>
        <w:instrText xml:space="preserve"> REF _Ref77068657 \r \h </w:instrText>
      </w:r>
      <w:r>
        <w:fldChar w:fldCharType="separate"/>
      </w:r>
      <w:r>
        <w:t>A. 0. 3</w:t>
      </w:r>
      <w:r>
        <w:fldChar w:fldCharType="end"/>
      </w:r>
      <w:r>
        <w:t>条计算；</w:t>
      </w:r>
    </w:p>
    <w:p>
      <w:pPr>
        <w:pStyle w:val="86"/>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w:rPr>
                <w:rFonts w:ascii="Cambria Math" w:hAnsi="Cambria Math"/>
              </w:rPr>
              <m:t>p</m:t>
            </m:r>
            <m:ctrlPr>
              <w:rPr>
                <w:rFonts w:ascii="Cambria Math" w:hAnsi="Cambria Math"/>
                <w:i/>
                <w:iCs/>
              </w:rPr>
            </m:ctrlPr>
          </m:sub>
        </m:sSub>
      </m:oMath>
      <w:r>
        <w:t>——</w:t>
      </w:r>
      <w:r>
        <w:tab/>
      </w:r>
      <w:r>
        <w:t>预应力钢绞线的应力（N/mm</w:t>
      </w:r>
      <w:r>
        <w:rPr>
          <w:vertAlign w:val="superscript"/>
        </w:rPr>
        <w:t>2</w:t>
      </w:r>
      <w:r>
        <w:t>），应按本规程</w:t>
      </w:r>
      <w:r>
        <w:rPr>
          <w:rFonts w:hint="eastAsia"/>
        </w:rPr>
        <w:t>第</w:t>
      </w:r>
      <w:r>
        <w:fldChar w:fldCharType="begin"/>
      </w:r>
      <w:r>
        <w:instrText xml:space="preserve"> REF _Ref77068595 \r \h </w:instrText>
      </w:r>
      <w:r>
        <w:fldChar w:fldCharType="separate"/>
      </w:r>
      <w:r>
        <w:t>A. 0. 4</w:t>
      </w:r>
      <w:r>
        <w:fldChar w:fldCharType="end"/>
      </w:r>
      <w:r>
        <w:rPr>
          <w:rFonts w:hint="eastAsia"/>
        </w:rPr>
        <w:t>条</w:t>
      </w:r>
      <w:r>
        <w:t>计算</w:t>
      </w:r>
      <w:r>
        <w:rPr>
          <w:rFonts w:hint="eastAsia"/>
        </w:rPr>
        <w:t>。</w:t>
      </w:r>
    </w:p>
    <w:p>
      <w:pPr>
        <w:pStyle w:val="69"/>
      </w:pPr>
      <w:r>
        <w:drawing>
          <wp:inline distT="0" distB="0" distL="0" distR="0">
            <wp:extent cx="3206115" cy="1869440"/>
            <wp:effectExtent l="0" t="0" r="0"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42"/>
                    <a:stretch>
                      <a:fillRect/>
                    </a:stretch>
                  </pic:blipFill>
                  <pic:spPr>
                    <a:xfrm>
                      <a:off x="0" y="0"/>
                      <a:ext cx="3215607" cy="1875177"/>
                    </a:xfrm>
                    <a:prstGeom prst="rect">
                      <a:avLst/>
                    </a:prstGeom>
                  </pic:spPr>
                </pic:pic>
              </a:graphicData>
            </a:graphic>
          </wp:inline>
        </w:drawing>
      </w:r>
    </w:p>
    <w:p>
      <w:pPr>
        <w:pStyle w:val="69"/>
      </w:pPr>
      <w:r>
        <w:t>图</w:t>
      </w:r>
      <w:r>
        <w:fldChar w:fldCharType="begin"/>
      </w:r>
      <w:r>
        <w:instrText xml:space="preserve"> REF _Ref167198128 \r \h </w:instrText>
      </w:r>
      <w:r>
        <w:fldChar w:fldCharType="separate"/>
      </w:r>
      <w:r>
        <w:t>A. 0. 2</w:t>
      </w:r>
      <w:r>
        <w:fldChar w:fldCharType="end"/>
      </w:r>
      <w:r>
        <w:t xml:space="preserve"> </w:t>
      </w:r>
      <w:r>
        <w:rPr>
          <w:rFonts w:hint="eastAsia"/>
        </w:rPr>
        <w:t>位移极限状态下节点</w:t>
      </w:r>
      <w:r>
        <w:t>变形</w:t>
      </w:r>
      <w:r>
        <w:rPr>
          <w:rFonts w:hint="eastAsia"/>
        </w:rPr>
        <w:t>示意</w:t>
      </w:r>
    </w:p>
    <w:p>
      <w:pPr>
        <w:pStyle w:val="69"/>
      </w:pPr>
      <w:r>
        <w:t>1—耗能钢筋</w:t>
      </w:r>
      <w:r>
        <w:rPr>
          <w:rFonts w:hint="eastAsia"/>
        </w:rPr>
        <w:t>；</w:t>
      </w:r>
      <w:r>
        <w:t>3—</w:t>
      </w:r>
      <w:r>
        <w:rPr>
          <w:rFonts w:hint="eastAsia"/>
        </w:rPr>
        <w:t>无粘接</w:t>
      </w:r>
      <w:r>
        <w:t>预应力</w:t>
      </w:r>
      <w:r>
        <w:rPr>
          <w:rFonts w:hint="eastAsia"/>
        </w:rPr>
        <w:t>筋</w:t>
      </w:r>
    </w:p>
    <w:p>
      <w:pPr>
        <w:pStyle w:val="107"/>
      </w:pPr>
      <w:bookmarkStart w:id="519" w:name="_Ref77068657"/>
      <w:bookmarkStart w:id="520" w:name="_Ref178582397"/>
      <w:bookmarkStart w:id="521" w:name="_Ref88830698"/>
      <w:bookmarkStart w:id="522" w:name="_Toc86068025"/>
      <w:r>
        <w:rPr>
          <w:rFonts w:hint="eastAsia"/>
        </w:rPr>
        <w:t>压接装配框架梁端耗能钢筋的应力应变关系可按下式计算：</w:t>
      </w:r>
      <w:bookmarkEnd w:id="519"/>
      <w:bookmarkEnd w:id="520"/>
      <w:bookmarkEnd w:id="521"/>
      <w:bookmarkEnd w:id="522"/>
    </w:p>
    <w:p>
      <w:pPr>
        <w:pStyle w:val="70"/>
        <w:ind w:firstLine="480"/>
      </w:pPr>
      <w:r>
        <w:rPr>
          <w:rFonts w:hint="eastAsia"/>
        </w:rPr>
        <w:t>当</w:t>
      </w:r>
      <m:oMath>
        <m:r>
          <m:rPr>
            <m:sty m:val="p"/>
          </m:rPr>
          <w:rPr>
            <w:rFonts w:ascii="Cambria Math" w:hAnsi="Cambria Math"/>
          </w:rPr>
          <m:t>0≤</m:t>
        </m:r>
        <m:sSub>
          <m:sSubPr>
            <m:ctrlPr>
              <w:rPr>
                <w:rFonts w:ascii="Cambria Math" w:hAnsi="Cambria Math"/>
              </w:rPr>
            </m:ctrlPr>
          </m:sSubPr>
          <m:e>
            <m:r>
              <m:rPr/>
              <w:rPr>
                <w:rFonts w:ascii="Cambria Math" w:hAnsi="Cambria Math"/>
              </w:rPr>
              <m:t>ε</m:t>
            </m:r>
            <m:ctrlPr>
              <w:rPr>
                <w:rFonts w:ascii="Cambria Math" w:hAnsi="Cambria Math"/>
              </w:rPr>
            </m:ctrlPr>
          </m:e>
          <m:sub>
            <m:r>
              <m:rPr>
                <m:nor/>
                <m:sty m:val="p"/>
              </m:rPr>
              <w:rPr>
                <w:rFonts w:ascii="XITS" w:hAnsi="XITS"/>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w:rPr>
                <w:iCs/>
              </w:rPr>
              <m:t>yk</m:t>
            </m:r>
            <m:ctrlPr>
              <w:rPr>
                <w:rFonts w:ascii="Cambria Math" w:hAnsi="Cambria Math"/>
              </w:rPr>
            </m:ctrlPr>
          </m:sub>
        </m:sSub>
        <m:r>
          <m:rPr>
            <m:lit/>
            <m:sty m:val="p"/>
          </m:rPr>
          <w:rPr>
            <w:rFonts w:ascii="Cambria Math" w:hAnsi="Cambria Math"/>
          </w:rPr>
          <m:t xml:space="preserve"> /</m:t>
        </m:r>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w:rPr>
                <w:rFonts w:ascii="XITS" w:hAnsi="XITS"/>
              </w:rPr>
              <m:t>s</m:t>
            </m:r>
            <m:ctrlPr>
              <w:rPr>
                <w:rFonts w:ascii="Cambria Math" w:hAnsi="Cambria Math"/>
              </w:rPr>
            </m:ctrlPr>
          </m:sub>
        </m:sSub>
      </m:oMath>
      <w:r>
        <w:rPr>
          <w:rFonts w:hint="eastAsia"/>
        </w:rPr>
        <w:t>时：</w:t>
      </w:r>
    </w:p>
    <w:p>
      <w:pPr>
        <w:pStyle w:val="85"/>
      </w:pPr>
      <w:r>
        <w:rPr>
          <w:rFonts w:cs="Times New Roman"/>
        </w:rPr>
        <w:tab/>
      </w:r>
      <m:oMath>
        <m:sSub>
          <m:sSubPr>
            <m:ctrlPr>
              <w:rPr>
                <w:rFonts w:ascii="XITS Math" w:hAnsi="XITS Math"/>
              </w:rPr>
            </m:ctrlPr>
          </m:sSubPr>
          <m:e>
            <m:r>
              <m:rPr/>
              <w:rPr>
                <w:rFonts w:ascii="XITS Math" w:hAnsi="XITS Math"/>
              </w:rPr>
              <m:t>σ</m:t>
            </m:r>
            <m:ctrlPr>
              <w:rPr>
                <w:rFonts w:ascii="XITS Math" w:hAnsi="XITS Math"/>
              </w:rPr>
            </m:ctrlPr>
          </m:e>
          <m:sub>
            <m:r>
              <m:rPr>
                <m:nor/>
                <m:sty m:val="p"/>
              </m:rPr>
              <w:rPr>
                <w:rFonts w:ascii="XITS" w:hAnsi="XITS"/>
              </w:rPr>
              <m:t>s</m:t>
            </m:r>
            <m:ctrlPr>
              <w:rPr>
                <w:rFonts w:ascii="XITS Math" w:hAnsi="XITS Math"/>
              </w:rPr>
            </m:ctrlPr>
          </m:sub>
        </m:sSub>
        <m:r>
          <m:rPr>
            <m:sty m:val="p"/>
          </m:rPr>
          <w:rPr>
            <w:rFonts w:ascii="XITS Math" w:hAnsi="XITS Math"/>
          </w:rPr>
          <m:t>=</m:t>
        </m:r>
        <m:sSub>
          <m:sSubPr>
            <m:ctrlPr>
              <w:rPr>
                <w:rFonts w:ascii="XITS Math" w:hAnsi="XITS Math"/>
              </w:rPr>
            </m:ctrlPr>
          </m:sSubPr>
          <m:e>
            <m:r>
              <m:rPr/>
              <w:rPr>
                <w:rFonts w:ascii="XITS Math" w:hAnsi="XITS Math"/>
              </w:rPr>
              <m:t>E</m:t>
            </m:r>
            <m:ctrlPr>
              <w:rPr>
                <w:rFonts w:ascii="XITS Math" w:hAnsi="XITS Math"/>
              </w:rPr>
            </m:ctrlPr>
          </m:e>
          <m:sub>
            <m:r>
              <m:rPr>
                <m:nor/>
                <m:sty m:val="p"/>
              </m:rPr>
              <w:rPr>
                <w:rFonts w:ascii="XITS" w:hAnsi="XITS"/>
              </w:rPr>
              <m:t>s</m:t>
            </m:r>
            <m:ctrlPr>
              <w:rPr>
                <w:rFonts w:ascii="XITS Math" w:hAnsi="XITS Math"/>
              </w:rPr>
            </m:ctrlPr>
          </m:sub>
        </m:sSub>
        <m:sSub>
          <m:sSubPr>
            <m:ctrlPr>
              <w:rPr>
                <w:rFonts w:ascii="XITS Math" w:hAnsi="XITS Math"/>
              </w:rPr>
            </m:ctrlPr>
          </m:sSubPr>
          <m:e>
            <m:r>
              <m:rPr/>
              <w:rPr>
                <w:rFonts w:ascii="XITS Math" w:hAnsi="XITS Math"/>
              </w:rPr>
              <m:t>ε</m:t>
            </m:r>
            <m:ctrlPr>
              <w:rPr>
                <w:rFonts w:ascii="XITS Math" w:hAnsi="XITS Math"/>
              </w:rPr>
            </m:ctrlPr>
          </m:e>
          <m:sub>
            <m:r>
              <m:rPr>
                <m:nor/>
                <m:sty m:val="p"/>
              </m:rPr>
              <w:rPr>
                <w:rFonts w:ascii="XITS" w:hAnsi="XITS"/>
              </w:rPr>
              <m:t>s</m:t>
            </m:r>
            <m:ctrlPr>
              <w:rPr>
                <w:rFonts w:ascii="XITS Math" w:hAnsi="XITS Math"/>
              </w:rPr>
            </m:ctrlPr>
          </m:sub>
        </m:sSub>
      </m:oMath>
      <w:r>
        <w:tab/>
      </w:r>
      <w:r>
        <w:rPr>
          <w:rFonts w:hint="eastAsia"/>
        </w:rPr>
        <w:t>（</w:t>
      </w:r>
      <w:r>
        <w:rPr>
          <w:rFonts w:cs="Times New Roman"/>
        </w:rPr>
        <w:fldChar w:fldCharType="begin"/>
      </w:r>
      <w:r>
        <w:instrText xml:space="preserve"> </w:instrText>
      </w:r>
      <w:r>
        <w:rPr>
          <w:rFonts w:hint="eastAsia"/>
        </w:rPr>
        <w:instrText xml:space="preserve">REF _Ref178582397 \r \h</w:instrText>
      </w:r>
      <w:r>
        <w:instrText xml:space="preserve"> </w:instrText>
      </w:r>
      <w:r>
        <w:rPr>
          <w:rFonts w:cs="Times New Roman"/>
        </w:rPr>
        <w:fldChar w:fldCharType="separate"/>
      </w:r>
      <w:r>
        <w:t>A. 0. 3</w:t>
      </w:r>
      <w:r>
        <w:rPr>
          <w:rFonts w:cs="Times New Roman"/>
        </w:rPr>
        <w:fldChar w:fldCharType="end"/>
      </w:r>
      <w:r>
        <w:noBreakHyphen/>
      </w:r>
      <w:r>
        <w:t>1</w:t>
      </w:r>
      <w:r>
        <w:rPr>
          <w:rFonts w:hint="eastAsia"/>
        </w:rPr>
        <w:t>）</w:t>
      </w:r>
    </w:p>
    <w:p>
      <w:pPr>
        <w:pStyle w:val="70"/>
        <w:ind w:firstLine="480"/>
      </w:pPr>
      <w:r>
        <w:rPr>
          <w:rFonts w:hint="eastAsia"/>
        </w:rPr>
        <w:t>当</w:t>
      </w:r>
      <m:oMath>
        <m:sSub>
          <m:sSubPr>
            <m:ctrlPr>
              <w:rPr>
                <w:rFonts w:ascii="Cambria Math" w:hAnsi="Cambria Math"/>
                <w:i/>
                <w:iCs/>
              </w:rPr>
            </m:ctrlPr>
          </m:sSubPr>
          <m:e>
            <m:r>
              <m:rPr/>
              <w:rPr>
                <w:rFonts w:ascii="Cambria Math" w:hAnsi="Cambria Math"/>
              </w:rPr>
              <m:t>f</m:t>
            </m:r>
            <m:ctrlPr>
              <w:rPr>
                <w:rFonts w:ascii="Cambria Math" w:hAnsi="Cambria Math"/>
                <w:i/>
                <w:iCs/>
              </w:rPr>
            </m:ctrlPr>
          </m:e>
          <m:sub>
            <m:r>
              <m:rPr>
                <m:nor/>
                <m:sty m:val="p"/>
              </m:rPr>
              <w:rPr>
                <w:iCs/>
              </w:rPr>
              <m:t>yk</m:t>
            </m:r>
            <m:ctrlPr>
              <w:rPr>
                <w:rFonts w:ascii="Cambria Math" w:hAnsi="Cambria Math"/>
                <w:i/>
                <w:iCs/>
              </w:rPr>
            </m:ctrlPr>
          </m:sub>
        </m:sSub>
        <m:r>
          <m:rPr>
            <m:lit/>
          </m:rPr>
          <w:rPr>
            <w:rFonts w:ascii="Cambria Math" w:hAnsi="Cambria Math"/>
          </w:rPr>
          <m:t>/</m:t>
        </m:r>
        <m:sSub>
          <m:sSubPr>
            <m:ctrlPr>
              <w:rPr>
                <w:rFonts w:ascii="Cambria Math" w:hAnsi="Cambria Math"/>
                <w:i/>
                <w:iCs/>
              </w:rPr>
            </m:ctrlPr>
          </m:sSubPr>
          <m:e>
            <m:r>
              <m:rPr/>
              <w:rPr>
                <w:rFonts w:ascii="Cambria Math" w:hAnsi="Cambria Math"/>
              </w:rPr>
              <m:t>E</m:t>
            </m:r>
            <m:ctrlPr>
              <w:rPr>
                <w:rFonts w:ascii="Cambria Math" w:hAnsi="Cambria Math"/>
                <w:i/>
                <w:iCs/>
              </w:rPr>
            </m:ctrlPr>
          </m:e>
          <m:sub>
            <m:r>
              <m:rPr>
                <m:nor/>
              </m:rPr>
              <w:rPr>
                <w:i/>
                <w:iCs/>
              </w:rPr>
              <m:t>s</m:t>
            </m:r>
            <m:ctrlPr>
              <w:rPr>
                <w:rFonts w:ascii="Cambria Math" w:hAnsi="Cambria Math"/>
                <w:i/>
                <w:iCs/>
              </w:rPr>
            </m:ctrlPr>
          </m:sub>
        </m:sSub>
        <m:r>
          <m:rPr>
            <m:sty m:val="p"/>
          </m:rPr>
          <w:rPr>
            <w:rFonts w:ascii="Cambria Math" w:hAnsi="Cambria Math"/>
          </w:rPr>
          <m:t>&lt;</m:t>
        </m:r>
        <m:sSub>
          <m:sSubPr>
            <m:ctrlPr>
              <w:rPr>
                <w:rFonts w:ascii="Cambria Math" w:hAnsi="Cambria Math"/>
              </w:rPr>
            </m:ctrlPr>
          </m:sSubPr>
          <m:e>
            <m:r>
              <m:rPr/>
              <w:rPr>
                <w:rFonts w:ascii="Cambria Math" w:hAnsi="Cambria Math"/>
              </w:rPr>
              <m:t>ε</m:t>
            </m:r>
            <m:ctrlPr>
              <w:rPr>
                <w:rFonts w:ascii="Cambria Math" w:hAnsi="Cambria Math"/>
              </w:rPr>
            </m:ctrlPr>
          </m:e>
          <m:sub>
            <m:r>
              <m:rPr>
                <m:nor/>
                <m:sty m:val="p"/>
              </m:rPr>
              <m:t>s</m:t>
            </m:r>
            <m:ctrlPr>
              <w:rPr>
                <w:rFonts w:ascii="Cambria Math" w:hAnsi="Cambria Math"/>
              </w:rPr>
            </m:ctrlPr>
          </m:sub>
        </m:sSub>
        <m:r>
          <m:rPr>
            <m:sty m:val="p"/>
          </m:rPr>
          <w:rPr>
            <w:rFonts w:ascii="Cambria Math" w:hAnsi="Cambria Math"/>
          </w:rPr>
          <m:t>&lt;0.075</m:t>
        </m:r>
      </m:oMath>
      <w:r>
        <w:rPr>
          <w:rFonts w:hint="eastAsia"/>
        </w:rPr>
        <w:t>时：</w:t>
      </w:r>
    </w:p>
    <w:p>
      <w:pPr>
        <w:pStyle w:val="85"/>
      </w:pPr>
      <w:r>
        <w:tab/>
      </w:r>
      <m:oMath>
        <m:sSub>
          <m:sSubPr>
            <m:ctrlPr>
              <w:rPr>
                <w:rFonts w:ascii="Cambria Math" w:hAnsi="Cambria Math"/>
              </w:rPr>
            </m:ctrlPr>
          </m:sSubPr>
          <m:e>
            <m:r>
              <m:rPr/>
              <w:rPr>
                <w:rFonts w:ascii="Cambria Math" w:hAnsi="Cambria Math"/>
              </w:rPr>
              <m:t>σ</m:t>
            </m:r>
            <m:ctrlPr>
              <w:rPr>
                <w:rFonts w:ascii="Cambria Math" w:hAnsi="Cambria Math"/>
              </w:rPr>
            </m:ctrlPr>
          </m:e>
          <m:sub>
            <m:r>
              <m:rPr>
                <m:nor/>
                <m:sty m:val="p"/>
              </m: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yk</m:t>
            </m:r>
            <m:ctrlPr>
              <w:rPr>
                <w:rFonts w:ascii="Cambria Math" w:hAnsi="Cambria Math"/>
              </w:rPr>
            </m:ctrlPr>
          </m:sub>
        </m:sSub>
        <m:r>
          <m:rPr>
            <m:sty m:val="p"/>
          </m:rPr>
          <w:rPr>
            <w:rFonts w:ascii="Cambria Math" w:hAnsi="Cambria Math"/>
          </w:rPr>
          <m:t>+</m:t>
        </m:r>
        <m:d>
          <m:dPr>
            <m:ctrlPr>
              <w:rPr>
                <w:rFonts w:ascii="Cambria Math" w:hAnsi="Cambria Math"/>
              </w:rPr>
            </m:ctrlPr>
          </m:dPr>
          <m:e>
            <m:f>
              <m:fPr>
                <m:ctrlPr>
                  <w:rPr>
                    <w:rFonts w:ascii="Cambria Math" w:hAnsi="Cambria Math" w:cs="Cambria Math"/>
                  </w:rPr>
                </m:ctrlPr>
              </m:fPr>
              <m:num>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stk</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yk</m:t>
                    </m:r>
                    <m:ctrlPr>
                      <w:rPr>
                        <w:rFonts w:ascii="Cambria Math" w:hAnsi="Cambria Math"/>
                      </w:rPr>
                    </m:ctrlPr>
                  </m:sub>
                </m:sSub>
                <m:ctrlPr>
                  <w:rPr>
                    <w:rFonts w:ascii="Cambria Math" w:hAnsi="Cambria Math"/>
                  </w:rPr>
                </m:ctrlPr>
              </m:num>
              <m:den>
                <m:r>
                  <m:rPr>
                    <m:sty m:val="p"/>
                  </m:rPr>
                  <w:rPr>
                    <w:rFonts w:ascii="Cambria Math" w:hAnsi="Cambria Math"/>
                  </w:rPr>
                  <m:t>0.075−</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yk</m:t>
                    </m:r>
                    <m:ctrlPr>
                      <w:rPr>
                        <w:rFonts w:ascii="Cambria Math" w:hAnsi="Cambria Math"/>
                      </w:rPr>
                    </m:ctrlPr>
                  </m:sub>
                </m:sSub>
                <m:r>
                  <m:rPr>
                    <m:lit/>
                    <m:sty m:val="p"/>
                  </m:rPr>
                  <w:rPr>
                    <w:rFonts w:ascii="Cambria Math" w:hAnsi="Cambria Math"/>
                  </w:rPr>
                  <m:t>/</m:t>
                </m:r>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m:t>s</m:t>
                    </m:r>
                    <m:ctrlPr>
                      <w:rPr>
                        <w:rFonts w:ascii="Cambria Math" w:hAnsi="Cambria Math"/>
                      </w:rPr>
                    </m:ctrlPr>
                  </m:sub>
                </m:sSub>
                <m:ctrlPr>
                  <w:rPr>
                    <w:rFonts w:ascii="Cambria Math" w:hAnsi="Cambria Math"/>
                  </w:rPr>
                </m:ctrlPr>
              </m:den>
            </m:f>
            <m:ctrlPr>
              <w:rPr>
                <w:rFonts w:ascii="Cambria Math" w:hAnsi="Cambria Math"/>
              </w:rPr>
            </m:ctrlP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ε</m:t>
                </m:r>
                <m:ctrlPr>
                  <w:rPr>
                    <w:rFonts w:ascii="Cambria Math" w:hAnsi="Cambria Math"/>
                  </w:rPr>
                </m:ctrlPr>
              </m:e>
              <m:sub>
                <m:r>
                  <m:rPr>
                    <m:nor/>
                    <m:sty m:val="p"/>
                  </m:rPr>
                  <m:t>s</m:t>
                </m:r>
                <m:ctrlPr>
                  <w:rPr>
                    <w:rFonts w:ascii="Cambria Math" w:hAnsi="Cambria Math"/>
                  </w:rPr>
                </m:ctrlPr>
              </m:sub>
            </m:sSub>
            <m:r>
              <m:rPr>
                <m:sty m:val="p"/>
              </m:rPr>
              <w:rPr>
                <w:rFonts w:ascii="Cambria Math" w:hAnsi="Cambria Math"/>
              </w:rPr>
              <m:t>−</m:t>
            </m:r>
            <m:f>
              <m:fPr>
                <m:ctrlPr>
                  <w:rPr>
                    <w:rFonts w:ascii="Cambria Math" w:hAnsi="Cambria Math" w:cs="Cambria Math"/>
                  </w:rPr>
                </m:ctrlPr>
              </m:fPr>
              <m:num>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yk</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m:t>s</m:t>
                    </m:r>
                    <m:ctrlPr>
                      <w:rPr>
                        <w:rFonts w:ascii="Cambria Math" w:hAnsi="Cambria Math"/>
                      </w:rPr>
                    </m:ctrlPr>
                  </m:sub>
                </m:sSub>
                <m:ctrlPr>
                  <w:rPr>
                    <w:rFonts w:ascii="Cambria Math" w:hAnsi="Cambria Math"/>
                  </w:rPr>
                </m:ctrlPr>
              </m:den>
            </m:f>
            <m:ctrlPr>
              <w:rPr>
                <w:rFonts w:ascii="Cambria Math" w:hAnsi="Cambria Math"/>
              </w:rPr>
            </m:ctrlPr>
          </m:e>
        </m:d>
      </m:oMath>
      <w:r>
        <w:tab/>
      </w:r>
      <w:r>
        <w:rPr>
          <w:rFonts w:hint="eastAsia"/>
        </w:rPr>
        <w:t>（</w:t>
      </w:r>
      <w:r>
        <w:rPr>
          <w:rFonts w:cs="Times New Roman"/>
        </w:rPr>
        <w:fldChar w:fldCharType="begin"/>
      </w:r>
      <w:r>
        <w:instrText xml:space="preserve"> </w:instrText>
      </w:r>
      <w:r>
        <w:rPr>
          <w:rFonts w:hint="eastAsia"/>
        </w:rPr>
        <w:instrText xml:space="preserve">REF _Ref178582397 \r \h</w:instrText>
      </w:r>
      <w:r>
        <w:instrText xml:space="preserve"> </w:instrText>
      </w:r>
      <w:r>
        <w:rPr>
          <w:rFonts w:cs="Times New Roman"/>
        </w:rPr>
        <w:fldChar w:fldCharType="separate"/>
      </w:r>
      <w:r>
        <w:t>A. 0. 3</w:t>
      </w:r>
      <w:r>
        <w:rPr>
          <w:rFonts w:cs="Times New Roman"/>
        </w:rPr>
        <w:fldChar w:fldCharType="end"/>
      </w:r>
      <w:r>
        <w:noBreakHyphen/>
      </w:r>
      <w:r>
        <w:t>2</w:t>
      </w:r>
      <w:r>
        <w:rPr>
          <w:rFonts w:hint="eastAsia"/>
        </w:rPr>
        <w:t>）</w:t>
      </w:r>
    </w:p>
    <w:p>
      <w:pPr>
        <w:pStyle w:val="86"/>
      </w:pPr>
      <w:r>
        <w:rPr>
          <w:rFonts w:hint="eastAsia"/>
        </w:rPr>
        <w:t>式中：</w:t>
      </w:r>
      <w:r>
        <w:tab/>
      </w:r>
      <m:oMath>
        <m:sSub>
          <m:sSubPr>
            <m:ctrlPr>
              <w:rPr>
                <w:rFonts w:ascii="XITS Math" w:hAnsi="XITS Math" w:cs="XITS Math"/>
              </w:rPr>
            </m:ctrlPr>
          </m:sSubPr>
          <m:e>
            <m:r>
              <m:rPr/>
              <w:rPr>
                <w:rFonts w:ascii="XITS Math" w:hAnsi="XITS Math" w:cs="XITS Math"/>
              </w:rPr>
              <m:t>σ</m:t>
            </m:r>
            <m:ctrlPr>
              <w:rPr>
                <w:rFonts w:ascii="XITS Math" w:hAnsi="XITS Math" w:cs="XITS Math"/>
              </w:rPr>
            </m:ctrlPr>
          </m:e>
          <m:sub>
            <m:r>
              <m:rPr>
                <m:sty m:val="p"/>
              </m:rPr>
              <w:rPr>
                <w:rFonts w:ascii="XITS Math" w:hAnsi="XITS Math" w:cs="XITS Math"/>
              </w:rPr>
              <m:t>s</m:t>
            </m:r>
            <m:ctrlPr>
              <w:rPr>
                <w:rFonts w:ascii="XITS Math" w:hAnsi="XITS Math" w:cs="XITS Math"/>
              </w:rPr>
            </m:ctrlPr>
          </m:sub>
        </m:sSub>
      </m:oMath>
      <w:r>
        <w:t>——</w:t>
      </w:r>
      <w:r>
        <w:tab/>
      </w:r>
      <w:r>
        <w:rPr>
          <w:rFonts w:hint="eastAsia"/>
        </w:rPr>
        <w:t>耗能钢筋应变为</w:t>
      </w:r>
      <m:oMath>
        <m:sSub>
          <m:sSubPr>
            <m:ctrlPr>
              <w:rPr>
                <w:rFonts w:ascii="XITS Math" w:hAnsi="XITS Math" w:cs="XITS Math"/>
              </w:rPr>
            </m:ctrlPr>
          </m:sSubPr>
          <m:e>
            <m:r>
              <m:rPr>
                <m:sty m:val="p"/>
              </m:rPr>
              <w:rPr>
                <w:rFonts w:ascii="XITS Math" w:hAnsi="XITS Math" w:cs="XITS Math"/>
              </w:rPr>
              <m:t>ε</m:t>
            </m:r>
            <m:ctrlPr>
              <w:rPr>
                <w:rFonts w:ascii="XITS Math" w:hAnsi="XITS Math" w:cs="XITS Math"/>
              </w:rPr>
            </m:ctrlPr>
          </m:e>
          <m:sub>
            <m:r>
              <m:rPr>
                <m:sty m:val="p"/>
              </m:rPr>
              <w:rPr>
                <w:rFonts w:ascii="XITS Math" w:hAnsi="XITS Math" w:cs="XITS Math"/>
              </w:rPr>
              <m:t>s</m:t>
            </m:r>
            <m:ctrlPr>
              <w:rPr>
                <w:rFonts w:ascii="XITS Math" w:hAnsi="XITS Math" w:cs="XITS Math"/>
              </w:rPr>
            </m:ctrlPr>
          </m:sub>
        </m:sSub>
      </m:oMath>
      <w:r>
        <w:rPr>
          <w:rFonts w:hint="eastAsia"/>
        </w:rPr>
        <w:t>时的拉应力（N</w:t>
      </w:r>
      <w:r>
        <w:t>/mm</w:t>
      </w:r>
      <w:r>
        <w:rPr>
          <w:vertAlign w:val="superscript"/>
        </w:rPr>
        <w:t>2</w:t>
      </w:r>
      <w:r>
        <w:rPr>
          <w:rFonts w:hint="eastAsia"/>
        </w:rPr>
        <w:t>）；</w:t>
      </w:r>
    </w:p>
    <w:p>
      <w:pPr>
        <w:pStyle w:val="86"/>
      </w:pPr>
      <w:r>
        <w:tab/>
      </w:r>
      <m:oMath>
        <m:sSub>
          <m:sSubPr>
            <m:ctrlPr>
              <w:rPr>
                <w:rFonts w:ascii="XITS Math" w:hAnsi="XITS Math" w:cs="XITS Math"/>
              </w:rPr>
            </m:ctrlPr>
          </m:sSubPr>
          <m:e>
            <m:r>
              <m:rPr/>
              <w:rPr>
                <w:rFonts w:ascii="XITS Math" w:hAnsi="XITS Math" w:cs="XITS Math"/>
              </w:rPr>
              <m:t>E</m:t>
            </m:r>
            <m:ctrlPr>
              <w:rPr>
                <w:rFonts w:ascii="XITS Math" w:hAnsi="XITS Math" w:cs="XITS Math"/>
              </w:rPr>
            </m:ctrlPr>
          </m:e>
          <m:sub>
            <m:r>
              <m:rPr>
                <m:sty m:val="p"/>
              </m:rPr>
              <w:rPr>
                <w:rFonts w:ascii="XITS Math" w:hAnsi="XITS Math" w:cs="XITS Math"/>
              </w:rPr>
              <m:t>s</m:t>
            </m:r>
            <m:ctrlPr>
              <w:rPr>
                <w:rFonts w:ascii="XITS Math" w:hAnsi="XITS Math" w:cs="XITS Math"/>
              </w:rPr>
            </m:ctrlPr>
          </m:sub>
        </m:sSub>
      </m:oMath>
      <w:r>
        <w:t>——</w:t>
      </w:r>
      <w:r>
        <w:tab/>
      </w:r>
      <w:r>
        <w:rPr>
          <w:rFonts w:hint="eastAsia"/>
        </w:rPr>
        <w:t>耗能钢筋的弹性模量（N</w:t>
      </w:r>
      <w:r>
        <w:t>/mm</w:t>
      </w:r>
      <w:r>
        <w:rPr>
          <w:vertAlign w:val="superscript"/>
        </w:rPr>
        <w:t>2</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m:sty m:val="p"/>
              </m:rPr>
              <w:rPr>
                <w:rFonts w:ascii="Cambria Math" w:hAnsi="Cambria Math" w:cs="XITS Math"/>
              </w:rPr>
              <m:t>yk</m:t>
            </m:r>
            <m:ctrlPr>
              <w:rPr>
                <w:rFonts w:ascii="Cambria Math" w:hAnsi="Cambria Math" w:cs="XITS Math"/>
                <w:i/>
                <w:iCs/>
              </w:rPr>
            </m:ctrlPr>
          </m:sub>
        </m:sSub>
      </m:oMath>
      <w:r>
        <w:t>——</w:t>
      </w:r>
      <w:r>
        <w:tab/>
      </w:r>
      <w:r>
        <w:rPr>
          <w:rFonts w:hint="eastAsia"/>
        </w:rPr>
        <w:t>耗能钢筋的屈服强度标准值（N</w:t>
      </w:r>
      <w:r>
        <w:t>/mm</w:t>
      </w:r>
      <w:r>
        <w:rPr>
          <w:vertAlign w:val="superscript"/>
        </w:rPr>
        <w:t>2</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m:sty m:val="p"/>
              </m:rPr>
              <w:rPr>
                <w:rFonts w:ascii="Cambria Math" w:hAnsi="Cambria Math" w:cs="XITS Math"/>
              </w:rPr>
              <m:t>stk</m:t>
            </m:r>
            <m:ctrlPr>
              <w:rPr>
                <w:rFonts w:ascii="Cambria Math" w:hAnsi="Cambria Math" w:cs="XITS Math"/>
                <w:i/>
                <w:iCs/>
              </w:rPr>
            </m:ctrlPr>
          </m:sub>
        </m:sSub>
      </m:oMath>
      <w:r>
        <w:t>——</w:t>
      </w:r>
      <w:r>
        <w:tab/>
      </w:r>
      <w:r>
        <w:rPr>
          <w:rFonts w:hint="eastAsia"/>
        </w:rPr>
        <w:t>耗能钢筋的极限强度标准值（N</w:t>
      </w:r>
      <w:r>
        <w:t>/mm</w:t>
      </w:r>
      <w:r>
        <w:rPr>
          <w:vertAlign w:val="superscript"/>
        </w:rPr>
        <w:t>2</w:t>
      </w:r>
      <w:r>
        <w:rPr>
          <w:rFonts w:hint="eastAsia"/>
        </w:rPr>
        <w:t>）。</w:t>
      </w:r>
    </w:p>
    <w:p>
      <w:pPr>
        <w:pStyle w:val="107"/>
      </w:pPr>
      <w:bookmarkStart w:id="523" w:name="_Ref77068595"/>
      <w:bookmarkStart w:id="524" w:name="_Toc86068026"/>
      <w:bookmarkStart w:id="525" w:name="_Ref178582456"/>
      <w:bookmarkStart w:id="526" w:name="_Ref178582463"/>
      <w:r>
        <w:rPr>
          <w:rFonts w:hint="eastAsia"/>
        </w:rPr>
        <w:t>压接装配框架梁无粘结预应力钢绞线的应力应变关系可按下式计算：</w:t>
      </w:r>
      <w:bookmarkEnd w:id="523"/>
      <w:bookmarkEnd w:id="524"/>
      <w:bookmarkEnd w:id="525"/>
      <w:bookmarkEnd w:id="526"/>
    </w:p>
    <w:p>
      <w:pPr>
        <w:pStyle w:val="70"/>
        <w:ind w:firstLine="480"/>
      </w:pPr>
      <w:r>
        <w:rPr>
          <w:rFonts w:hint="eastAsia"/>
        </w:rPr>
        <w:t>当</w:t>
      </w:r>
      <m:oMath>
        <m:r>
          <m:rPr>
            <m:sty m:val="p"/>
          </m:rPr>
          <w:rPr>
            <w:rFonts w:ascii="Cambria Math" w:hAnsi="Cambria Math"/>
          </w:rPr>
          <m:t>0≤</m:t>
        </m:r>
        <m:sSub>
          <m:sSubPr>
            <m:ctrlPr>
              <w:rPr>
                <w:rFonts w:ascii="Cambria Math" w:hAnsi="Cambria Math"/>
              </w:rPr>
            </m:ctrlPr>
          </m:sSubPr>
          <m:e>
            <m:r>
              <m:rPr/>
              <w:rPr>
                <w:rFonts w:ascii="Cambria Math" w:hAnsi="Cambria Math"/>
              </w:rPr>
              <m:t>ε</m:t>
            </m:r>
            <m:ctrlPr>
              <w:rPr>
                <w:rFonts w:ascii="Cambria Math" w:hAnsi="Cambria Math"/>
              </w:rPr>
            </m:ctrlPr>
          </m:e>
          <m:sub>
            <m:r>
              <m:rPr>
                <m:nor/>
                <m:sty m:val="p"/>
              </m:rPr>
              <m:t>p</m:t>
            </m:r>
            <m:ctrlPr>
              <w:rPr>
                <w:rFonts w:ascii="Cambria Math" w:hAnsi="Cambria Math"/>
              </w:rPr>
            </m:ctrlPr>
          </m:sub>
        </m:sSub>
        <m:r>
          <m:rPr>
            <m:sty m:val="p"/>
          </m:rPr>
          <w:rPr>
            <w:rFonts w:ascii="Cambria Math" w:hAnsi="Cambria Math"/>
          </w:rPr>
          <m:t>≤0.9</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ptk</m:t>
            </m:r>
            <m:ctrlPr>
              <w:rPr>
                <w:rFonts w:ascii="Cambria Math" w:hAnsi="Cambria Math"/>
              </w:rPr>
            </m:ctrlPr>
          </m:sub>
        </m:sSub>
        <m:r>
          <m:rPr>
            <m:lit/>
            <m:sty m:val="p"/>
          </m:rPr>
          <w:rPr>
            <w:rFonts w:ascii="Cambria Math" w:hAnsi="Cambria Math"/>
          </w:rPr>
          <m:t>/</m:t>
        </m:r>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m:t>p</m:t>
            </m:r>
            <m:ctrlPr>
              <w:rPr>
                <w:rFonts w:ascii="Cambria Math" w:hAnsi="Cambria Math"/>
              </w:rPr>
            </m:ctrlPr>
          </m:sub>
        </m:sSub>
      </m:oMath>
      <w:r>
        <w:rPr>
          <w:rFonts w:hint="eastAsia"/>
        </w:rPr>
        <w:t>时：</w:t>
      </w:r>
    </w:p>
    <w:p>
      <w:pPr>
        <w:pStyle w:val="85"/>
      </w:pPr>
      <w:r>
        <w:tab/>
      </w:r>
      <m:oMath>
        <m:sSub>
          <m:sSubPr>
            <m:ctrlPr>
              <w:rPr>
                <w:rFonts w:ascii="Cambria Math" w:hAnsi="Cambria Math" w:cs="XITS Math"/>
                <w:i/>
                <w:iCs/>
              </w:rPr>
            </m:ctrlPr>
          </m:sSubPr>
          <m:e>
            <m:r>
              <m:rPr/>
              <w:rPr>
                <w:rFonts w:ascii="Cambria Math" w:hAnsi="Cambria Math" w:cs="XITS Math"/>
              </w:rPr>
              <m:t>σ</m:t>
            </m:r>
            <m:ctrlPr>
              <w:rPr>
                <w:rFonts w:ascii="Cambria Math" w:hAnsi="Cambria Math" w:cs="XITS Math"/>
                <w:i/>
                <w:iCs/>
              </w:rPr>
            </m:ctrlPr>
          </m:e>
          <m:sub>
            <m:r>
              <m:rPr>
                <m:nor/>
                <m:sty m:val="p"/>
              </m:rPr>
              <w:rPr>
                <w:rFonts w:ascii="Cambria Math" w:hAnsi="Cambria Math" w:cs="XITS Math"/>
                <w:iCs/>
              </w:rPr>
              <m:t>p</m:t>
            </m:r>
            <m:ctrlPr>
              <w:rPr>
                <w:rFonts w:ascii="Cambria Math" w:hAnsi="Cambria Math" w:cs="XITS Math"/>
                <w:i/>
                <w:iCs/>
              </w:rPr>
            </m:ctrlPr>
          </m:sub>
        </m:sSub>
        <m:r>
          <m:rPr/>
          <w:rPr>
            <w:rFonts w:ascii="Cambria Math" w:hAnsi="Cambria Math" w:cs="XITS Math"/>
          </w:rPr>
          <m:t>=</m:t>
        </m:r>
        <m:sSub>
          <m:sSubPr>
            <m:ctrlPr>
              <w:rPr>
                <w:rFonts w:ascii="Cambria Math" w:hAnsi="Cambria Math" w:cs="XITS Math"/>
                <w:i/>
                <w:iCs/>
              </w:rPr>
            </m:ctrlPr>
          </m:sSubPr>
          <m:e>
            <m:r>
              <m:rPr/>
              <w:rPr>
                <w:rFonts w:ascii="Cambria Math" w:hAnsi="Cambria Math" w:cs="XITS Math"/>
              </w:rPr>
              <m:t>E</m:t>
            </m:r>
            <m:ctrlPr>
              <w:rPr>
                <w:rFonts w:ascii="Cambria Math" w:hAnsi="Cambria Math" w:cs="XITS Math"/>
                <w:i/>
                <w:iCs/>
              </w:rPr>
            </m:ctrlPr>
          </m:e>
          <m:sub>
            <m:r>
              <m:rPr>
                <m:nor/>
                <m:sty m:val="p"/>
              </m:rPr>
              <w:rPr>
                <w:rFonts w:ascii="Cambria Math" w:hAnsi="Cambria Math" w:cs="XITS Math"/>
                <w:iCs/>
              </w:rPr>
              <m:t>p</m:t>
            </m:r>
            <m:ctrlPr>
              <w:rPr>
                <w:rFonts w:ascii="Cambria Math" w:hAnsi="Cambria Math" w:cs="XITS Math"/>
                <w:i/>
                <w:iCs/>
              </w:rPr>
            </m:ctrlPr>
          </m:sub>
        </m:sSub>
        <m:sSub>
          <m:sSubPr>
            <m:ctrlPr>
              <w:rPr>
                <w:rFonts w:ascii="Cambria Math" w:hAnsi="Cambria Math" w:cs="XITS Math"/>
                <w:i/>
                <w:iCs/>
              </w:rPr>
            </m:ctrlPr>
          </m:sSubPr>
          <m:e>
            <m:r>
              <m:rPr/>
              <w:rPr>
                <w:rFonts w:ascii="Cambria Math" w:hAnsi="Cambria Math" w:cs="XITS Math"/>
              </w:rPr>
              <m:t>ε</m:t>
            </m:r>
            <m:ctrlPr>
              <w:rPr>
                <w:rFonts w:ascii="Cambria Math" w:hAnsi="Cambria Math" w:cs="XITS Math"/>
                <w:i/>
                <w:iCs/>
              </w:rPr>
            </m:ctrlPr>
          </m:e>
          <m:sub>
            <m:r>
              <m:rPr>
                <m:nor/>
                <m:sty m:val="p"/>
              </m:rPr>
              <w:rPr>
                <w:rFonts w:ascii="Cambria Math" w:hAnsi="Cambria Math" w:cs="XITS Math"/>
                <w:iCs/>
              </w:rPr>
              <m:t>p</m:t>
            </m:r>
            <m:ctrlPr>
              <w:rPr>
                <w:rFonts w:ascii="Cambria Math" w:hAnsi="Cambria Math" w:cs="XITS Math"/>
                <w:i/>
                <w:iCs/>
              </w:rPr>
            </m:ctrlPr>
          </m:sub>
        </m:sSub>
      </m:oMath>
      <w:r>
        <w:tab/>
      </w:r>
      <w:r>
        <w:rPr>
          <w:rFonts w:hint="eastAsia"/>
        </w:rPr>
        <w:t>（</w:t>
      </w:r>
      <w:r>
        <w:rPr>
          <w:rFonts w:cs="Times New Roman"/>
        </w:rPr>
        <w:fldChar w:fldCharType="begin"/>
      </w:r>
      <w:r>
        <w:instrText xml:space="preserve"> </w:instrText>
      </w:r>
      <w:r>
        <w:rPr>
          <w:rFonts w:hint="eastAsia"/>
        </w:rPr>
        <w:instrText xml:space="preserve">REF _Ref178582456 \r \h</w:instrText>
      </w:r>
      <w:r>
        <w:instrText xml:space="preserve"> </w:instrText>
      </w:r>
      <w:r>
        <w:rPr>
          <w:rFonts w:cs="Times New Roman"/>
        </w:rPr>
        <w:fldChar w:fldCharType="separate"/>
      </w:r>
      <w:r>
        <w:t>A. 0. 4</w:t>
      </w:r>
      <w:r>
        <w:rPr>
          <w:rFonts w:cs="Times New Roman"/>
        </w:rPr>
        <w:fldChar w:fldCharType="end"/>
      </w:r>
      <w:r>
        <w:noBreakHyphen/>
      </w:r>
      <w:r>
        <w:fldChar w:fldCharType="begin"/>
      </w:r>
      <w:r>
        <w:instrText xml:space="preserve"> </w:instrText>
      </w:r>
      <w:r>
        <w:rPr>
          <w:rFonts w:hint="eastAsia"/>
        </w:rPr>
        <w:instrText xml:space="preserve">SEQ 公式 \* ARABIC \s 3</w:instrText>
      </w:r>
      <w:r>
        <w:instrText xml:space="preserve"> </w:instrText>
      </w:r>
      <w:r>
        <w:fldChar w:fldCharType="separate"/>
      </w:r>
      <w:r>
        <w:t>7</w:t>
      </w:r>
      <w:r>
        <w:fldChar w:fldCharType="end"/>
      </w:r>
      <w:r>
        <w:rPr>
          <w:rFonts w:hint="eastAsia"/>
        </w:rPr>
        <w:t>）</w:t>
      </w:r>
    </w:p>
    <w:p>
      <w:pPr>
        <w:pStyle w:val="70"/>
        <w:ind w:firstLine="480"/>
      </w:pPr>
      <w:r>
        <w:rPr>
          <w:rFonts w:hint="eastAsia"/>
        </w:rPr>
        <w:t>当</w:t>
      </w:r>
      <m:oMath>
        <m:r>
          <m:rPr>
            <m:sty m:val="p"/>
          </m:rPr>
          <w:rPr>
            <w:rFonts w:ascii="Cambria Math" w:hAnsi="Cambria Math"/>
          </w:rPr>
          <m:t>0.9</m:t>
        </m:r>
        <m:sSub>
          <m:sSubPr>
            <m:ctrlPr>
              <w:rPr>
                <w:rFonts w:ascii="Cambria Math" w:hAnsi="Cambria Math"/>
              </w:rPr>
            </m:ctrlPr>
          </m:sSubPr>
          <m:e>
            <m:r>
              <m:rPr/>
              <w:rPr>
                <w:rFonts w:ascii="Cambria Math" w:hAnsi="Cambria Math"/>
              </w:rPr>
              <m:t>f</m:t>
            </m:r>
            <m:ctrlPr>
              <w:rPr>
                <w:rFonts w:ascii="Cambria Math" w:hAnsi="Cambria Math"/>
              </w:rPr>
            </m:ctrlPr>
          </m:e>
          <m:sub>
            <m:r>
              <m:rPr>
                <m:nor/>
                <m:sty m:val="p"/>
              </m:rPr>
              <m:t>ptk</m:t>
            </m:r>
            <m:ctrlPr>
              <w:rPr>
                <w:rFonts w:ascii="Cambria Math" w:hAnsi="Cambria Math"/>
              </w:rPr>
            </m:ctrlPr>
          </m:sub>
        </m:sSub>
        <m:r>
          <m:rPr>
            <m:lit/>
            <m:sty m:val="p"/>
          </m:rPr>
          <w:rPr>
            <w:rFonts w:ascii="Cambria Math" w:hAnsi="Cambria Math"/>
          </w:rPr>
          <m:t>/</m:t>
        </m:r>
        <m:sSub>
          <m:sSubPr>
            <m:ctrlPr>
              <w:rPr>
                <w:rFonts w:ascii="Cambria Math" w:hAnsi="Cambria Math"/>
              </w:rPr>
            </m:ctrlPr>
          </m:sSubPr>
          <m:e>
            <m:r>
              <m:rPr/>
              <w:rPr>
                <w:rFonts w:ascii="Cambria Math" w:hAnsi="Cambria Math"/>
              </w:rPr>
              <m:t>E</m:t>
            </m:r>
            <m:ctrlPr>
              <w:rPr>
                <w:rFonts w:ascii="Cambria Math" w:hAnsi="Cambria Math"/>
              </w:rPr>
            </m:ctrlPr>
          </m:e>
          <m:sub>
            <m:r>
              <m:rPr>
                <m:nor/>
                <m:sty m:val="p"/>
              </m:rPr>
              <m:t>p</m:t>
            </m:r>
            <m:ctrlPr>
              <w:rPr>
                <w:rFonts w:ascii="Cambria Math" w:hAnsi="Cambria Math"/>
              </w:rPr>
            </m:ctrlPr>
          </m:sub>
        </m:sSub>
        <m:r>
          <m:rPr>
            <m:sty m:val="p"/>
          </m:rPr>
          <w:rPr>
            <w:rFonts w:ascii="Cambria Math" w:hAnsi="Cambria Math"/>
          </w:rPr>
          <m:t>&lt;</m:t>
        </m:r>
        <m:sSub>
          <m:sSubPr>
            <m:ctrlPr>
              <w:rPr>
                <w:rFonts w:ascii="Cambria Math" w:hAnsi="Cambria Math"/>
              </w:rPr>
            </m:ctrlPr>
          </m:sSubPr>
          <m:e>
            <m:r>
              <m:rPr/>
              <w:rPr>
                <w:rFonts w:ascii="Cambria Math" w:hAnsi="Cambria Math"/>
              </w:rPr>
              <m:t>ε</m:t>
            </m:r>
            <m:ctrlPr>
              <w:rPr>
                <w:rFonts w:ascii="Cambria Math" w:hAnsi="Cambria Math"/>
              </w:rPr>
            </m:ctrlPr>
          </m:e>
          <m:sub>
            <m:r>
              <m:rPr>
                <m:nor/>
                <m:sty m:val="p"/>
              </m:rPr>
              <m:t>p</m:t>
            </m:r>
            <m:ctrlPr>
              <w:rPr>
                <w:rFonts w:ascii="Cambria Math" w:hAnsi="Cambria Math"/>
              </w:rPr>
            </m:ctrlPr>
          </m:sub>
        </m:sSub>
        <m:r>
          <m:rPr>
            <m:sty m:val="p"/>
          </m:rPr>
          <w:rPr>
            <w:rFonts w:ascii="Cambria Math" w:hAnsi="Cambria Math"/>
          </w:rPr>
          <m:t>&lt;0.02</m:t>
        </m:r>
      </m:oMath>
      <w:r>
        <w:rPr>
          <w:rFonts w:hint="eastAsia"/>
        </w:rPr>
        <w:t>时：</w:t>
      </w:r>
    </w:p>
    <w:p>
      <w:pPr>
        <w:pStyle w:val="85"/>
      </w:pPr>
      <w:r>
        <w:tab/>
      </w:r>
      <m:oMath>
        <m:sSub>
          <m:sSubPr>
            <m:ctrlPr>
              <w:rPr>
                <w:rFonts w:ascii="Cambria Math" w:hAnsi="Cambria Math"/>
                <w:i/>
                <w:iCs/>
              </w:rPr>
            </m:ctrlPr>
          </m:sSubPr>
          <m:e>
            <m:r>
              <m:rPr/>
              <w:rPr>
                <w:rFonts w:ascii="Cambria Math" w:hAnsi="Cambria Math"/>
              </w:rPr>
              <m:t>σ</m:t>
            </m:r>
            <m:ctrlPr>
              <w:rPr>
                <w:rFonts w:ascii="Cambria Math" w:hAnsi="Cambria Math"/>
                <w:i/>
                <w:iCs/>
              </w:rPr>
            </m:ctrlPr>
          </m:e>
          <m:sub>
            <m:r>
              <m:rPr>
                <m:nor/>
                <m:sty m:val="p"/>
              </m:rPr>
              <w:rPr>
                <w:rFonts w:hint="eastAsia"/>
                <w:iCs/>
              </w:rPr>
              <m:t>p</m:t>
            </m:r>
            <m:ctrlPr>
              <w:rPr>
                <w:rFonts w:ascii="Cambria Math" w:hAnsi="Cambria Math"/>
                <w:i/>
                <w:iCs/>
              </w:rPr>
            </m:ctrlPr>
          </m:sub>
        </m:sSub>
        <m:r>
          <m:rPr/>
          <w:rPr>
            <w:rFonts w:ascii="Cambria Math" w:hAnsi="Cambria Math"/>
          </w:rPr>
          <m:t>=0.9</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m:nor/>
                <m:sty m:val="p"/>
              </m:rPr>
              <w:rPr>
                <w:iCs/>
              </w:rPr>
              <m:t>ptk</m:t>
            </m:r>
            <m:ctrlPr>
              <w:rPr>
                <w:rFonts w:ascii="Cambria Math" w:hAnsi="Cambria Math"/>
                <w:i/>
                <w:iCs/>
              </w:rPr>
            </m:ctrlPr>
          </m:sub>
        </m:sSub>
        <m:r>
          <m:rPr/>
          <w:rPr>
            <w:rFonts w:ascii="Cambria Math" w:hAnsi="Cambria Math"/>
          </w:rPr>
          <m:t>+</m:t>
        </m:r>
        <m:d>
          <m:dPr>
            <m:ctrlPr>
              <w:rPr>
                <w:rFonts w:ascii="Cambria Math" w:hAnsi="Cambria Math"/>
                <w:i/>
                <w:iCs/>
              </w:rPr>
            </m:ctrlPr>
          </m:dPr>
          <m:e>
            <m:f>
              <m:fPr>
                <m:ctrlPr>
                  <w:rPr>
                    <w:rFonts w:ascii="Cambria Math" w:hAnsi="Cambria Math" w:cs="Cambria Math"/>
                    <w:i/>
                    <w:iCs/>
                  </w:rPr>
                </m:ctrlPr>
              </m:fPr>
              <m:num>
                <m:r>
                  <m:rPr/>
                  <w:rPr>
                    <w:rFonts w:ascii="Cambria Math" w:hAnsi="Cambria Math"/>
                  </w:rPr>
                  <m:t>0.05</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m:nor/>
                        <m:sty m:val="p"/>
                      </m:rPr>
                      <w:rPr>
                        <w:iCs/>
                      </w:rPr>
                      <m:t>ptk</m:t>
                    </m:r>
                    <m:ctrlPr>
                      <w:rPr>
                        <w:rFonts w:ascii="Cambria Math" w:hAnsi="Cambria Math"/>
                        <w:i/>
                        <w:iCs/>
                      </w:rPr>
                    </m:ctrlPr>
                  </m:sub>
                </m:sSub>
                <m:ctrlPr>
                  <w:rPr>
                    <w:rFonts w:ascii="Cambria Math" w:hAnsi="Cambria Math"/>
                    <w:i/>
                    <w:iCs/>
                  </w:rPr>
                </m:ctrlPr>
              </m:num>
              <m:den>
                <m:r>
                  <m:rPr/>
                  <w:rPr>
                    <w:rFonts w:ascii="Cambria Math" w:hAnsi="Cambria Math"/>
                  </w:rPr>
                  <m:t>0.02−0.9</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m:nor/>
                        <m:sty m:val="p"/>
                      </m:rPr>
                      <w:rPr>
                        <w:iCs/>
                      </w:rPr>
                      <m:t>ptk</m:t>
                    </m:r>
                    <m:ctrlPr>
                      <w:rPr>
                        <w:rFonts w:ascii="Cambria Math" w:hAnsi="Cambria Math"/>
                        <w:i/>
                        <w:iCs/>
                      </w:rPr>
                    </m:ctrlPr>
                  </m:sub>
                </m:sSub>
                <m:r>
                  <m:rPr>
                    <m:lit/>
                  </m:rPr>
                  <w:rPr>
                    <w:rFonts w:ascii="Cambria Math" w:hAnsi="Cambria Math"/>
                  </w:rPr>
                  <m:t>/</m:t>
                </m:r>
                <m:sSub>
                  <m:sSubPr>
                    <m:ctrlPr>
                      <w:rPr>
                        <w:rFonts w:ascii="Cambria Math" w:hAnsi="Cambria Math"/>
                        <w:i/>
                        <w:iCs/>
                      </w:rPr>
                    </m:ctrlPr>
                  </m:sSubPr>
                  <m:e>
                    <m:r>
                      <m:rPr/>
                      <w:rPr>
                        <w:rFonts w:ascii="Cambria Math" w:hAnsi="Cambria Math"/>
                      </w:rPr>
                      <m:t>E</m:t>
                    </m:r>
                    <m:ctrlPr>
                      <w:rPr>
                        <w:rFonts w:ascii="Cambria Math" w:hAnsi="Cambria Math"/>
                        <w:i/>
                        <w:iCs/>
                      </w:rPr>
                    </m:ctrlPr>
                  </m:e>
                  <m:sub>
                    <m:r>
                      <m:rPr>
                        <m:nor/>
                        <m:sty m:val="p"/>
                      </m:rPr>
                      <w:rPr>
                        <w:iCs/>
                      </w:rPr>
                      <m:t>p</m:t>
                    </m:r>
                    <m:ctrlPr>
                      <w:rPr>
                        <w:rFonts w:ascii="Cambria Math" w:hAnsi="Cambria Math"/>
                        <w:i/>
                        <w:iCs/>
                      </w:rPr>
                    </m:ctrlPr>
                  </m:sub>
                </m:sSub>
                <m:ctrlPr>
                  <w:rPr>
                    <w:rFonts w:ascii="Cambria Math" w:hAnsi="Cambria Math"/>
                    <w:i/>
                    <w:iCs/>
                  </w:rPr>
                </m:ctrlPr>
              </m:den>
            </m:f>
            <m:ctrlPr>
              <w:rPr>
                <w:rFonts w:ascii="Cambria Math" w:hAnsi="Cambria Math"/>
                <w:i/>
                <w:iCs/>
              </w:rPr>
            </m:ctrlPr>
          </m:e>
        </m:d>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ε</m:t>
                </m:r>
                <m:ctrlPr>
                  <w:rPr>
                    <w:rFonts w:ascii="Cambria Math" w:hAnsi="Cambria Math"/>
                    <w:i/>
                    <w:iCs/>
                  </w:rPr>
                </m:ctrlPr>
              </m:e>
              <m:sub>
                <m:r>
                  <m:rPr>
                    <m:nor/>
                    <m:sty m:val="p"/>
                  </m:rPr>
                  <w:rPr>
                    <w:iCs/>
                  </w:rPr>
                  <m:t>p</m:t>
                </m:r>
                <m:ctrlPr>
                  <w:rPr>
                    <w:rFonts w:ascii="Cambria Math" w:hAnsi="Cambria Math"/>
                    <w:i/>
                    <w:iCs/>
                  </w:rPr>
                </m:ctrlPr>
              </m:sub>
            </m:sSub>
            <m:r>
              <m:rPr/>
              <w:rPr>
                <w:rFonts w:ascii="Cambria Math" w:hAnsi="Cambria Math"/>
              </w:rPr>
              <m:t>−</m:t>
            </m:r>
            <m:f>
              <m:fPr>
                <m:ctrlPr>
                  <w:rPr>
                    <w:rFonts w:ascii="Cambria Math" w:hAnsi="Cambria Math" w:cs="Cambria Math"/>
                    <w:i/>
                    <w:iCs/>
                  </w:rPr>
                </m:ctrlPr>
              </m:fPr>
              <m:num>
                <m:r>
                  <m:rPr/>
                  <w:rPr>
                    <w:rFonts w:ascii="Cambria Math" w:hAnsi="Cambria Math"/>
                  </w:rPr>
                  <m:t>0.9</m:t>
                </m:r>
                <m:sSub>
                  <m:sSubPr>
                    <m:ctrlPr>
                      <w:rPr>
                        <w:rFonts w:ascii="Cambria Math" w:hAnsi="Cambria Math"/>
                        <w:i/>
                        <w:iCs/>
                      </w:rPr>
                    </m:ctrlPr>
                  </m:sSubPr>
                  <m:e>
                    <m:r>
                      <m:rPr/>
                      <w:rPr>
                        <w:rFonts w:ascii="Cambria Math" w:hAnsi="Cambria Math"/>
                      </w:rPr>
                      <m:t>f</m:t>
                    </m:r>
                    <m:ctrlPr>
                      <w:rPr>
                        <w:rFonts w:ascii="Cambria Math" w:hAnsi="Cambria Math"/>
                        <w:i/>
                        <w:iCs/>
                      </w:rPr>
                    </m:ctrlPr>
                  </m:e>
                  <m:sub>
                    <m:r>
                      <m:rPr>
                        <m:nor/>
                        <m:sty m:val="p"/>
                      </m:rPr>
                      <w:rPr>
                        <w:iCs/>
                      </w:rPr>
                      <m:t>ptk</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w:rPr>
                        <w:rFonts w:ascii="Cambria Math" w:hAnsi="Cambria Math"/>
                      </w:rPr>
                      <m:t>E</m:t>
                    </m:r>
                    <m:ctrlPr>
                      <w:rPr>
                        <w:rFonts w:ascii="Cambria Math" w:hAnsi="Cambria Math"/>
                        <w:i/>
                        <w:iCs/>
                      </w:rPr>
                    </m:ctrlPr>
                  </m:e>
                  <m:sub>
                    <m:r>
                      <m:rPr>
                        <m:nor/>
                        <m:sty m:val="p"/>
                      </m:rPr>
                      <w:rPr>
                        <w:iCs/>
                      </w:rPr>
                      <m:t>p</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ab/>
      </w:r>
      <w:r>
        <w:rPr>
          <w:rFonts w:hint="eastAsia"/>
        </w:rPr>
        <w:t>（</w:t>
      </w:r>
      <w:r>
        <w:rPr>
          <w:rFonts w:cs="Times New Roman"/>
        </w:rPr>
        <w:fldChar w:fldCharType="begin"/>
      </w:r>
      <w:r>
        <w:instrText xml:space="preserve"> </w:instrText>
      </w:r>
      <w:r>
        <w:rPr>
          <w:rFonts w:hint="eastAsia"/>
        </w:rPr>
        <w:instrText xml:space="preserve">REF _Ref178582463 \r \h</w:instrText>
      </w:r>
      <w:r>
        <w:instrText xml:space="preserve"> </w:instrText>
      </w:r>
      <w:r>
        <w:rPr>
          <w:rFonts w:cs="Times New Roman"/>
        </w:rPr>
        <w:fldChar w:fldCharType="separate"/>
      </w:r>
      <w:r>
        <w:t>A. 0. 4</w:t>
      </w:r>
      <w:r>
        <w:rPr>
          <w:rFonts w:cs="Times New Roman"/>
        </w:rPr>
        <w:fldChar w:fldCharType="end"/>
      </w:r>
      <w:r>
        <w:noBreakHyphen/>
      </w:r>
      <w:r>
        <w:fldChar w:fldCharType="begin"/>
      </w:r>
      <w:r>
        <w:instrText xml:space="preserve"> </w:instrText>
      </w:r>
      <w:r>
        <w:rPr>
          <w:rFonts w:hint="eastAsia"/>
        </w:rPr>
        <w:instrText xml:space="preserve">SEQ 公式 \* ARABIC \s 3</w:instrText>
      </w:r>
      <w:r>
        <w:instrText xml:space="preserve"> </w:instrText>
      </w:r>
      <w:r>
        <w:fldChar w:fldCharType="separate"/>
      </w:r>
      <w:r>
        <w:t>8</w:t>
      </w:r>
      <w:r>
        <w:fldChar w:fldCharType="end"/>
      </w:r>
      <w:r>
        <w:rPr>
          <w:rFonts w:hint="eastAsia"/>
        </w:rPr>
        <w:t>）</w:t>
      </w:r>
    </w:p>
    <w:p>
      <w:pPr>
        <w:pStyle w:val="86"/>
      </w:pPr>
      <w:r>
        <w:rPr>
          <w:rFonts w:hint="eastAsia"/>
        </w:rPr>
        <w:t>式中：</w:t>
      </w:r>
      <w:r>
        <w:tab/>
      </w:r>
      <m:oMath>
        <m:sSub>
          <m:sSubPr>
            <m:ctrlPr>
              <w:rPr>
                <w:rFonts w:ascii="Cambria Math" w:hAnsi="Cambria Math" w:cs="XITS Math"/>
                <w:i/>
                <w:iCs/>
              </w:rPr>
            </m:ctrlPr>
          </m:sSubPr>
          <m:e>
            <m:r>
              <m:rPr/>
              <w:rPr>
                <w:rFonts w:ascii="Cambria Math" w:hAnsi="Cambria Math" w:cs="XITS Math"/>
              </w:rPr>
              <m:t>σ</m:t>
            </m:r>
            <m:ctrlPr>
              <w:rPr>
                <w:rFonts w:ascii="Cambria Math" w:hAnsi="Cambria Math" w:cs="XITS Math"/>
                <w:i/>
                <w:iCs/>
              </w:rPr>
            </m:ctrlPr>
          </m:e>
          <m:sub>
            <m:r>
              <m:rPr>
                <m:sty m:val="p"/>
              </m:rPr>
              <w:rPr>
                <w:rFonts w:ascii="Cambria Math" w:hAnsi="Cambria Math" w:cs="XITS Math"/>
              </w:rPr>
              <m:t>p</m:t>
            </m:r>
            <m:ctrlPr>
              <w:rPr>
                <w:rFonts w:ascii="Cambria Math" w:hAnsi="Cambria Math" w:cs="XITS Math"/>
                <w:i/>
                <w:iCs/>
              </w:rPr>
            </m:ctrlPr>
          </m:sub>
        </m:sSub>
      </m:oMath>
      <w:r>
        <w:t>——</w:t>
      </w:r>
      <w:r>
        <w:tab/>
      </w:r>
      <w:r>
        <w:rPr>
          <w:rFonts w:hint="eastAsia"/>
        </w:rPr>
        <w:t>无粘结预应力钢绞线应变为</w:t>
      </w:r>
      <m:oMath>
        <m:sSub>
          <m:sSubPr>
            <m:ctrlPr>
              <w:rPr>
                <w:rFonts w:ascii="XITS Math" w:hAnsi="XITS Math" w:cs="XITS Math"/>
              </w:rPr>
            </m:ctrlPr>
          </m:sSubPr>
          <m:e>
            <m:r>
              <m:rPr/>
              <w:rPr>
                <w:rFonts w:ascii="XITS Math" w:hAnsi="XITS Math" w:cs="XITS Math"/>
              </w:rPr>
              <m:t>ε</m:t>
            </m:r>
            <m:ctrlPr>
              <w:rPr>
                <w:rFonts w:ascii="XITS Math" w:hAnsi="XITS Math" w:cs="XITS Math"/>
              </w:rPr>
            </m:ctrlPr>
          </m:e>
          <m:sub>
            <m:r>
              <m:rPr>
                <m:sty m:val="p"/>
              </m:rPr>
              <w:rPr>
                <w:rFonts w:hint="eastAsia" w:ascii="XITS Math" w:hAnsi="XITS Math" w:cs="XITS Math"/>
              </w:rPr>
              <m:t>p</m:t>
            </m:r>
            <m:ctrlPr>
              <w:rPr>
                <w:rFonts w:ascii="XITS Math" w:hAnsi="XITS Math" w:cs="XITS Math"/>
              </w:rPr>
            </m:ctrlPr>
          </m:sub>
        </m:sSub>
      </m:oMath>
      <w:r>
        <w:rPr>
          <w:rFonts w:hint="eastAsia"/>
        </w:rPr>
        <w:t>时的拉应力（N</w:t>
      </w:r>
      <w:r>
        <w:t>/mm</w:t>
      </w:r>
      <w:r>
        <w:rPr>
          <w:vertAlign w:val="superscript"/>
        </w:rPr>
        <w:t>2</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E</m:t>
            </m:r>
            <m:ctrlPr>
              <w:rPr>
                <w:rFonts w:ascii="Cambria Math" w:hAnsi="Cambria Math" w:cs="XITS Math"/>
                <w:i/>
                <w:iCs/>
              </w:rPr>
            </m:ctrlPr>
          </m:e>
          <m:sub>
            <m:r>
              <m:rPr>
                <m:sty m:val="p"/>
              </m:rPr>
              <w:rPr>
                <w:rFonts w:ascii="Cambria Math" w:hAnsi="Cambria Math" w:cs="XITS Math"/>
              </w:rPr>
              <m:t>p</m:t>
            </m:r>
            <m:ctrlPr>
              <w:rPr>
                <w:rFonts w:ascii="Cambria Math" w:hAnsi="Cambria Math" w:cs="XITS Math"/>
                <w:i/>
                <w:iCs/>
              </w:rPr>
            </m:ctrlPr>
          </m:sub>
        </m:sSub>
      </m:oMath>
      <w:r>
        <w:t>——</w:t>
      </w:r>
      <w:r>
        <w:tab/>
      </w:r>
      <w:r>
        <w:rPr>
          <w:rFonts w:hint="eastAsia"/>
        </w:rPr>
        <w:t>无粘结预应力钢绞线的弹性模量（N</w:t>
      </w:r>
      <w:r>
        <w:t>/mm</w:t>
      </w:r>
      <w:r>
        <w:rPr>
          <w:vertAlign w:val="superscript"/>
        </w:rPr>
        <w:t>2</w:t>
      </w:r>
      <w:r>
        <w:rPr>
          <w:rFonts w:hint="eastAsia"/>
        </w:rPr>
        <w:t xml:space="preserve">） </w:t>
      </w:r>
      <w:r>
        <w:t>可取1.95×10</w:t>
      </w:r>
      <w:r>
        <w:rPr>
          <w:vertAlign w:val="superscript"/>
        </w:rPr>
        <w:t xml:space="preserve">5 </w:t>
      </w:r>
      <w:r>
        <w:t>N/mm</w:t>
      </w:r>
      <w:r>
        <w:rPr>
          <w:vertAlign w:val="superscript"/>
        </w:rPr>
        <w:t>2</w:t>
      </w:r>
      <w:r>
        <w:rPr>
          <w:rFonts w:hint="eastAsia"/>
        </w:rPr>
        <w:t>；</w:t>
      </w:r>
    </w:p>
    <w:p>
      <w:pPr>
        <w:pStyle w:val="86"/>
      </w:pPr>
      <w:r>
        <w:tab/>
      </w:r>
      <m:oMath>
        <m:sSub>
          <m:sSubPr>
            <m:ctrlPr>
              <w:rPr>
                <w:rFonts w:ascii="Cambria Math" w:hAnsi="Cambria Math" w:cs="XITS Math"/>
                <w:i/>
                <w:iCs/>
              </w:rPr>
            </m:ctrlPr>
          </m:sSubPr>
          <m:e>
            <m:r>
              <m:rPr/>
              <w:rPr>
                <w:rFonts w:ascii="Cambria Math" w:hAnsi="Cambria Math" w:cs="XITS Math"/>
              </w:rPr>
              <m:t>f</m:t>
            </m:r>
            <m:ctrlPr>
              <w:rPr>
                <w:rFonts w:ascii="Cambria Math" w:hAnsi="Cambria Math" w:cs="XITS Math"/>
                <w:i/>
                <w:iCs/>
              </w:rPr>
            </m:ctrlPr>
          </m:e>
          <m:sub>
            <m:r>
              <m:rPr>
                <m:sty m:val="p"/>
              </m:rPr>
              <w:rPr>
                <w:rFonts w:ascii="Cambria Math" w:hAnsi="Cambria Math" w:cs="XITS Math"/>
              </w:rPr>
              <m:t>ptk</m:t>
            </m:r>
            <m:ctrlPr>
              <w:rPr>
                <w:rFonts w:ascii="Cambria Math" w:hAnsi="Cambria Math" w:cs="XITS Math"/>
                <w:i/>
                <w:iCs/>
              </w:rPr>
            </m:ctrlPr>
          </m:sub>
        </m:sSub>
      </m:oMath>
      <w:r>
        <w:t>——</w:t>
      </w:r>
      <w:r>
        <w:tab/>
      </w:r>
      <w:r>
        <w:rPr>
          <w:rFonts w:hint="eastAsia"/>
        </w:rPr>
        <w:t>无粘结预应力钢绞线的极限强度标准值（N</w:t>
      </w:r>
      <w:r>
        <w:t>/mm</w:t>
      </w:r>
      <w:r>
        <w:rPr>
          <w:vertAlign w:val="superscript"/>
        </w:rPr>
        <w:t>2</w:t>
      </w:r>
      <w:r>
        <w:rPr>
          <w:rFonts w:hint="eastAsia"/>
        </w:rPr>
        <w:t>）。</w:t>
      </w:r>
    </w:p>
    <w:p>
      <w:pPr>
        <w:pStyle w:val="107"/>
      </w:pPr>
      <w:bookmarkStart w:id="527" w:name="_Ref86141254"/>
      <w:bookmarkStart w:id="528" w:name="_Toc86068027"/>
      <w:r>
        <w:t>耗能钢筋应变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s</m:t>
            </m:r>
            <m:ctrlPr>
              <w:rPr>
                <w:rFonts w:ascii="Cambria Math" w:hAnsi="Cambria Math"/>
              </w:rPr>
            </m:ctrlPr>
          </m:sub>
        </m:sSub>
      </m:oMath>
      <w:r>
        <w:t>和预应力钢绞线无</w:t>
      </w:r>
      <w:r>
        <w:rPr>
          <w:rFonts w:hint="eastAsia"/>
        </w:rPr>
        <w:t>粘结</w:t>
      </w:r>
      <w:r>
        <w:t>段的总应变</w:t>
      </w:r>
      <m:oMath>
        <m:sSub>
          <m:sSubPr>
            <m:ctrlPr>
              <w:rPr>
                <w:rFonts w:ascii="Cambria Math" w:hAnsi="Cambria Math"/>
              </w:rPr>
            </m:ctrlPr>
          </m:sSubPr>
          <m:e>
            <m:r>
              <m:rPr/>
              <w:rPr>
                <w:rFonts w:ascii="Cambria Math" w:hAnsi="Cambria Math"/>
              </w:rPr>
              <m:t>ε</m:t>
            </m:r>
            <m:ctrlPr>
              <w:rPr>
                <w:rFonts w:ascii="Cambria Math" w:hAnsi="Cambria Math"/>
              </w:rPr>
            </m:ctrlPr>
          </m:e>
          <m:sub>
            <m:r>
              <m:rPr>
                <m:sty m:val="p"/>
              </m:rPr>
              <w:rPr>
                <w:rFonts w:ascii="Cambria Math" w:hAnsi="Cambria Math"/>
              </w:rPr>
              <m:t>p</m:t>
            </m:r>
            <m:ctrlPr>
              <w:rPr>
                <w:rFonts w:ascii="Cambria Math" w:hAnsi="Cambria Math"/>
              </w:rPr>
            </m:ctrlPr>
          </m:sub>
        </m:sSub>
      </m:oMath>
      <w:r>
        <w:t>应</w:t>
      </w:r>
      <w:r>
        <w:rPr>
          <w:rFonts w:hint="eastAsia"/>
        </w:rPr>
        <w:t>满足</w:t>
      </w:r>
      <w:r>
        <w:t>下</w:t>
      </w:r>
      <w:r>
        <w:rPr>
          <w:rFonts w:hint="eastAsia"/>
        </w:rPr>
        <w:t>式</w:t>
      </w:r>
      <w:r>
        <w:t>规定：</w:t>
      </w:r>
      <w:bookmarkEnd w:id="527"/>
      <w:bookmarkEnd w:id="528"/>
    </w:p>
    <w:p>
      <w:pPr>
        <w:pStyle w:val="85"/>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s</m:t>
            </m:r>
            <m:ctrlPr>
              <w:rPr>
                <w:rFonts w:ascii="Cambria Math" w:hAnsi="Cambria Math"/>
                <w:i/>
                <w:iCs/>
              </w:rPr>
            </m:ctrlPr>
          </m:sub>
        </m:sSub>
        <m:r>
          <m:rPr/>
          <w:rPr>
            <w:rFonts w:ascii="Cambria Math" w:hAnsi="Cambria Math"/>
          </w:rPr>
          <m:t>≤0.065</m:t>
        </m:r>
      </m:oMath>
      <w:r>
        <w:tab/>
      </w:r>
      <w:r>
        <w:t>（</w:t>
      </w:r>
      <w:r>
        <w:fldChar w:fldCharType="begin"/>
      </w:r>
      <w:r>
        <w:instrText xml:space="preserve"> REF _Ref86141254 \r \h </w:instrText>
      </w:r>
      <w:r>
        <w:fldChar w:fldCharType="separate"/>
      </w:r>
      <w:r>
        <w:t>A. 0. 5</w:t>
      </w:r>
      <w:r>
        <w:fldChar w:fldCharType="end"/>
      </w:r>
      <w:r>
        <w:noBreakHyphen/>
      </w:r>
      <w:r>
        <w:t>1）</w:t>
      </w:r>
    </w:p>
    <w:p>
      <w:pPr>
        <w:pStyle w:val="85"/>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ε</m:t>
            </m:r>
            <m:ctrlPr>
              <w:rPr>
                <w:rFonts w:ascii="Cambria Math" w:hAnsi="Cambria Math"/>
                <w:i/>
                <w:iCs/>
              </w:rPr>
            </m:ctrlPr>
          </m:e>
          <m:sub>
            <m:r>
              <m:rPr/>
              <w:rPr>
                <w:rFonts w:ascii="Cambria Math" w:hAnsi="Cambria Math"/>
              </w:rPr>
              <m:t>pu</m:t>
            </m:r>
            <m:ctrlPr>
              <w:rPr>
                <w:rFonts w:ascii="Cambria Math" w:hAnsi="Cambria Math"/>
                <w:i/>
                <w:iCs/>
              </w:rPr>
            </m:ctrlPr>
          </m:sub>
        </m:sSub>
      </m:oMath>
      <w:r>
        <w:tab/>
      </w:r>
      <w:r>
        <w:t>（</w:t>
      </w:r>
      <w:r>
        <w:fldChar w:fldCharType="begin"/>
      </w:r>
      <w:r>
        <w:instrText xml:space="preserve"> REF _Ref86141254 \r \h </w:instrText>
      </w:r>
      <w:r>
        <w:fldChar w:fldCharType="separate"/>
      </w:r>
      <w:r>
        <w:t>A. 0. 5</w:t>
      </w:r>
      <w:r>
        <w:fldChar w:fldCharType="end"/>
      </w:r>
      <w:r>
        <w:noBreakHyphen/>
      </w:r>
      <w:r>
        <w:rPr>
          <w:rFonts w:hint="eastAsia"/>
        </w:rPr>
        <w:t>2</w:t>
      </w:r>
      <w:r>
        <w:t>）</w:t>
      </w:r>
    </w:p>
    <w:p>
      <w:pPr>
        <w:pStyle w:val="85"/>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pe</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pt</m:t>
            </m:r>
            <m:ctrlPr>
              <w:rPr>
                <w:rFonts w:ascii="Cambria Math" w:hAnsi="Cambria Math"/>
                <w:i/>
                <w:iCs/>
              </w:rPr>
            </m:ctrlPr>
          </m:sub>
        </m:sSub>
      </m:oMath>
      <w:r>
        <w:tab/>
      </w:r>
      <w:r>
        <w:t>（</w:t>
      </w:r>
      <w:r>
        <w:fldChar w:fldCharType="begin"/>
      </w:r>
      <w:r>
        <w:instrText xml:space="preserve"> REF _Ref86141254 \r \h </w:instrText>
      </w:r>
      <w:r>
        <w:fldChar w:fldCharType="separate"/>
      </w:r>
      <w:r>
        <w:t>A. 0. 5</w:t>
      </w:r>
      <w:r>
        <w:fldChar w:fldCharType="end"/>
      </w:r>
      <w:r>
        <w:noBreakHyphen/>
      </w:r>
      <w:r>
        <w:rPr>
          <w:rFonts w:hint="eastAsia"/>
        </w:rPr>
        <w:t>3</w:t>
      </w:r>
      <w:r>
        <w:t>）</w:t>
      </w:r>
    </w:p>
    <w:p>
      <w:pPr>
        <w:pStyle w:val="86"/>
      </w:pPr>
      <w:r>
        <w:t>式中：</w:t>
      </w: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s</m:t>
            </m:r>
            <m:ctrlPr>
              <w:rPr>
                <w:rFonts w:ascii="Cambria Math" w:hAnsi="Cambria Math"/>
                <w:i/>
                <w:iCs/>
              </w:rPr>
            </m:ctrlPr>
          </m:sub>
        </m:sSub>
      </m:oMath>
      <w:r>
        <w:t>——</w:t>
      </w:r>
      <w:r>
        <w:tab/>
      </w:r>
      <w:r>
        <w:t>耗能钢筋的应变，按</w:t>
      </w:r>
      <w:r>
        <w:rPr>
          <w:rFonts w:hint="eastAsia"/>
        </w:rPr>
        <w:t>本规程第</w:t>
      </w:r>
      <w:r>
        <w:fldChar w:fldCharType="begin"/>
      </w:r>
      <w:r>
        <w:instrText xml:space="preserve"> REF _Ref86141087 \r \h </w:instrText>
      </w:r>
      <w:r>
        <w:fldChar w:fldCharType="separate"/>
      </w:r>
      <w:r>
        <w:t>A. 0. 1</w:t>
      </w:r>
      <w:r>
        <w:fldChar w:fldCharType="end"/>
      </w:r>
      <w:r>
        <w:rPr>
          <w:rFonts w:hint="eastAsia"/>
        </w:rPr>
        <w:t>条</w:t>
      </w:r>
      <w:r>
        <w:t xml:space="preserve">计算； </w:t>
      </w:r>
    </w:p>
    <w:p>
      <w:pPr>
        <w:pStyle w:val="86"/>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pu</m:t>
            </m:r>
            <m:ctrlPr>
              <w:rPr>
                <w:rFonts w:ascii="Cambria Math" w:hAnsi="Cambria Math"/>
                <w:i/>
                <w:iCs/>
              </w:rPr>
            </m:ctrlPr>
          </m:sub>
        </m:sSub>
      </m:oMath>
      <w:r>
        <w:t>——</w:t>
      </w:r>
      <w:r>
        <w:tab/>
      </w:r>
      <w:r>
        <w:t>无</w:t>
      </w:r>
      <w:r>
        <w:rPr>
          <w:rFonts w:hint="eastAsia"/>
        </w:rPr>
        <w:t>粘结</w:t>
      </w:r>
      <w:r>
        <w:t>预应力钢绞线应力达到0.95</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ptk</m:t>
            </m:r>
            <m:ctrlPr>
              <w:rPr>
                <w:rFonts w:ascii="Cambria Math" w:hAnsi="Cambria Math"/>
              </w:rPr>
            </m:ctrlPr>
          </m:sub>
        </m:sSub>
      </m:oMath>
      <w:r>
        <w:t>时的应变；</w:t>
      </w:r>
    </w:p>
    <w:p>
      <w:pPr>
        <w:pStyle w:val="86"/>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pt</m:t>
            </m:r>
            <m:ctrlPr>
              <w:rPr>
                <w:rFonts w:ascii="Cambria Math" w:hAnsi="Cambria Math"/>
                <w:i/>
                <w:iCs/>
              </w:rPr>
            </m:ctrlPr>
          </m:sub>
        </m:sSub>
      </m:oMath>
      <w:r>
        <w:t>——</w:t>
      </w:r>
      <w:r>
        <w:tab/>
      </w:r>
      <w:r>
        <w:t>无</w:t>
      </w:r>
      <w:r>
        <w:rPr>
          <w:rFonts w:hint="eastAsia"/>
        </w:rPr>
        <w:t>粘结</w:t>
      </w:r>
      <w:r>
        <w:t>预应力钢绞线在结合面缝隙张开时的附加应变，按本</w:t>
      </w:r>
      <w:r>
        <w:rPr>
          <w:rFonts w:hint="eastAsia"/>
        </w:rPr>
        <w:t>规程</w:t>
      </w:r>
      <w:r>
        <w:t>第</w:t>
      </w:r>
      <w:r>
        <w:fldChar w:fldCharType="begin"/>
      </w:r>
      <w:r>
        <w:instrText xml:space="preserve"> REF _Ref86141087 \r \h </w:instrText>
      </w:r>
      <w:r>
        <w:fldChar w:fldCharType="separate"/>
      </w:r>
      <w:r>
        <w:t>A. 0. 1</w:t>
      </w:r>
      <w:r>
        <w:fldChar w:fldCharType="end"/>
      </w:r>
      <w:r>
        <w:rPr>
          <w:rFonts w:hint="eastAsia"/>
        </w:rPr>
        <w:t>条</w:t>
      </w:r>
      <w:r>
        <w:t xml:space="preserve">计算； </w:t>
      </w:r>
    </w:p>
    <w:p>
      <w:pPr>
        <w:pStyle w:val="86"/>
      </w:pPr>
      <w:r>
        <w:tab/>
      </w:r>
      <m:oMath>
        <m:sSub>
          <m:sSubPr>
            <m:ctrlPr>
              <w:rPr>
                <w:rFonts w:ascii="Cambria Math" w:hAnsi="Cambria Math"/>
                <w:i/>
                <w:iCs/>
              </w:rPr>
            </m:ctrlPr>
          </m:sSubPr>
          <m:e>
            <m:r>
              <m:rPr/>
              <w:rPr>
                <w:rFonts w:ascii="Cambria Math" w:hAnsi="Cambria Math"/>
              </w:rPr>
              <m:t>ε</m:t>
            </m:r>
            <m:ctrlPr>
              <w:rPr>
                <w:rFonts w:ascii="Cambria Math" w:hAnsi="Cambria Math"/>
                <w:i/>
                <w:iCs/>
              </w:rPr>
            </m:ctrlPr>
          </m:e>
          <m:sub>
            <m:r>
              <m:rPr>
                <m:sty m:val="p"/>
              </m:rPr>
              <w:rPr>
                <w:rFonts w:ascii="Cambria Math" w:hAnsi="Cambria Math"/>
              </w:rPr>
              <m:t>pe</m:t>
            </m:r>
            <m:ctrlPr>
              <w:rPr>
                <w:rFonts w:ascii="Cambria Math" w:hAnsi="Cambria Math"/>
                <w:i/>
                <w:iCs/>
              </w:rPr>
            </m:ctrlPr>
          </m:sub>
        </m:sSub>
      </m:oMath>
      <w:r>
        <w:t>——</w:t>
      </w:r>
      <w:r>
        <w:tab/>
      </w:r>
      <w:r>
        <w:t>考虑损失后预应力</w:t>
      </w:r>
      <w:r>
        <w:rPr>
          <w:rFonts w:hint="eastAsia"/>
        </w:rPr>
        <w:t>钢绞线</w:t>
      </w:r>
      <w:r>
        <w:t>的有效应力对应的应变</w:t>
      </w:r>
      <w:r>
        <w:rPr>
          <w:rFonts w:hint="eastAsia"/>
        </w:rPr>
        <w:t>。</w:t>
      </w:r>
    </w:p>
    <w:p/>
    <w:p>
      <w:r>
        <w:rPr>
          <w:rFonts w:hint="eastAsia"/>
        </w:rPr>
        <w:br w:type="page"/>
      </w:r>
    </w:p>
    <w:p>
      <w:pPr>
        <w:pStyle w:val="108"/>
      </w:pPr>
      <w:bookmarkStart w:id="529" w:name="_Toc92182268"/>
      <w:bookmarkStart w:id="530" w:name="_Ref173165610"/>
      <w:bookmarkStart w:id="531" w:name="_Toc202345840"/>
      <w:bookmarkStart w:id="532" w:name="_Ref167263470"/>
      <w:bookmarkStart w:id="533" w:name="_Ref173246766"/>
      <w:bookmarkStart w:id="534" w:name="_Toc91664532"/>
      <w:bookmarkStart w:id="535" w:name="_Toc91664422"/>
      <w:bookmarkStart w:id="536" w:name="_Ref172098151"/>
      <w:bookmarkStart w:id="537" w:name="_Toc86068019"/>
      <w:bookmarkStart w:id="538" w:name="_Ref172100135"/>
      <w:r>
        <w:rPr>
          <w:rFonts w:hint="eastAsia"/>
        </w:rPr>
        <w:t>预应力压接装配式结构关键节点</w:t>
      </w:r>
      <w:r>
        <w:t>弹塑性分析模型</w:t>
      </w:r>
      <w:bookmarkEnd w:id="529"/>
      <w:bookmarkEnd w:id="530"/>
      <w:bookmarkEnd w:id="531"/>
      <w:bookmarkEnd w:id="532"/>
      <w:bookmarkEnd w:id="533"/>
      <w:bookmarkEnd w:id="534"/>
      <w:bookmarkEnd w:id="535"/>
      <w:bookmarkEnd w:id="536"/>
      <w:bookmarkEnd w:id="537"/>
      <w:bookmarkEnd w:id="538"/>
    </w:p>
    <w:p>
      <w:pPr>
        <w:pStyle w:val="107"/>
      </w:pPr>
      <w:bookmarkStart w:id="539" w:name="_Ref198042354"/>
      <w:bookmarkStart w:id="540" w:name="_Toc86068021"/>
      <w:bookmarkStart w:id="541" w:name="_Ref81322167"/>
      <w:r>
        <w:t>压接装配</w:t>
      </w:r>
      <w:r>
        <w:rPr>
          <w:rFonts w:hint="eastAsia"/>
        </w:rPr>
        <w:t>框架梁柱节点、柱端钢筋耗能型节点、柱端外包钢板低损伤节点的弹塑性分析模型应符合下列规定：</w:t>
      </w:r>
      <w:bookmarkEnd w:id="539"/>
    </w:p>
    <w:p>
      <w:pPr>
        <w:pStyle w:val="70"/>
      </w:pPr>
      <w:r>
        <w:rPr>
          <w:b/>
        </w:rPr>
        <w:t>1</w:t>
      </w:r>
      <w:r>
        <w:rPr>
          <w:b/>
        </w:rPr>
        <w:tab/>
      </w:r>
      <w:r>
        <w:rPr>
          <w:rFonts w:hint="eastAsia"/>
        </w:rPr>
        <w:t>弹塑性</w:t>
      </w:r>
      <w:r>
        <w:t>分析</w:t>
      </w:r>
      <w:r>
        <w:rPr>
          <w:rFonts w:hint="eastAsia"/>
        </w:rPr>
        <w:t>模型的</w:t>
      </w:r>
      <w:r>
        <w:t>几何尺寸、连接关系、边界条件、材料性能和外界作用</w:t>
      </w:r>
      <w:r>
        <w:rPr>
          <w:rFonts w:hint="eastAsia"/>
        </w:rPr>
        <w:t>应根据节点实际情况确定；</w:t>
      </w:r>
    </w:p>
    <w:p>
      <w:pPr>
        <w:pStyle w:val="70"/>
      </w:pPr>
      <w:r>
        <w:rPr>
          <w:rFonts w:hint="eastAsia"/>
          <w:b/>
        </w:rPr>
        <w:t>2</w:t>
      </w:r>
      <w:r>
        <w:tab/>
      </w:r>
      <w:r>
        <w:rPr>
          <w:rFonts w:hint="eastAsia"/>
        </w:rPr>
        <w:t>构件采用杆系纤维截面单元模拟时，</w:t>
      </w:r>
      <w:r>
        <w:t>纤维截面模型应</w:t>
      </w:r>
      <w:r>
        <w:rPr>
          <w:rFonts w:hint="eastAsia"/>
        </w:rPr>
        <w:t>根据实际情况</w:t>
      </w:r>
      <w:r>
        <w:t>沿</w:t>
      </w:r>
      <w:r>
        <w:rPr>
          <w:rFonts w:hint="eastAsia"/>
        </w:rPr>
        <w:t>截面</w:t>
      </w:r>
      <w:r>
        <w:t>进行</w:t>
      </w:r>
      <w:r>
        <w:rPr>
          <w:rFonts w:hint="eastAsia"/>
        </w:rPr>
        <w:t>单元</w:t>
      </w:r>
      <w:r>
        <w:t>细分</w:t>
      </w:r>
      <w:r>
        <w:rPr>
          <w:rFonts w:hint="eastAsia"/>
        </w:rPr>
        <w:t>；</w:t>
      </w:r>
    </w:p>
    <w:p>
      <w:pPr>
        <w:pStyle w:val="70"/>
      </w:pPr>
      <w:r>
        <w:rPr>
          <w:b/>
        </w:rPr>
        <w:t>3</w:t>
      </w:r>
      <w:r>
        <w:rPr>
          <w:b/>
        </w:rPr>
        <w:tab/>
      </w:r>
      <w:r>
        <w:rPr>
          <w:rFonts w:hint="eastAsia"/>
        </w:rPr>
        <w:t>节点内的</w:t>
      </w:r>
      <w:r>
        <w:t>耗能钢筋宜考虑无粘段长度和应变渗透的影响</w:t>
      </w:r>
      <w:r>
        <w:rPr>
          <w:rFonts w:hint="eastAsia"/>
        </w:rPr>
        <w:t>。</w:t>
      </w:r>
      <w:r>
        <w:t>耗能钢筋应变渗透</w:t>
      </w:r>
      <w:r>
        <w:rPr>
          <w:rFonts w:hint="eastAsia"/>
        </w:rPr>
        <w:t>长度</w:t>
      </w:r>
      <w:r>
        <w:t>，对HRB400和HRB500级钢筋，</w:t>
      </w:r>
      <w:r>
        <w:rPr>
          <w:rFonts w:hint="eastAsia"/>
        </w:rPr>
        <w:t>有削弱的无粘结段可</w:t>
      </w:r>
      <w:r>
        <w:t>分别取</w:t>
      </w:r>
      <w:r>
        <w:rPr>
          <w:rFonts w:hint="eastAsia"/>
        </w:rPr>
        <w:t>1d</w:t>
      </w:r>
      <w:r>
        <w:t>和</w:t>
      </w:r>
      <w:r>
        <w:rPr>
          <w:rFonts w:hint="eastAsia"/>
        </w:rPr>
        <w:t>1.2</w:t>
      </w:r>
      <w:r>
        <w:t>5</w:t>
      </w:r>
      <w:r>
        <w:rPr>
          <w:rFonts w:hint="eastAsia"/>
        </w:rPr>
        <w:t>d，无削弱的无粘结段可</w:t>
      </w:r>
      <w:r>
        <w:t>分别取</w:t>
      </w:r>
      <w:r>
        <w:rPr>
          <w:rFonts w:hint="eastAsia"/>
        </w:rPr>
        <w:t>4d</w:t>
      </w:r>
      <w:r>
        <w:t>和</w:t>
      </w:r>
      <w:r>
        <w:rPr>
          <w:rFonts w:hint="eastAsia"/>
        </w:rPr>
        <w:t>5d，d为耗能钢筋直径；</w:t>
      </w:r>
    </w:p>
    <w:p>
      <w:pPr>
        <w:pStyle w:val="70"/>
      </w:pPr>
      <w:r>
        <w:rPr>
          <w:b/>
        </w:rPr>
        <w:t>4</w:t>
      </w:r>
      <w:r>
        <w:rPr>
          <w:b/>
        </w:rPr>
        <w:tab/>
      </w:r>
      <w:r>
        <w:t>混凝土材料的本构模型应包含下降段</w:t>
      </w:r>
      <w:r>
        <w:rPr>
          <w:rFonts w:hint="eastAsia"/>
        </w:rPr>
        <w:t>，耗能钢筋宜计入钢筋受压屈曲效应的影响。</w:t>
      </w:r>
    </w:p>
    <w:p>
      <w:pPr>
        <w:pStyle w:val="107"/>
      </w:pPr>
      <w:bookmarkStart w:id="542" w:name="_Ref178582545"/>
      <w:r>
        <w:t>压接装配</w:t>
      </w:r>
      <w:r>
        <w:rPr>
          <w:rFonts w:hint="eastAsia"/>
        </w:rPr>
        <w:t>框架梁柱节点</w:t>
      </w:r>
      <w:r>
        <w:t>弹塑性分析模型</w:t>
      </w:r>
      <w:r>
        <w:rPr>
          <w:rFonts w:hint="eastAsia"/>
        </w:rPr>
        <w:t>尚</w:t>
      </w:r>
      <w:r>
        <w:t>应符合下列规定：</w:t>
      </w:r>
      <w:bookmarkEnd w:id="540"/>
      <w:bookmarkEnd w:id="541"/>
      <w:bookmarkEnd w:id="542"/>
    </w:p>
    <w:p>
      <w:pPr>
        <w:pStyle w:val="70"/>
      </w:pPr>
      <w:bookmarkStart w:id="543" w:name="_Toc86068020"/>
      <w:r>
        <w:rPr>
          <w:rFonts w:hint="eastAsia"/>
          <w:b/>
        </w:rPr>
        <w:t>1</w:t>
      </w:r>
      <w:r>
        <w:rPr>
          <w:b/>
        </w:rPr>
        <w:tab/>
      </w:r>
      <w:r>
        <w:rPr>
          <w:rFonts w:hint="eastAsia"/>
        </w:rPr>
        <w:t>压接装配梁柱节点</w:t>
      </w:r>
      <w:r>
        <w:t>的</w:t>
      </w:r>
      <w:r>
        <w:rPr>
          <w:rFonts w:hint="eastAsia"/>
        </w:rPr>
        <w:t>弹塑性</w:t>
      </w:r>
      <w:r>
        <w:t>分析</w:t>
      </w:r>
      <w:r>
        <w:rPr>
          <w:rFonts w:hint="eastAsia"/>
        </w:rPr>
        <w:t>模型</w:t>
      </w:r>
      <w:r>
        <w:t>，应</w:t>
      </w:r>
      <w:r>
        <w:rPr>
          <w:rFonts w:hint="eastAsia"/>
        </w:rPr>
        <w:t>能够正确模拟外力作用下预应力钢绞线和耗能钢筋无粘结区段的应变一致特性，应能正确模拟梁柱接触面在外力作用下的开合行为</w:t>
      </w:r>
      <w:bookmarkEnd w:id="543"/>
      <w:r>
        <w:rPr>
          <w:rFonts w:hint="eastAsia"/>
        </w:rPr>
        <w:t>；</w:t>
      </w:r>
    </w:p>
    <w:p>
      <w:pPr>
        <w:pStyle w:val="70"/>
      </w:pPr>
      <w:r>
        <w:rPr>
          <w:b/>
        </w:rPr>
        <w:t>2</w:t>
      </w:r>
      <w:r>
        <w:rPr>
          <w:b/>
        </w:rPr>
        <w:tab/>
      </w:r>
      <w:r>
        <w:rPr>
          <w:rFonts w:hint="eastAsia"/>
        </w:rPr>
        <w:t>宜采用杆系单元进行</w:t>
      </w:r>
      <w:r>
        <w:t>节点弹塑性</w:t>
      </w:r>
      <w:r>
        <w:rPr>
          <w:rFonts w:hint="eastAsia"/>
        </w:rPr>
        <w:t>模拟分析，梁柱节点区域宜设置为刚臂，刚臂外梁柱单元宜采用纤维截面单元模拟，</w:t>
      </w:r>
      <w:r>
        <w:t>梁端部与柱结合面处可假定无竖向滑移</w:t>
      </w:r>
      <w:r>
        <w:rPr>
          <w:rFonts w:hint="eastAsia"/>
        </w:rPr>
        <w:t>，梁端耗能钢筋无粘结段部分和预应力钢绞线应采用单独的杆或索单元模拟（图</w:t>
      </w:r>
      <w:r>
        <w:fldChar w:fldCharType="begin"/>
      </w:r>
      <w:r>
        <w:instrText xml:space="preserve"> </w:instrText>
      </w:r>
      <w:r>
        <w:rPr>
          <w:rFonts w:hint="eastAsia"/>
        </w:rPr>
        <w:instrText xml:space="preserve">REF _Ref178582545 \r \h</w:instrText>
      </w:r>
      <w:r>
        <w:instrText xml:space="preserve"> </w:instrText>
      </w:r>
      <w:r>
        <w:fldChar w:fldCharType="separate"/>
      </w:r>
      <w:r>
        <w:t>B. 0. 2</w:t>
      </w:r>
      <w:r>
        <w:fldChar w:fldCharType="end"/>
      </w:r>
      <w:r>
        <w:rPr>
          <w:rFonts w:hint="eastAsia"/>
        </w:rPr>
        <w:t>）；</w:t>
      </w:r>
    </w:p>
    <w:p>
      <w:pPr>
        <w:pStyle w:val="70"/>
      </w:pPr>
      <w:r>
        <w:rPr>
          <w:b/>
        </w:rPr>
        <w:t>3</w:t>
      </w:r>
      <w:r>
        <w:rPr>
          <w:b/>
        </w:rPr>
        <w:tab/>
      </w:r>
      <w:r>
        <w:rPr>
          <w:rFonts w:hint="eastAsia"/>
        </w:rPr>
        <w:t>预应力钢绞线在梁跨中部分金属波纹管中粘结锚固时，计算分析中</w:t>
      </w:r>
      <w:r>
        <w:t>宜</w:t>
      </w:r>
      <w:r>
        <w:rPr>
          <w:rFonts w:hint="eastAsia"/>
        </w:rPr>
        <w:t>考虑锚固</w:t>
      </w:r>
      <w:r>
        <w:t>应变渗透</w:t>
      </w:r>
      <w:r>
        <w:rPr>
          <w:rFonts w:hint="eastAsia"/>
        </w:rPr>
        <w:t>的影响，预应力钢绞线粘结端的</w:t>
      </w:r>
      <w:r>
        <w:t>应变渗透</w:t>
      </w:r>
      <w:r>
        <w:rPr>
          <w:rFonts w:hint="eastAsia"/>
        </w:rPr>
        <w:t>长度可取单根预应力钢绞线公称直径的20倍。</w:t>
      </w:r>
    </w:p>
    <w:tbl>
      <w:tblPr>
        <w:tblStyle w:val="32"/>
        <w:tblW w:w="0" w:type="auto"/>
        <w:tblInd w:w="0" w:type="dxa"/>
        <w:tblLayout w:type="autofit"/>
        <w:tblCellMar>
          <w:top w:w="0" w:type="dxa"/>
          <w:left w:w="108" w:type="dxa"/>
          <w:bottom w:w="0" w:type="dxa"/>
          <w:right w:w="108" w:type="dxa"/>
        </w:tblCellMar>
      </w:tblPr>
      <w:tblGrid>
        <w:gridCol w:w="4261"/>
        <w:gridCol w:w="427"/>
        <w:gridCol w:w="3834"/>
      </w:tblGrid>
      <w:tr>
        <w:tblPrEx>
          <w:tblCellMar>
            <w:top w:w="0" w:type="dxa"/>
            <w:left w:w="108" w:type="dxa"/>
            <w:bottom w:w="0" w:type="dxa"/>
            <w:right w:w="108" w:type="dxa"/>
          </w:tblCellMar>
        </w:tblPrEx>
        <w:tc>
          <w:tcPr>
            <w:tcW w:w="4261" w:type="dxa"/>
          </w:tcPr>
          <w:p>
            <w:pPr>
              <w:pStyle w:val="65"/>
            </w:pPr>
            <w:r>
              <w:drawing>
                <wp:inline distT="0" distB="0" distL="0" distR="0">
                  <wp:extent cx="2519680" cy="1788160"/>
                  <wp:effectExtent l="0" t="0" r="0" b="2540"/>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tc>
        <w:tc>
          <w:tcPr>
            <w:tcW w:w="4261" w:type="dxa"/>
            <w:gridSpan w:val="2"/>
            <w:vAlign w:val="center"/>
          </w:tcPr>
          <w:p>
            <w:pPr>
              <w:pStyle w:val="65"/>
            </w:pPr>
            <w:r>
              <w:drawing>
                <wp:inline distT="0" distB="0" distL="0" distR="0">
                  <wp:extent cx="2520950" cy="1786255"/>
                  <wp:effectExtent l="0" t="0" r="0" b="4445"/>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2520950" cy="17862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1" w:type="dxa"/>
          </w:tcPr>
          <w:p>
            <w:pPr>
              <w:pStyle w:val="65"/>
            </w:pPr>
            <w:r>
              <w:rPr>
                <w:rFonts w:hint="eastAsia"/>
              </w:rPr>
              <w:t>（a） 梁板柱复合梁柱节点</w:t>
            </w:r>
          </w:p>
        </w:tc>
        <w:tc>
          <w:tcPr>
            <w:tcW w:w="4261" w:type="dxa"/>
            <w:gridSpan w:val="2"/>
            <w:vAlign w:val="center"/>
          </w:tcPr>
          <w:p>
            <w:pPr>
              <w:pStyle w:val="65"/>
            </w:pPr>
            <w:r>
              <w:rPr>
                <w:rFonts w:hint="eastAsia"/>
              </w:rPr>
              <w:t>（b） 自复位梁柱节点</w:t>
            </w:r>
          </w:p>
        </w:tc>
      </w:tr>
      <w:tr>
        <w:tblPrEx>
          <w:tblCellMar>
            <w:top w:w="0" w:type="dxa"/>
            <w:left w:w="108" w:type="dxa"/>
            <w:bottom w:w="0" w:type="dxa"/>
            <w:right w:w="108" w:type="dxa"/>
          </w:tblCellMar>
        </w:tblPrEx>
        <w:tc>
          <w:tcPr>
            <w:tcW w:w="4688" w:type="dxa"/>
            <w:gridSpan w:val="2"/>
            <w:vAlign w:val="center"/>
          </w:tcPr>
          <w:p>
            <w:pPr>
              <w:pStyle w:val="65"/>
            </w:pPr>
            <w:r>
              <w:drawing>
                <wp:inline distT="0" distB="0" distL="0" distR="0">
                  <wp:extent cx="2839720" cy="1576070"/>
                  <wp:effectExtent l="0" t="0" r="0" b="5080"/>
                  <wp:docPr id="103" name="图片 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2848540" cy="1581524"/>
                          </a:xfrm>
                          <a:prstGeom prst="rect">
                            <a:avLst/>
                          </a:prstGeom>
                          <a:noFill/>
                          <a:ln>
                            <a:noFill/>
                          </a:ln>
                        </pic:spPr>
                      </pic:pic>
                    </a:graphicData>
                  </a:graphic>
                </wp:inline>
              </w:drawing>
            </w:r>
          </w:p>
        </w:tc>
        <w:tc>
          <w:tcPr>
            <w:tcW w:w="3834" w:type="dxa"/>
            <w:vAlign w:val="center"/>
          </w:tcPr>
          <w:p>
            <w:pPr>
              <w:pStyle w:val="65"/>
            </w:pPr>
            <w:r>
              <w:drawing>
                <wp:inline distT="0" distB="0" distL="0" distR="0">
                  <wp:extent cx="1793240" cy="1513205"/>
                  <wp:effectExtent l="0" t="0" r="0" b="0"/>
                  <wp:docPr id="104" name="图片 1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0" y="0"/>
                            <a:ext cx="1800090" cy="1519500"/>
                          </a:xfrm>
                          <a:prstGeom prst="rect">
                            <a:avLst/>
                          </a:prstGeom>
                          <a:noFill/>
                          <a:ln>
                            <a:noFill/>
                          </a:ln>
                        </pic:spPr>
                      </pic:pic>
                    </a:graphicData>
                  </a:graphic>
                </wp:inline>
              </w:drawing>
            </w:r>
          </w:p>
        </w:tc>
      </w:tr>
    </w:tbl>
    <w:p>
      <w:pPr>
        <w:pStyle w:val="69"/>
      </w:pPr>
      <w:r>
        <w:rPr>
          <w:rFonts w:hint="eastAsia"/>
        </w:rPr>
        <w:t>图</w:t>
      </w:r>
      <w:r>
        <w:fldChar w:fldCharType="begin"/>
      </w:r>
      <w:r>
        <w:instrText xml:space="preserve"> </w:instrText>
      </w:r>
      <w:r>
        <w:rPr>
          <w:rFonts w:hint="eastAsia"/>
        </w:rPr>
        <w:instrText xml:space="preserve">REF _Ref178582545 \r \h</w:instrText>
      </w:r>
      <w:r>
        <w:instrText xml:space="preserve"> </w:instrText>
      </w:r>
      <w:r>
        <w:fldChar w:fldCharType="separate"/>
      </w:r>
      <w:r>
        <w:t>B. 0. 2</w:t>
      </w:r>
      <w:r>
        <w:fldChar w:fldCharType="end"/>
      </w:r>
      <w:r>
        <w:t xml:space="preserve">  </w:t>
      </w:r>
      <w:r>
        <w:rPr>
          <w:rFonts w:hint="eastAsia"/>
        </w:rPr>
        <w:t>压接装配框架梁柱节点</w:t>
      </w:r>
      <w:r>
        <w:t>弹塑性模型简图</w:t>
      </w:r>
    </w:p>
    <w:p>
      <w:pPr>
        <w:pStyle w:val="69"/>
      </w:pPr>
      <w:r>
        <w:t>1—纤维梁</w:t>
      </w:r>
      <w:r>
        <w:rPr>
          <w:rFonts w:hint="eastAsia"/>
        </w:rPr>
        <w:t>柱</w:t>
      </w:r>
      <w:r>
        <w:t>单元；2—刚臂；3—梁端纤维单元；4—预应力筋单元；5—耗能钢筋单元；6—约束混凝土纤维；7—普通混凝土纤维；8—钢筋纤维</w:t>
      </w:r>
    </w:p>
    <w:p>
      <w:pPr>
        <w:pStyle w:val="107"/>
      </w:pPr>
      <w:bookmarkStart w:id="544" w:name="_Ref86397261"/>
      <w:bookmarkStart w:id="545" w:name="_Toc86068022"/>
      <w:bookmarkStart w:id="546" w:name="_Ref178582582"/>
      <w:r>
        <w:rPr>
          <w:rFonts w:hint="eastAsia"/>
        </w:rPr>
        <w:t>柱端钢筋耗能型节点和柱端外包钢板低损伤节点</w:t>
      </w:r>
      <w:r>
        <w:t>弹塑性分析模型，</w:t>
      </w:r>
      <w:r>
        <w:rPr>
          <w:rFonts w:hint="eastAsia"/>
        </w:rPr>
        <w:t>尚</w:t>
      </w:r>
      <w:r>
        <w:t>应符合下列规定：</w:t>
      </w:r>
      <w:bookmarkEnd w:id="544"/>
      <w:bookmarkEnd w:id="545"/>
      <w:bookmarkEnd w:id="546"/>
    </w:p>
    <w:p>
      <w:pPr>
        <w:pStyle w:val="70"/>
      </w:pPr>
      <w:r>
        <w:rPr>
          <w:rFonts w:hint="eastAsia"/>
          <w:b/>
        </w:rPr>
        <w:t>1</w:t>
      </w:r>
      <w:r>
        <w:tab/>
      </w:r>
      <w:r>
        <w:rPr>
          <w:rFonts w:hint="eastAsia"/>
        </w:rPr>
        <w:t>柱端钢筋耗能型节点和柱端外包钢板低损伤节点</w:t>
      </w:r>
      <w:r>
        <w:t>弹塑性分析模型，应</w:t>
      </w:r>
      <w:r>
        <w:rPr>
          <w:rFonts w:hint="eastAsia"/>
        </w:rPr>
        <w:t>能正确模拟外力作用下耗能钢筋无粘结区段的应变一致特性，应能正确模拟柱底与下部结构接触面在外力作用下的开合行为；</w:t>
      </w:r>
    </w:p>
    <w:p>
      <w:pPr>
        <w:pStyle w:val="70"/>
      </w:pPr>
      <w:r>
        <w:rPr>
          <w:b/>
        </w:rPr>
        <w:t>2</w:t>
      </w:r>
      <w:r>
        <w:tab/>
      </w:r>
      <w:r>
        <w:rPr>
          <w:rFonts w:hint="eastAsia"/>
        </w:rPr>
        <w:t>宜采用杆系单元进行</w:t>
      </w:r>
      <w:r>
        <w:t>节点弹塑性</w:t>
      </w:r>
      <w:r>
        <w:rPr>
          <w:rFonts w:hint="eastAsia"/>
        </w:rPr>
        <w:t>模拟分析，柱身宜采用纤维截面单元模拟，柱</w:t>
      </w:r>
      <w:r>
        <w:t>端部与</w:t>
      </w:r>
      <w:r>
        <w:rPr>
          <w:rFonts w:hint="eastAsia"/>
        </w:rPr>
        <w:t>基础</w:t>
      </w:r>
      <w:r>
        <w:t>结合面处可假定无</w:t>
      </w:r>
      <w:r>
        <w:rPr>
          <w:rFonts w:hint="eastAsia"/>
        </w:rPr>
        <w:t>水平</w:t>
      </w:r>
      <w:r>
        <w:t>滑移</w:t>
      </w:r>
      <w:r>
        <w:rPr>
          <w:rFonts w:hint="eastAsia"/>
        </w:rPr>
        <w:t>，柱端耗能钢筋无粘结段部分应采用单独的杆单元模拟（图</w:t>
      </w:r>
      <w:r>
        <w:fldChar w:fldCharType="begin"/>
      </w:r>
      <w:r>
        <w:instrText xml:space="preserve"> </w:instrText>
      </w:r>
      <w:r>
        <w:rPr>
          <w:rFonts w:hint="eastAsia"/>
        </w:rPr>
        <w:instrText xml:space="preserve">REF _Ref86397261 \r \h</w:instrText>
      </w:r>
      <w:r>
        <w:instrText xml:space="preserve"> </w:instrText>
      </w:r>
      <w:r>
        <w:fldChar w:fldCharType="separate"/>
      </w:r>
      <w:r>
        <w:t>B. 0. 3</w:t>
      </w:r>
      <w:r>
        <w:fldChar w:fldCharType="end"/>
      </w:r>
      <w:r>
        <w:rPr>
          <w:rFonts w:hint="eastAsia"/>
        </w:rPr>
        <w:t>）；</w:t>
      </w:r>
    </w:p>
    <w:tbl>
      <w:tblPr>
        <w:tblStyle w:val="32"/>
        <w:tblW w:w="0" w:type="auto"/>
        <w:tblInd w:w="0" w:type="dxa"/>
        <w:tblLayout w:type="autofit"/>
        <w:tblCellMar>
          <w:top w:w="0" w:type="dxa"/>
          <w:left w:w="108" w:type="dxa"/>
          <w:bottom w:w="0" w:type="dxa"/>
          <w:right w:w="108" w:type="dxa"/>
        </w:tblCellMar>
      </w:tblPr>
      <w:tblGrid>
        <w:gridCol w:w="4184"/>
        <w:gridCol w:w="4184"/>
      </w:tblGrid>
      <w:tr>
        <w:tblPrEx>
          <w:tblCellMar>
            <w:top w:w="0" w:type="dxa"/>
            <w:left w:w="108" w:type="dxa"/>
            <w:bottom w:w="0" w:type="dxa"/>
            <w:right w:w="108" w:type="dxa"/>
          </w:tblCellMar>
        </w:tblPrEx>
        <w:trPr>
          <w:trHeight w:val="249" w:hRule="atLeast"/>
        </w:trPr>
        <w:tc>
          <w:tcPr>
            <w:tcW w:w="4153" w:type="dxa"/>
          </w:tcPr>
          <w:p>
            <w:pPr>
              <w:pStyle w:val="65"/>
              <w:rPr>
                <w:highlight w:val="yellow"/>
              </w:rPr>
            </w:pPr>
            <w:r>
              <w:drawing>
                <wp:inline distT="0" distB="0" distL="0" distR="0">
                  <wp:extent cx="2519680" cy="1788160"/>
                  <wp:effectExtent l="0" t="0" r="0" b="2540"/>
                  <wp:docPr id="105" name="图片 1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true" noChangeArrowheads="true"/>
                          </pic:cNvPicPr>
                        </pic:nvPicPr>
                        <pic:blipFill>
                          <a:blip r:embed="rId47">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tc>
        <w:tc>
          <w:tcPr>
            <w:tcW w:w="4153" w:type="dxa"/>
          </w:tcPr>
          <w:p>
            <w:pPr>
              <w:pStyle w:val="65"/>
              <w:rPr>
                <w:highlight w:val="yellow"/>
              </w:rPr>
            </w:pPr>
            <w:r>
              <w:drawing>
                <wp:inline distT="0" distB="0" distL="0" distR="0">
                  <wp:extent cx="2519680" cy="1788160"/>
                  <wp:effectExtent l="0" t="0" r="0" b="2540"/>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noChangeArrowheads="true"/>
                          </pic:cNvPicPr>
                        </pic:nvPicPr>
                        <pic:blipFill>
                          <a:blip r:embed="rId48">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9" w:hRule="atLeast"/>
        </w:trPr>
        <w:tc>
          <w:tcPr>
            <w:tcW w:w="4153" w:type="dxa"/>
          </w:tcPr>
          <w:p>
            <w:pPr>
              <w:pStyle w:val="65"/>
            </w:pPr>
            <w:r>
              <w:rPr>
                <w:rFonts w:hint="eastAsia"/>
              </w:rPr>
              <w:t>（a）柱端钢筋耗能型节点</w:t>
            </w:r>
          </w:p>
        </w:tc>
        <w:tc>
          <w:tcPr>
            <w:tcW w:w="4153" w:type="dxa"/>
          </w:tcPr>
          <w:p>
            <w:pPr>
              <w:pStyle w:val="65"/>
            </w:pPr>
            <w:r>
              <w:rPr>
                <w:rFonts w:hint="eastAsia"/>
              </w:rPr>
              <w:t>（</w:t>
            </w:r>
            <w:r>
              <w:t>b</w:t>
            </w:r>
            <w:r>
              <w:rPr>
                <w:rFonts w:hint="eastAsia"/>
              </w:rPr>
              <w:t>）柱端外包钢板低损伤节点</w:t>
            </w:r>
          </w:p>
        </w:tc>
      </w:tr>
      <w:tr>
        <w:tblPrEx>
          <w:tblCellMar>
            <w:top w:w="0" w:type="dxa"/>
            <w:left w:w="108" w:type="dxa"/>
            <w:bottom w:w="0" w:type="dxa"/>
            <w:right w:w="108" w:type="dxa"/>
          </w:tblCellMar>
        </w:tblPrEx>
        <w:tc>
          <w:tcPr>
            <w:tcW w:w="8306" w:type="dxa"/>
            <w:gridSpan w:val="2"/>
          </w:tcPr>
          <w:p>
            <w:pPr>
              <w:pStyle w:val="65"/>
            </w:pPr>
            <w:r>
              <w:drawing>
                <wp:inline distT="0" distB="0" distL="0" distR="0">
                  <wp:extent cx="1583690" cy="1331595"/>
                  <wp:effectExtent l="0" t="0" r="0" b="1905"/>
                  <wp:docPr id="107" name="图片 1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0" y="0"/>
                            <a:ext cx="1584000" cy="1332000"/>
                          </a:xfrm>
                          <a:prstGeom prst="rect">
                            <a:avLst/>
                          </a:prstGeom>
                          <a:noFill/>
                          <a:ln>
                            <a:noFill/>
                          </a:ln>
                        </pic:spPr>
                      </pic:pic>
                    </a:graphicData>
                  </a:graphic>
                </wp:inline>
              </w:drawing>
            </w:r>
            <w:r>
              <w:t xml:space="preserve"> </w:t>
            </w:r>
            <w:r>
              <w:drawing>
                <wp:inline distT="0" distB="0" distL="0" distR="0">
                  <wp:extent cx="1583690" cy="1331595"/>
                  <wp:effectExtent l="0" t="0" r="0" b="1905"/>
                  <wp:docPr id="108" name="图片 1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true" noChangeArrowheads="true"/>
                          </pic:cNvPicPr>
                        </pic:nvPicPr>
                        <pic:blipFill>
                          <a:blip r:embed="rId50">
                            <a:extLst>
                              <a:ext uri="{28A0092B-C50C-407E-A947-70E740481C1C}">
                                <a14:useLocalDpi xmlns:a14="http://schemas.microsoft.com/office/drawing/2010/main" val="false"/>
                              </a:ext>
                            </a:extLst>
                          </a:blip>
                          <a:srcRect/>
                          <a:stretch>
                            <a:fillRect/>
                          </a:stretch>
                        </pic:blipFill>
                        <pic:spPr>
                          <a:xfrm>
                            <a:off x="0" y="0"/>
                            <a:ext cx="1584000" cy="1332000"/>
                          </a:xfrm>
                          <a:prstGeom prst="rect">
                            <a:avLst/>
                          </a:prstGeom>
                          <a:noFill/>
                          <a:ln>
                            <a:noFill/>
                          </a:ln>
                        </pic:spPr>
                      </pic:pic>
                    </a:graphicData>
                  </a:graphic>
                </wp:inline>
              </w:drawing>
            </w:r>
            <w:r>
              <w:t xml:space="preserve"> </w:t>
            </w:r>
            <w:r>
              <w:drawing>
                <wp:inline distT="0" distB="0" distL="0" distR="0">
                  <wp:extent cx="1583690" cy="1331595"/>
                  <wp:effectExtent l="0" t="0" r="0" b="1905"/>
                  <wp:docPr id="109" name="图片 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584000" cy="1332000"/>
                          </a:xfrm>
                          <a:prstGeom prst="rect">
                            <a:avLst/>
                          </a:prstGeom>
                          <a:noFill/>
                          <a:ln>
                            <a:noFill/>
                          </a:ln>
                        </pic:spPr>
                      </pic:pic>
                    </a:graphicData>
                  </a:graphic>
                </wp:inline>
              </w:drawing>
            </w:r>
          </w:p>
        </w:tc>
      </w:tr>
    </w:tbl>
    <w:p>
      <w:pPr>
        <w:pStyle w:val="69"/>
      </w:pPr>
      <w:r>
        <w:rPr>
          <w:rFonts w:hint="eastAsia"/>
        </w:rPr>
        <w:t>图</w:t>
      </w:r>
      <w:r>
        <w:fldChar w:fldCharType="begin"/>
      </w:r>
      <w:r>
        <w:instrText xml:space="preserve"> </w:instrText>
      </w:r>
      <w:r>
        <w:rPr>
          <w:rFonts w:hint="eastAsia"/>
        </w:rPr>
        <w:instrText xml:space="preserve">REF _Ref178582582 \r \h</w:instrText>
      </w:r>
      <w:r>
        <w:instrText xml:space="preserve"> </w:instrText>
      </w:r>
      <w:r>
        <w:fldChar w:fldCharType="separate"/>
      </w:r>
      <w:r>
        <w:t>B. 0. 3</w:t>
      </w:r>
      <w:r>
        <w:fldChar w:fldCharType="end"/>
      </w:r>
      <w:r>
        <w:rPr>
          <w:rFonts w:hint="eastAsia"/>
        </w:rPr>
        <w:t>柱端钢筋耗能型节点和柱端外包钢板低损伤节点</w:t>
      </w:r>
      <w:r>
        <w:t>弹塑性模型</w:t>
      </w:r>
    </w:p>
    <w:p>
      <w:pPr>
        <w:pStyle w:val="69"/>
      </w:pPr>
      <w:r>
        <w:t>1—</w:t>
      </w:r>
      <w:r>
        <w:rPr>
          <w:rFonts w:hint="eastAsia"/>
        </w:rPr>
        <w:t>柱</w:t>
      </w:r>
      <w:r>
        <w:t>纤维单元；2—</w:t>
      </w:r>
      <w:r>
        <w:rPr>
          <w:rFonts w:hint="eastAsia"/>
        </w:rPr>
        <w:t>基础内纤维单元</w:t>
      </w:r>
      <w:r>
        <w:t>；3—</w:t>
      </w:r>
      <w:r>
        <w:rPr>
          <w:rFonts w:hint="eastAsia"/>
        </w:rPr>
        <w:t>刚臂</w:t>
      </w:r>
      <w:r>
        <w:t>；4—耗能钢筋单元；5—</w:t>
      </w:r>
      <w:r>
        <w:rPr>
          <w:rFonts w:hint="eastAsia"/>
        </w:rPr>
        <w:t>外包钢板柱纤维单元</w:t>
      </w:r>
      <w:r>
        <w:t>；6—约束混凝土纤维；7—普通混凝土纤维；8—钢筋纤维</w:t>
      </w:r>
      <w:r>
        <w:rPr>
          <w:rFonts w:hint="eastAsia"/>
        </w:rPr>
        <w:t>；9—钢板纤维</w:t>
      </w:r>
    </w:p>
    <w:p>
      <w:pPr>
        <w:pStyle w:val="70"/>
        <w:ind w:firstLine="480"/>
      </w:pPr>
    </w:p>
    <w:p>
      <w:r>
        <w:br w:type="page"/>
      </w:r>
    </w:p>
    <w:p>
      <w:pPr>
        <w:pStyle w:val="108"/>
      </w:pPr>
      <w:bookmarkStart w:id="547" w:name="_Toc202345841"/>
      <w:bookmarkStart w:id="548" w:name="_Toc91664425"/>
      <w:bookmarkStart w:id="549" w:name="_Toc91664535"/>
      <w:bookmarkStart w:id="550" w:name="_Toc86068036"/>
      <w:bookmarkStart w:id="551" w:name="_Toc92182270"/>
      <w:bookmarkStart w:id="552" w:name="_Ref172214235"/>
      <w:r>
        <w:t>预制构件出厂检查表</w:t>
      </w:r>
      <w:bookmarkEnd w:id="547"/>
      <w:bookmarkEnd w:id="548"/>
      <w:bookmarkEnd w:id="549"/>
      <w:bookmarkEnd w:id="550"/>
      <w:bookmarkEnd w:id="551"/>
      <w:bookmarkEnd w:id="552"/>
    </w:p>
    <w:p>
      <w:pPr>
        <w:pStyle w:val="107"/>
        <w:rPr>
          <w:sz w:val="21"/>
          <w:szCs w:val="21"/>
        </w:rPr>
      </w:pPr>
      <w:bookmarkStart w:id="553" w:name="_Ref172272445"/>
      <w:r>
        <w:rPr>
          <w:rFonts w:hint="eastAsia"/>
        </w:rPr>
        <w:t>压接装配结构预制框架梁出厂质量检验宜按表</w:t>
      </w:r>
      <w:r>
        <w:fldChar w:fldCharType="begin"/>
      </w:r>
      <w:r>
        <w:instrText xml:space="preserve"> </w:instrText>
      </w:r>
      <w:r>
        <w:rPr>
          <w:rFonts w:hint="eastAsia"/>
        </w:rPr>
        <w:instrText xml:space="preserve">REF _Ref172272445 \r \h</w:instrText>
      </w:r>
      <w:r>
        <w:instrText xml:space="preserve"> </w:instrText>
      </w:r>
      <w:r>
        <w:fldChar w:fldCharType="separate"/>
      </w:r>
      <w:r>
        <w:t>C. 0. 1</w:t>
      </w:r>
      <w:r>
        <w:fldChar w:fldCharType="end"/>
      </w:r>
      <w:r>
        <w:rPr>
          <w:rFonts w:hint="eastAsia"/>
        </w:rPr>
        <w:t>要求检查记录。</w:t>
      </w:r>
      <w:bookmarkEnd w:id="553"/>
    </w:p>
    <w:p>
      <w:pPr>
        <w:ind w:firstLine="496"/>
        <w:jc w:val="center"/>
        <w:rPr>
          <w:rFonts w:eastAsia="黑体"/>
          <w:sz w:val="21"/>
          <w:szCs w:val="21"/>
        </w:rPr>
      </w:pPr>
      <w:r>
        <w:rPr>
          <w:rFonts w:eastAsia="黑体"/>
          <w:sz w:val="21"/>
          <w:szCs w:val="21"/>
        </w:rPr>
        <w:t>表</w:t>
      </w:r>
      <w:r>
        <w:rPr>
          <w:rFonts w:eastAsia="黑体"/>
          <w:sz w:val="21"/>
          <w:szCs w:val="21"/>
        </w:rPr>
        <w:fldChar w:fldCharType="begin"/>
      </w:r>
      <w:r>
        <w:rPr>
          <w:rFonts w:eastAsia="黑体"/>
          <w:sz w:val="21"/>
          <w:szCs w:val="21"/>
        </w:rPr>
        <w:instrText xml:space="preserve"> REF _Ref172272445 \r \h </w:instrText>
      </w:r>
      <w:r>
        <w:rPr>
          <w:rFonts w:eastAsia="黑体"/>
          <w:sz w:val="21"/>
          <w:szCs w:val="21"/>
        </w:rPr>
        <w:fldChar w:fldCharType="separate"/>
      </w:r>
      <w:r>
        <w:rPr>
          <w:rFonts w:eastAsia="黑体"/>
          <w:sz w:val="21"/>
          <w:szCs w:val="21"/>
        </w:rPr>
        <w:t>C. 0. 1</w:t>
      </w:r>
      <w:r>
        <w:rPr>
          <w:rFonts w:eastAsia="黑体"/>
          <w:sz w:val="21"/>
          <w:szCs w:val="21"/>
        </w:rPr>
        <w:fldChar w:fldCharType="end"/>
      </w:r>
      <w:r>
        <w:rPr>
          <w:rFonts w:eastAsia="黑体"/>
          <w:sz w:val="21"/>
          <w:szCs w:val="21"/>
        </w:rPr>
        <w:t xml:space="preserve">  </w:t>
      </w:r>
      <w:r>
        <w:rPr>
          <w:rFonts w:hint="eastAsia" w:eastAsia="黑体"/>
          <w:sz w:val="21"/>
          <w:szCs w:val="21"/>
        </w:rPr>
        <w:t>压接装配结构预制框架梁出厂</w:t>
      </w:r>
      <w:r>
        <w:rPr>
          <w:rFonts w:eastAsia="黑体"/>
          <w:sz w:val="21"/>
          <w:szCs w:val="21"/>
        </w:rPr>
        <w:t>质量检验记录表</w:t>
      </w:r>
    </w:p>
    <w:tbl>
      <w:tblPr>
        <w:tblStyle w:val="8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134"/>
        <w:gridCol w:w="1951"/>
        <w:gridCol w:w="1395"/>
        <w:gridCol w:w="1215"/>
        <w:gridCol w:w="11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工程名称</w:t>
            </w:r>
          </w:p>
        </w:tc>
        <w:tc>
          <w:tcPr>
            <w:tcW w:w="4480" w:type="dxa"/>
            <w:gridSpan w:val="3"/>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ind w:firstLine="498"/>
              <w:rPr>
                <w:rFonts w:hint="eastAsia" w:ascii="MS Sans Serif" w:hAnsi="MS Sans Serif" w:eastAsia="宋体"/>
                <w:b/>
              </w:rPr>
            </w:pPr>
          </w:p>
        </w:tc>
        <w:tc>
          <w:tcPr>
            <w:tcW w:w="1215"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构件编号</w:t>
            </w:r>
          </w:p>
        </w:tc>
        <w:tc>
          <w:tcPr>
            <w:tcW w:w="1178"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ind w:firstLine="498"/>
              <w:rPr>
                <w:rFonts w:hint="eastAsia" w:ascii="MS Sans Serif" w:hAnsi="MS Sans Serif" w:eastAsia="宋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Align w:val="center"/>
          </w:tcPr>
          <w:p>
            <w:pPr>
              <w:pStyle w:val="65"/>
              <w:rPr>
                <w:rFonts w:hint="eastAsia" w:ascii="MS Sans Serif" w:hAnsi="MS Sans Serif"/>
              </w:rPr>
            </w:pPr>
            <w:r>
              <w:rPr>
                <w:rFonts w:ascii="MS Sans Serif" w:hAnsi="MS Sans Serif"/>
              </w:rPr>
              <w:t>制作班组</w:t>
            </w:r>
          </w:p>
        </w:tc>
        <w:tc>
          <w:tcPr>
            <w:tcW w:w="4480" w:type="dxa"/>
            <w:gridSpan w:val="3"/>
            <w:vAlign w:val="center"/>
          </w:tcPr>
          <w:p>
            <w:pPr>
              <w:pStyle w:val="65"/>
              <w:ind w:firstLine="496"/>
              <w:rPr>
                <w:rFonts w:hint="eastAsia" w:ascii="MS Sans Serif" w:hAnsi="MS Sans Serif"/>
              </w:rPr>
            </w:pPr>
          </w:p>
        </w:tc>
        <w:tc>
          <w:tcPr>
            <w:tcW w:w="1215" w:type="dxa"/>
            <w:vAlign w:val="center"/>
          </w:tcPr>
          <w:p>
            <w:pPr>
              <w:pStyle w:val="65"/>
              <w:rPr>
                <w:rFonts w:hint="eastAsia" w:ascii="MS Sans Serif" w:hAnsi="MS Sans Serif"/>
              </w:rPr>
            </w:pPr>
            <w:r>
              <w:rPr>
                <w:rFonts w:ascii="MS Sans Serif" w:hAnsi="MS Sans Serif"/>
              </w:rPr>
              <w:t>检验员</w:t>
            </w:r>
          </w:p>
        </w:tc>
        <w:tc>
          <w:tcPr>
            <w:tcW w:w="1178" w:type="dxa"/>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Align w:val="center"/>
          </w:tcPr>
          <w:p>
            <w:pPr>
              <w:pStyle w:val="65"/>
              <w:rPr>
                <w:rFonts w:hint="eastAsia" w:ascii="MS Sans Serif" w:hAnsi="MS Sans Serif"/>
              </w:rPr>
            </w:pPr>
            <w:r>
              <w:rPr>
                <w:rFonts w:ascii="MS Sans Serif" w:hAnsi="MS Sans Serif"/>
              </w:rPr>
              <w:t>检查项目</w:t>
            </w:r>
          </w:p>
        </w:tc>
        <w:tc>
          <w:tcPr>
            <w:tcW w:w="4480" w:type="dxa"/>
            <w:gridSpan w:val="3"/>
            <w:vAlign w:val="center"/>
          </w:tcPr>
          <w:p>
            <w:pPr>
              <w:pStyle w:val="65"/>
              <w:rPr>
                <w:rFonts w:hint="eastAsia" w:ascii="MS Sans Serif" w:hAnsi="MS Sans Serif"/>
              </w:rPr>
            </w:pPr>
            <w:r>
              <w:rPr>
                <w:rFonts w:ascii="MS Sans Serif" w:hAnsi="MS Sans Serif"/>
              </w:rPr>
              <w:t>质量检验标准</w:t>
            </w:r>
          </w:p>
        </w:tc>
        <w:tc>
          <w:tcPr>
            <w:tcW w:w="2393" w:type="dxa"/>
            <w:gridSpan w:val="2"/>
            <w:vAlign w:val="center"/>
          </w:tcPr>
          <w:p>
            <w:pPr>
              <w:pStyle w:val="65"/>
              <w:rPr>
                <w:rFonts w:hint="eastAsia" w:ascii="MS Sans Serif" w:hAnsi="MS Sans Serif"/>
              </w:rPr>
            </w:pPr>
            <w:r>
              <w:rPr>
                <w:rFonts w:ascii="MS Sans Serif" w:hAnsi="MS Sans Serif"/>
              </w:rPr>
              <w:t>检验记录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restart"/>
            <w:vAlign w:val="center"/>
          </w:tcPr>
          <w:p>
            <w:pPr>
              <w:pStyle w:val="65"/>
              <w:rPr>
                <w:rFonts w:hint="eastAsia" w:ascii="MS Sans Serif" w:hAnsi="MS Sans Serif"/>
              </w:rPr>
            </w:pPr>
            <w:r>
              <w:rPr>
                <w:rFonts w:ascii="MS Sans Serif" w:hAnsi="MS Sans Serif"/>
              </w:rPr>
              <w:t>主控项目</w:t>
            </w:r>
          </w:p>
        </w:tc>
        <w:tc>
          <w:tcPr>
            <w:tcW w:w="4480" w:type="dxa"/>
            <w:gridSpan w:val="3"/>
            <w:vAlign w:val="center"/>
          </w:tcPr>
          <w:p>
            <w:pPr>
              <w:pStyle w:val="65"/>
              <w:rPr>
                <w:rFonts w:hint="eastAsia" w:ascii="MS Sans Serif" w:hAnsi="MS Sans Serif"/>
              </w:rPr>
            </w:pPr>
            <w:r>
              <w:rPr>
                <w:rFonts w:hint="eastAsia" w:ascii="MS Sans Serif" w:hAnsi="MS Sans Serif"/>
              </w:rPr>
              <w:t>梁</w:t>
            </w:r>
            <w:r>
              <w:rPr>
                <w:rFonts w:ascii="MS Sans Serif" w:hAnsi="MS Sans Serif"/>
              </w:rPr>
              <w:t>脱模强度</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4480" w:type="dxa"/>
            <w:gridSpan w:val="3"/>
            <w:vAlign w:val="center"/>
          </w:tcPr>
          <w:p>
            <w:pPr>
              <w:pStyle w:val="65"/>
              <w:rPr>
                <w:rFonts w:hint="eastAsia" w:ascii="MS Sans Serif" w:hAnsi="MS Sans Serif"/>
              </w:rPr>
            </w:pPr>
            <w:r>
              <w:rPr>
                <w:rFonts w:hint="eastAsia" w:ascii="MS Sans Serif" w:hAnsi="MS Sans Serif"/>
              </w:rPr>
              <w:t>预埋金属波纹管通畅，无异物</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4480" w:type="dxa"/>
            <w:gridSpan w:val="3"/>
            <w:vAlign w:val="center"/>
          </w:tcPr>
          <w:p>
            <w:pPr>
              <w:pStyle w:val="65"/>
              <w:rPr>
                <w:rFonts w:hint="eastAsia" w:ascii="MS Sans Serif" w:hAnsi="MS Sans Serif"/>
              </w:rPr>
            </w:pPr>
            <w:r>
              <w:rPr>
                <w:rFonts w:ascii="MS Sans Serif" w:hAnsi="MS Sans Serif"/>
              </w:rPr>
              <w:t>梁端键槽成型质量</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4480" w:type="dxa"/>
            <w:gridSpan w:val="3"/>
            <w:vAlign w:val="center"/>
          </w:tcPr>
          <w:p>
            <w:pPr>
              <w:pStyle w:val="65"/>
              <w:rPr>
                <w:rFonts w:hint="eastAsia" w:ascii="MS Sans Serif" w:hAnsi="MS Sans Serif"/>
              </w:rPr>
            </w:pPr>
            <w:r>
              <w:rPr>
                <w:rFonts w:hint="eastAsia" w:ascii="MS Sans Serif" w:hAnsi="MS Sans Serif"/>
              </w:rPr>
              <w:t>梁</w:t>
            </w:r>
            <w:r>
              <w:rPr>
                <w:rFonts w:ascii="MS Sans Serif" w:hAnsi="MS Sans Serif"/>
              </w:rPr>
              <w:t>外观质量严重缺陷</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4480" w:type="dxa"/>
            <w:gridSpan w:val="3"/>
            <w:vAlign w:val="center"/>
          </w:tcPr>
          <w:p>
            <w:pPr>
              <w:pStyle w:val="65"/>
              <w:rPr>
                <w:rFonts w:hint="eastAsia" w:ascii="MS Sans Serif" w:hAnsi="MS Sans Serif"/>
              </w:rPr>
            </w:pPr>
            <w:r>
              <w:rPr>
                <w:rFonts w:ascii="MS Sans Serif" w:hAnsi="MS Sans Serif"/>
              </w:rPr>
              <w:t>预埋件</w:t>
            </w:r>
            <w:r>
              <w:rPr>
                <w:rFonts w:hint="eastAsia" w:ascii="MS Sans Serif" w:hAnsi="MS Sans Serif"/>
              </w:rPr>
              <w:t>和预埋金属波纹管</w:t>
            </w:r>
            <w:r>
              <w:rPr>
                <w:rFonts w:ascii="MS Sans Serif" w:hAnsi="MS Sans Serif"/>
              </w:rPr>
              <w:t>的规格、数量</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0" w:type="dxa"/>
            <w:vMerge w:val="continue"/>
            <w:vAlign w:val="center"/>
          </w:tcPr>
          <w:p>
            <w:pPr>
              <w:pStyle w:val="65"/>
              <w:ind w:firstLine="496"/>
              <w:rPr>
                <w:rFonts w:hint="eastAsia" w:ascii="MS Sans Serif" w:hAnsi="MS Sans Serif"/>
              </w:rPr>
            </w:pPr>
          </w:p>
        </w:tc>
        <w:tc>
          <w:tcPr>
            <w:tcW w:w="0" w:type="dxa"/>
            <w:gridSpan w:val="2"/>
            <w:vAlign w:val="center"/>
          </w:tcPr>
          <w:p>
            <w:pPr>
              <w:pStyle w:val="65"/>
              <w:rPr>
                <w:rFonts w:hint="eastAsia" w:ascii="MS Sans Serif" w:hAnsi="MS Sans Serif"/>
              </w:rPr>
            </w:pPr>
            <w:r>
              <w:rPr>
                <w:rFonts w:ascii="MS Sans Serif" w:hAnsi="MS Sans Serif"/>
              </w:rPr>
              <w:t>梁端</w:t>
            </w:r>
            <w:r>
              <w:rPr>
                <w:rFonts w:hint="eastAsia" w:ascii="MS Sans Serif" w:hAnsi="MS Sans Serif"/>
              </w:rPr>
              <w:t>3/L范围内</w:t>
            </w:r>
            <w:r>
              <w:rPr>
                <w:rFonts w:ascii="MS Sans Serif" w:hAnsi="MS Sans Serif"/>
              </w:rPr>
              <w:t>箍筋</w:t>
            </w:r>
            <w:r>
              <w:rPr>
                <w:rFonts w:hint="eastAsia" w:ascii="MS Sans Serif" w:hAnsi="MS Sans Serif"/>
              </w:rPr>
              <w:t>露出高度（mm）</w:t>
            </w:r>
          </w:p>
        </w:tc>
        <w:tc>
          <w:tcPr>
            <w:tcW w:w="0" w:type="dxa"/>
            <w:vAlign w:val="center"/>
          </w:tcPr>
          <w:p>
            <w:pPr>
              <w:pStyle w:val="65"/>
              <w:rPr>
                <w:rFonts w:hint="eastAsia" w:ascii="MS Sans Serif" w:hAnsi="MS Sans Serif"/>
              </w:rPr>
            </w:pPr>
            <w:r>
              <w:rPr>
                <w:rFonts w:ascii="MS Sans Serif" w:hAnsi="MS Sans Serif"/>
              </w:rPr>
              <w:t>+10，</w:t>
            </w:r>
            <w:r>
              <w:rPr>
                <w:rFonts w:hint="eastAsia" w:ascii="MS Sans Serif" w:hAnsi="MS Sans Serif"/>
              </w:rPr>
              <w:t>0</w:t>
            </w:r>
          </w:p>
        </w:tc>
        <w:tc>
          <w:tcPr>
            <w:tcW w:w="0"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3085" w:type="dxa"/>
            <w:gridSpan w:val="2"/>
            <w:vAlign w:val="center"/>
          </w:tcPr>
          <w:p>
            <w:pPr>
              <w:pStyle w:val="65"/>
              <w:rPr>
                <w:rFonts w:hint="eastAsia" w:ascii="MS Sans Serif" w:hAnsi="MS Sans Serif"/>
              </w:rPr>
            </w:pPr>
            <w:r>
              <w:rPr>
                <w:rFonts w:ascii="MS Sans Serif" w:hAnsi="MS Sans Serif"/>
              </w:rPr>
              <w:t>预留孔、</w:t>
            </w:r>
            <w:r>
              <w:rPr>
                <w:rFonts w:hint="eastAsia" w:ascii="MS Sans Serif" w:hAnsi="MS Sans Serif"/>
              </w:rPr>
              <w:t>预埋金属波纹管</w:t>
            </w:r>
          </w:p>
          <w:p>
            <w:pPr>
              <w:pStyle w:val="65"/>
              <w:rPr>
                <w:rFonts w:hint="eastAsia" w:ascii="MS Sans Serif" w:hAnsi="MS Sans Serif"/>
              </w:rPr>
            </w:pPr>
            <w:r>
              <w:rPr>
                <w:rFonts w:ascii="MS Sans Serif" w:hAnsi="MS Sans Serif"/>
              </w:rPr>
              <w:t>中心位置</w:t>
            </w:r>
            <w:r>
              <w:rPr>
                <w:rFonts w:hint="eastAsia" w:ascii="MS Sans Serif" w:hAnsi="MS Sans Serif"/>
              </w:rPr>
              <w:t>（mm）</w:t>
            </w:r>
          </w:p>
        </w:tc>
        <w:tc>
          <w:tcPr>
            <w:tcW w:w="1395" w:type="dxa"/>
            <w:vAlign w:val="center"/>
          </w:tcPr>
          <w:p>
            <w:pPr>
              <w:pStyle w:val="65"/>
              <w:rPr>
                <w:rFonts w:hint="eastAsia" w:ascii="MS Sans Serif" w:hAnsi="MS Sans Serif"/>
              </w:rPr>
            </w:pPr>
            <w:r>
              <w:rPr>
                <w:rFonts w:ascii="MS Sans Serif" w:hAnsi="MS Sans Serif"/>
              </w:rPr>
              <w:t>5</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restart"/>
            <w:vAlign w:val="center"/>
          </w:tcPr>
          <w:p>
            <w:pPr>
              <w:pStyle w:val="65"/>
              <w:rPr>
                <w:rFonts w:hint="eastAsia" w:ascii="MS Sans Serif" w:hAnsi="MS Sans Serif"/>
              </w:rPr>
            </w:pPr>
            <w:r>
              <w:rPr>
                <w:rFonts w:ascii="MS Sans Serif" w:hAnsi="MS Sans Serif"/>
              </w:rPr>
              <w:t>一般项目</w:t>
            </w:r>
          </w:p>
        </w:tc>
        <w:tc>
          <w:tcPr>
            <w:tcW w:w="1134" w:type="dxa"/>
            <w:vMerge w:val="restart"/>
            <w:vAlign w:val="center"/>
          </w:tcPr>
          <w:p>
            <w:pPr>
              <w:pStyle w:val="65"/>
              <w:rPr>
                <w:rFonts w:hint="eastAsia" w:ascii="MS Sans Serif" w:hAnsi="MS Sans Serif"/>
              </w:rPr>
            </w:pPr>
            <w:r>
              <w:rPr>
                <w:rFonts w:ascii="MS Sans Serif" w:hAnsi="MS Sans Serif"/>
              </w:rPr>
              <w:t>梁长</w:t>
            </w:r>
            <w:r>
              <w:rPr>
                <w:rFonts w:hint="eastAsia" w:ascii="MS Sans Serif" w:hAnsi="MS Sans Serif"/>
              </w:rPr>
              <w:t>（mm）</w:t>
            </w:r>
          </w:p>
        </w:tc>
        <w:tc>
          <w:tcPr>
            <w:tcW w:w="1951" w:type="dxa"/>
            <w:vAlign w:val="center"/>
          </w:tcPr>
          <w:p>
            <w:pPr>
              <w:pStyle w:val="65"/>
              <w:rPr>
                <w:rFonts w:hint="eastAsia" w:ascii="MS Sans Serif" w:hAnsi="MS Sans Serif"/>
              </w:rPr>
            </w:pPr>
            <w:r>
              <w:rPr>
                <w:rFonts w:ascii="MS Sans Serif" w:hAnsi="MS Sans Serif"/>
              </w:rPr>
              <w:t>＜12m</w:t>
            </w:r>
          </w:p>
        </w:tc>
        <w:tc>
          <w:tcPr>
            <w:tcW w:w="1395" w:type="dxa"/>
            <w:vAlign w:val="center"/>
          </w:tcPr>
          <w:p>
            <w:pPr>
              <w:pStyle w:val="65"/>
              <w:rPr>
                <w:rFonts w:hint="eastAsia" w:ascii="MS Sans Serif" w:hAnsi="MS Sans Serif"/>
              </w:rPr>
            </w:pPr>
            <w:r>
              <w:rPr>
                <w:rFonts w:ascii="MS Sans Serif" w:hAnsi="MS Sans Serif"/>
              </w:rPr>
              <w:t>±5</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1134" w:type="dxa"/>
            <w:vMerge w:val="continue"/>
            <w:vAlign w:val="center"/>
          </w:tcPr>
          <w:p>
            <w:pPr>
              <w:pStyle w:val="65"/>
              <w:ind w:firstLine="496"/>
              <w:rPr>
                <w:rFonts w:hint="eastAsia" w:ascii="MS Sans Serif" w:hAnsi="MS Sans Serif"/>
              </w:rPr>
            </w:pPr>
          </w:p>
        </w:tc>
        <w:tc>
          <w:tcPr>
            <w:tcW w:w="1951" w:type="dxa"/>
            <w:vAlign w:val="center"/>
          </w:tcPr>
          <w:p>
            <w:pPr>
              <w:pStyle w:val="65"/>
              <w:rPr>
                <w:rFonts w:hint="eastAsia" w:ascii="MS Sans Serif" w:hAnsi="MS Sans Serif"/>
              </w:rPr>
            </w:pPr>
            <w:r>
              <w:rPr>
                <w:rFonts w:ascii="MS Sans Serif" w:hAnsi="MS Sans Serif"/>
              </w:rPr>
              <w:t>≥12m且＜18m</w:t>
            </w:r>
          </w:p>
        </w:tc>
        <w:tc>
          <w:tcPr>
            <w:tcW w:w="1395" w:type="dxa"/>
            <w:vAlign w:val="center"/>
          </w:tcPr>
          <w:p>
            <w:pPr>
              <w:pStyle w:val="65"/>
              <w:rPr>
                <w:rFonts w:hint="eastAsia" w:ascii="MS Sans Serif" w:hAnsi="MS Sans Serif"/>
              </w:rPr>
            </w:pPr>
            <w:r>
              <w:rPr>
                <w:rFonts w:ascii="MS Sans Serif" w:hAnsi="MS Sans Serif"/>
              </w:rPr>
              <w:t>±10</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1134" w:type="dxa"/>
            <w:vMerge w:val="continue"/>
            <w:vAlign w:val="center"/>
          </w:tcPr>
          <w:p>
            <w:pPr>
              <w:pStyle w:val="65"/>
              <w:ind w:firstLine="496"/>
              <w:rPr>
                <w:rFonts w:hint="eastAsia" w:ascii="MS Sans Serif" w:hAnsi="MS Sans Serif"/>
              </w:rPr>
            </w:pPr>
          </w:p>
        </w:tc>
        <w:tc>
          <w:tcPr>
            <w:tcW w:w="1951" w:type="dxa"/>
            <w:vAlign w:val="center"/>
          </w:tcPr>
          <w:p>
            <w:pPr>
              <w:pStyle w:val="65"/>
              <w:rPr>
                <w:rFonts w:hint="eastAsia" w:ascii="MS Sans Serif" w:hAnsi="MS Sans Serif"/>
              </w:rPr>
            </w:pPr>
            <w:r>
              <w:rPr>
                <w:rFonts w:ascii="MS Sans Serif" w:hAnsi="MS Sans Serif"/>
              </w:rPr>
              <w:t>≥18m</w:t>
            </w:r>
          </w:p>
        </w:tc>
        <w:tc>
          <w:tcPr>
            <w:tcW w:w="1395" w:type="dxa"/>
            <w:vAlign w:val="center"/>
          </w:tcPr>
          <w:p>
            <w:pPr>
              <w:pStyle w:val="65"/>
              <w:rPr>
                <w:rFonts w:hint="eastAsia" w:ascii="MS Sans Serif" w:hAnsi="MS Sans Serif"/>
              </w:rPr>
            </w:pPr>
            <w:r>
              <w:rPr>
                <w:rFonts w:ascii="MS Sans Serif" w:hAnsi="MS Sans Serif"/>
              </w:rPr>
              <w:t>-20，10</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3085" w:type="dxa"/>
            <w:gridSpan w:val="2"/>
            <w:vAlign w:val="center"/>
          </w:tcPr>
          <w:p>
            <w:pPr>
              <w:pStyle w:val="65"/>
              <w:rPr>
                <w:rFonts w:hint="eastAsia" w:ascii="MS Sans Serif" w:hAnsi="MS Sans Serif"/>
              </w:rPr>
            </w:pPr>
            <w:r>
              <w:rPr>
                <w:rFonts w:ascii="MS Sans Serif" w:hAnsi="MS Sans Serif"/>
              </w:rPr>
              <w:t>截面宽</w:t>
            </w:r>
            <w:r>
              <w:rPr>
                <w:rFonts w:hint="eastAsia" w:ascii="MS Sans Serif" w:hAnsi="MS Sans Serif"/>
              </w:rPr>
              <w:t>、</w:t>
            </w:r>
            <w:r>
              <w:rPr>
                <w:rFonts w:ascii="MS Sans Serif" w:hAnsi="MS Sans Serif"/>
              </w:rPr>
              <w:t>高</w:t>
            </w:r>
            <w:r>
              <w:rPr>
                <w:rFonts w:hint="eastAsia" w:ascii="MS Sans Serif" w:hAnsi="MS Sans Serif"/>
              </w:rPr>
              <w:t>（mm）</w:t>
            </w:r>
          </w:p>
        </w:tc>
        <w:tc>
          <w:tcPr>
            <w:tcW w:w="1395" w:type="dxa"/>
            <w:vAlign w:val="center"/>
          </w:tcPr>
          <w:p>
            <w:pPr>
              <w:pStyle w:val="65"/>
              <w:rPr>
                <w:rFonts w:hint="eastAsia" w:ascii="MS Sans Serif" w:hAnsi="MS Sans Serif"/>
              </w:rPr>
            </w:pPr>
            <w:r>
              <w:rPr>
                <w:rFonts w:ascii="MS Sans Serif" w:hAnsi="MS Sans Serif"/>
              </w:rPr>
              <w:t>±5</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3085" w:type="dxa"/>
            <w:gridSpan w:val="2"/>
            <w:vAlign w:val="center"/>
          </w:tcPr>
          <w:p>
            <w:pPr>
              <w:pStyle w:val="65"/>
              <w:rPr>
                <w:rFonts w:hint="eastAsia" w:ascii="MS Sans Serif" w:hAnsi="MS Sans Serif"/>
              </w:rPr>
            </w:pPr>
            <w:r>
              <w:rPr>
                <w:rFonts w:ascii="MS Sans Serif" w:hAnsi="MS Sans Serif"/>
              </w:rPr>
              <w:t>表面平整</w:t>
            </w:r>
            <w:r>
              <w:rPr>
                <w:rFonts w:hint="eastAsia" w:ascii="MS Sans Serif" w:hAnsi="MS Sans Serif"/>
              </w:rPr>
              <w:t>（mm）</w:t>
            </w:r>
          </w:p>
        </w:tc>
        <w:tc>
          <w:tcPr>
            <w:tcW w:w="1395" w:type="dxa"/>
            <w:vAlign w:val="center"/>
          </w:tcPr>
          <w:p>
            <w:pPr>
              <w:pStyle w:val="65"/>
              <w:rPr>
                <w:rFonts w:hint="eastAsia" w:ascii="MS Sans Serif" w:hAnsi="MS Sans Serif"/>
              </w:rPr>
            </w:pPr>
            <w:r>
              <w:rPr>
                <w:rFonts w:ascii="MS Sans Serif" w:hAnsi="MS Sans Serif"/>
              </w:rPr>
              <w:t>5</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3085" w:type="dxa"/>
            <w:gridSpan w:val="2"/>
            <w:vAlign w:val="center"/>
          </w:tcPr>
          <w:p>
            <w:pPr>
              <w:pStyle w:val="65"/>
              <w:rPr>
                <w:rFonts w:hint="eastAsia" w:ascii="MS Sans Serif" w:hAnsi="MS Sans Serif"/>
              </w:rPr>
            </w:pPr>
            <w:r>
              <w:rPr>
                <w:rFonts w:ascii="MS Sans Serif" w:hAnsi="MS Sans Serif"/>
              </w:rPr>
              <w:t>侧向弯曲</w:t>
            </w:r>
            <w:r>
              <w:rPr>
                <w:rFonts w:hint="eastAsia" w:ascii="MS Sans Serif" w:hAnsi="MS Sans Serif"/>
              </w:rPr>
              <w:t>（mm）</w:t>
            </w:r>
          </w:p>
        </w:tc>
        <w:tc>
          <w:tcPr>
            <w:tcW w:w="1395" w:type="dxa"/>
            <w:vAlign w:val="center"/>
          </w:tcPr>
          <w:p>
            <w:pPr>
              <w:pStyle w:val="65"/>
              <w:rPr>
                <w:rFonts w:hint="eastAsia" w:ascii="MS Sans Serif" w:hAnsi="MS Sans Serif"/>
              </w:rPr>
            </w:pPr>
            <w:r>
              <w:rPr>
                <w:rFonts w:ascii="MS Sans Serif" w:hAnsi="MS Sans Serif"/>
              </w:rPr>
              <w:t>L/750且≤20</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dxa"/>
            <w:vMerge w:val="continue"/>
            <w:vAlign w:val="center"/>
          </w:tcPr>
          <w:p>
            <w:pPr>
              <w:pStyle w:val="65"/>
              <w:ind w:firstLine="496"/>
              <w:rPr>
                <w:rFonts w:hint="eastAsia" w:ascii="MS Sans Serif" w:hAnsi="MS Sans Serif"/>
              </w:rPr>
            </w:pPr>
          </w:p>
        </w:tc>
        <w:tc>
          <w:tcPr>
            <w:tcW w:w="0" w:type="dxa"/>
            <w:gridSpan w:val="2"/>
            <w:vAlign w:val="center"/>
          </w:tcPr>
          <w:p>
            <w:pPr>
              <w:pStyle w:val="65"/>
              <w:rPr>
                <w:rFonts w:hint="eastAsia" w:ascii="MS Sans Serif" w:hAnsi="MS Sans Serif"/>
              </w:rPr>
            </w:pPr>
            <w:r>
              <w:rPr>
                <w:rFonts w:ascii="MS Sans Serif" w:hAnsi="MS Sans Serif"/>
              </w:rPr>
              <w:t>预埋板、吊环、吊钉中心线位置</w:t>
            </w:r>
            <w:r>
              <w:rPr>
                <w:rFonts w:hint="eastAsia" w:ascii="MS Sans Serif" w:hAnsi="MS Sans Serif"/>
              </w:rPr>
              <w:t>（mm）</w:t>
            </w:r>
          </w:p>
        </w:tc>
        <w:tc>
          <w:tcPr>
            <w:tcW w:w="0" w:type="dxa"/>
            <w:vAlign w:val="center"/>
          </w:tcPr>
          <w:p>
            <w:pPr>
              <w:pStyle w:val="65"/>
              <w:rPr>
                <w:rFonts w:hint="eastAsia" w:ascii="MS Sans Serif" w:hAnsi="MS Sans Serif"/>
              </w:rPr>
            </w:pPr>
            <w:r>
              <w:rPr>
                <w:rFonts w:ascii="MS Sans Serif" w:hAnsi="MS Sans Serif"/>
              </w:rPr>
              <w:t>5</w:t>
            </w:r>
          </w:p>
        </w:tc>
        <w:tc>
          <w:tcPr>
            <w:tcW w:w="0"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0" w:type="dxa"/>
            <w:vMerge w:val="continue"/>
            <w:vAlign w:val="center"/>
          </w:tcPr>
          <w:p>
            <w:pPr>
              <w:pStyle w:val="65"/>
              <w:ind w:firstLine="496"/>
              <w:rPr>
                <w:rFonts w:hint="eastAsia" w:ascii="MS Sans Serif" w:hAnsi="MS Sans Serif"/>
              </w:rPr>
            </w:pPr>
          </w:p>
        </w:tc>
        <w:tc>
          <w:tcPr>
            <w:tcW w:w="0" w:type="dxa"/>
            <w:gridSpan w:val="2"/>
            <w:vAlign w:val="center"/>
          </w:tcPr>
          <w:p>
            <w:pPr>
              <w:pStyle w:val="65"/>
              <w:rPr>
                <w:rFonts w:hint="eastAsia" w:ascii="MS Sans Serif" w:hAnsi="MS Sans Serif"/>
              </w:rPr>
            </w:pPr>
            <w:r>
              <w:rPr>
                <w:rFonts w:ascii="MS Sans Serif" w:hAnsi="MS Sans Serif"/>
              </w:rPr>
              <w:t>预埋板</w:t>
            </w:r>
            <w:r>
              <w:rPr>
                <w:rFonts w:hint="eastAsia" w:ascii="MS Sans Serif" w:hAnsi="MS Sans Serif"/>
              </w:rPr>
              <w:t>与</w:t>
            </w:r>
            <w:r>
              <w:rPr>
                <w:rFonts w:ascii="MS Sans Serif" w:hAnsi="MS Sans Serif"/>
              </w:rPr>
              <w:t>混凝土面平面高差</w:t>
            </w:r>
            <w:r>
              <w:rPr>
                <w:rFonts w:hint="eastAsia" w:ascii="MS Sans Serif" w:hAnsi="MS Sans Serif"/>
              </w:rPr>
              <w:t>（mm）</w:t>
            </w:r>
          </w:p>
        </w:tc>
        <w:tc>
          <w:tcPr>
            <w:tcW w:w="0" w:type="dxa"/>
            <w:vAlign w:val="center"/>
          </w:tcPr>
          <w:p>
            <w:pPr>
              <w:pStyle w:val="65"/>
              <w:rPr>
                <w:rFonts w:hint="eastAsia" w:ascii="MS Sans Serif" w:hAnsi="MS Sans Serif"/>
              </w:rPr>
            </w:pPr>
            <w:r>
              <w:rPr>
                <w:rFonts w:ascii="MS Sans Serif" w:hAnsi="MS Sans Serif"/>
              </w:rPr>
              <w:t>-5，0</w:t>
            </w:r>
          </w:p>
        </w:tc>
        <w:tc>
          <w:tcPr>
            <w:tcW w:w="0"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0" w:type="dxa"/>
            <w:vMerge w:val="continue"/>
            <w:vAlign w:val="center"/>
          </w:tcPr>
          <w:p>
            <w:pPr>
              <w:pStyle w:val="65"/>
              <w:ind w:firstLine="496"/>
              <w:rPr>
                <w:rFonts w:hint="eastAsia" w:ascii="MS Sans Serif" w:hAnsi="MS Sans Serif"/>
              </w:rPr>
            </w:pPr>
          </w:p>
        </w:tc>
        <w:tc>
          <w:tcPr>
            <w:tcW w:w="0" w:type="dxa"/>
            <w:gridSpan w:val="2"/>
            <w:vAlign w:val="center"/>
          </w:tcPr>
          <w:p>
            <w:pPr>
              <w:pStyle w:val="65"/>
              <w:rPr>
                <w:rFonts w:hint="eastAsia" w:ascii="MS Sans Serif" w:hAnsi="MS Sans Serif"/>
              </w:rPr>
            </w:pPr>
            <w:r>
              <w:rPr>
                <w:rFonts w:ascii="MS Sans Serif" w:hAnsi="MS Sans Serif"/>
              </w:rPr>
              <w:t>金属波纹管外留长度</w:t>
            </w:r>
            <w:r>
              <w:rPr>
                <w:rFonts w:hint="eastAsia" w:ascii="MS Sans Serif" w:hAnsi="MS Sans Serif"/>
              </w:rPr>
              <w:t>（mm）</w:t>
            </w:r>
          </w:p>
        </w:tc>
        <w:tc>
          <w:tcPr>
            <w:tcW w:w="0" w:type="dxa"/>
            <w:vAlign w:val="center"/>
          </w:tcPr>
          <w:p>
            <w:pPr>
              <w:pStyle w:val="65"/>
              <w:rPr>
                <w:rFonts w:hint="eastAsia" w:ascii="MS Sans Serif" w:hAnsi="MS Sans Serif"/>
              </w:rPr>
            </w:pPr>
            <w:r>
              <w:rPr>
                <w:rFonts w:ascii="MS Sans Serif" w:hAnsi="MS Sans Serif"/>
              </w:rPr>
              <w:t>+20，0</w:t>
            </w:r>
          </w:p>
        </w:tc>
        <w:tc>
          <w:tcPr>
            <w:tcW w:w="0"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restart"/>
            <w:vAlign w:val="center"/>
          </w:tcPr>
          <w:p>
            <w:pPr>
              <w:pStyle w:val="65"/>
              <w:rPr>
                <w:rFonts w:hint="eastAsia" w:ascii="MS Sans Serif" w:hAnsi="MS Sans Serif"/>
              </w:rPr>
            </w:pPr>
            <w:r>
              <w:rPr>
                <w:rFonts w:ascii="MS Sans Serif" w:hAnsi="MS Sans Serif"/>
              </w:rPr>
              <w:t>制作单位检验结果</w:t>
            </w:r>
          </w:p>
        </w:tc>
        <w:tc>
          <w:tcPr>
            <w:tcW w:w="4480" w:type="dxa"/>
            <w:gridSpan w:val="3"/>
            <w:vAlign w:val="center"/>
          </w:tcPr>
          <w:p>
            <w:pPr>
              <w:pStyle w:val="65"/>
              <w:rPr>
                <w:rFonts w:hint="eastAsia" w:ascii="MS Sans Serif" w:hAnsi="MS Sans Serif"/>
              </w:rPr>
            </w:pPr>
            <w:r>
              <w:rPr>
                <w:rFonts w:ascii="MS Sans Serif" w:hAnsi="MS Sans Serif"/>
              </w:rPr>
              <w:t>不合格品复查返修记录</w:t>
            </w:r>
          </w:p>
        </w:tc>
        <w:tc>
          <w:tcPr>
            <w:tcW w:w="2393"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3" w:type="dxa"/>
            <w:vMerge w:val="continue"/>
            <w:vAlign w:val="center"/>
          </w:tcPr>
          <w:p>
            <w:pPr>
              <w:pStyle w:val="65"/>
              <w:ind w:firstLine="496"/>
              <w:rPr>
                <w:rFonts w:hint="eastAsia" w:ascii="MS Sans Serif" w:hAnsi="MS Sans Serif"/>
              </w:rPr>
            </w:pPr>
          </w:p>
        </w:tc>
        <w:tc>
          <w:tcPr>
            <w:tcW w:w="6873" w:type="dxa"/>
            <w:gridSpan w:val="5"/>
            <w:vAlign w:val="center"/>
          </w:tcPr>
          <w:p>
            <w:pPr>
              <w:pStyle w:val="65"/>
              <w:rPr>
                <w:rFonts w:hint="eastAsia" w:ascii="MS Sans Serif" w:hAnsi="MS Sans Serif"/>
              </w:rPr>
            </w:pPr>
            <w:r>
              <w:rPr>
                <w:rFonts w:ascii="MS Sans Serif" w:hAnsi="MS Sans Serif"/>
              </w:rPr>
              <w:t>检验结果：                           年    月    日</w:t>
            </w:r>
          </w:p>
        </w:tc>
      </w:tr>
    </w:tbl>
    <w:p>
      <w:pPr>
        <w:snapToGrid w:val="0"/>
        <w:spacing w:line="360" w:lineRule="auto"/>
        <w:ind w:firstLine="566"/>
      </w:pPr>
      <w:r>
        <w:br w:type="page"/>
      </w:r>
    </w:p>
    <w:p>
      <w:pPr>
        <w:pStyle w:val="107"/>
      </w:pPr>
      <w:bookmarkStart w:id="554" w:name="_Ref172272464"/>
      <w:r>
        <w:rPr>
          <w:rFonts w:hint="eastAsia"/>
        </w:rPr>
        <w:t>压接装配结构预制柱（墙）出厂质量检验宜按表</w:t>
      </w:r>
      <w:r>
        <w:fldChar w:fldCharType="begin"/>
      </w:r>
      <w:r>
        <w:instrText xml:space="preserve"> </w:instrText>
      </w:r>
      <w:r>
        <w:rPr>
          <w:rFonts w:hint="eastAsia"/>
        </w:rPr>
        <w:instrText xml:space="preserve">REF _Ref172272464 \r \h</w:instrText>
      </w:r>
      <w:r>
        <w:instrText xml:space="preserve"> </w:instrText>
      </w:r>
      <w:r>
        <w:fldChar w:fldCharType="separate"/>
      </w:r>
      <w:r>
        <w:t>C. 0. 2</w:t>
      </w:r>
      <w:r>
        <w:fldChar w:fldCharType="end"/>
      </w:r>
      <w:r>
        <w:rPr>
          <w:rFonts w:hint="eastAsia"/>
        </w:rPr>
        <w:t>要求检查记录。</w:t>
      </w:r>
      <w:bookmarkEnd w:id="554"/>
    </w:p>
    <w:p>
      <w:pPr>
        <w:ind w:firstLine="496"/>
        <w:jc w:val="center"/>
        <w:rPr>
          <w:rFonts w:eastAsia="黑体"/>
          <w:sz w:val="20"/>
          <w:szCs w:val="20"/>
        </w:rPr>
      </w:pPr>
      <w:r>
        <w:rPr>
          <w:rFonts w:eastAsia="黑体"/>
          <w:sz w:val="21"/>
          <w:szCs w:val="21"/>
        </w:rPr>
        <w:t>表</w:t>
      </w:r>
      <w:r>
        <w:rPr>
          <w:rFonts w:eastAsia="黑体"/>
          <w:sz w:val="21"/>
          <w:szCs w:val="21"/>
        </w:rPr>
        <w:fldChar w:fldCharType="begin"/>
      </w:r>
      <w:r>
        <w:rPr>
          <w:rFonts w:eastAsia="黑体"/>
          <w:sz w:val="21"/>
          <w:szCs w:val="21"/>
        </w:rPr>
        <w:instrText xml:space="preserve"> REF _Ref172272464 \r \h </w:instrText>
      </w:r>
      <w:r>
        <w:rPr>
          <w:rFonts w:eastAsia="黑体"/>
          <w:sz w:val="21"/>
          <w:szCs w:val="21"/>
        </w:rPr>
        <w:fldChar w:fldCharType="separate"/>
      </w:r>
      <w:r>
        <w:rPr>
          <w:rFonts w:eastAsia="黑体"/>
          <w:sz w:val="21"/>
          <w:szCs w:val="21"/>
        </w:rPr>
        <w:t>C. 0. 2</w:t>
      </w:r>
      <w:r>
        <w:rPr>
          <w:rFonts w:eastAsia="黑体"/>
          <w:sz w:val="21"/>
          <w:szCs w:val="21"/>
        </w:rPr>
        <w:fldChar w:fldCharType="end"/>
      </w:r>
      <w:r>
        <w:rPr>
          <w:rFonts w:eastAsia="黑体"/>
          <w:sz w:val="21"/>
          <w:szCs w:val="21"/>
        </w:rPr>
        <w:t xml:space="preserve">  </w:t>
      </w:r>
      <w:r>
        <w:rPr>
          <w:rFonts w:hint="eastAsia" w:eastAsia="黑体"/>
          <w:sz w:val="21"/>
          <w:szCs w:val="21"/>
        </w:rPr>
        <w:t>压接装配</w:t>
      </w:r>
      <w:r>
        <w:rPr>
          <w:rFonts w:hint="eastAsia" w:eastAsia="黑体" w:cstheme="majorBidi"/>
          <w:sz w:val="20"/>
          <w:szCs w:val="20"/>
        </w:rPr>
        <w:t>结构预制柱（墙）出厂</w:t>
      </w:r>
      <w:r>
        <w:rPr>
          <w:rFonts w:eastAsia="黑体"/>
          <w:sz w:val="21"/>
          <w:szCs w:val="21"/>
        </w:rPr>
        <w:t>质量检验记录表</w:t>
      </w:r>
    </w:p>
    <w:tbl>
      <w:tblPr>
        <w:tblStyle w:val="8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134"/>
        <w:gridCol w:w="9"/>
        <w:gridCol w:w="1975"/>
        <w:gridCol w:w="1418"/>
        <w:gridCol w:w="1134"/>
        <w:gridCol w:w="1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工程名称</w:t>
            </w:r>
          </w:p>
        </w:tc>
        <w:tc>
          <w:tcPr>
            <w:tcW w:w="4536" w:type="dxa"/>
            <w:gridSpan w:val="4"/>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ind w:firstLine="498"/>
              <w:rPr>
                <w:rFonts w:hint="eastAsia" w:ascii="MS Sans Serif" w:hAnsi="MS Sans Serif" w:eastAsia="宋体"/>
                <w:b/>
              </w:rPr>
            </w:pPr>
          </w:p>
        </w:tc>
        <w:tc>
          <w:tcPr>
            <w:tcW w:w="1134"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ascii="MS Sans Serif" w:hAnsi="MS Sans Serif" w:eastAsia="宋体"/>
                <w:b/>
              </w:rPr>
              <w:t>构件编号</w:t>
            </w:r>
          </w:p>
        </w:tc>
        <w:tc>
          <w:tcPr>
            <w:tcW w:w="1203"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ind w:firstLine="498"/>
              <w:rPr>
                <w:rFonts w:hint="eastAsia" w:ascii="MS Sans Serif" w:hAnsi="MS Sans Serif" w:eastAsia="宋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Align w:val="center"/>
          </w:tcPr>
          <w:p>
            <w:pPr>
              <w:pStyle w:val="65"/>
              <w:rPr>
                <w:rFonts w:hint="eastAsia" w:ascii="MS Sans Serif" w:hAnsi="MS Sans Serif"/>
              </w:rPr>
            </w:pPr>
            <w:r>
              <w:rPr>
                <w:rFonts w:ascii="MS Sans Serif" w:hAnsi="MS Sans Serif"/>
              </w:rPr>
              <w:t>制作班组</w:t>
            </w:r>
          </w:p>
        </w:tc>
        <w:tc>
          <w:tcPr>
            <w:tcW w:w="4536" w:type="dxa"/>
            <w:gridSpan w:val="4"/>
            <w:vAlign w:val="center"/>
          </w:tcPr>
          <w:p>
            <w:pPr>
              <w:pStyle w:val="65"/>
              <w:ind w:firstLine="496"/>
              <w:rPr>
                <w:rFonts w:hint="eastAsia" w:ascii="MS Sans Serif" w:hAnsi="MS Sans Serif"/>
              </w:rPr>
            </w:pPr>
          </w:p>
        </w:tc>
        <w:tc>
          <w:tcPr>
            <w:tcW w:w="1134" w:type="dxa"/>
            <w:vAlign w:val="center"/>
          </w:tcPr>
          <w:p>
            <w:pPr>
              <w:pStyle w:val="65"/>
              <w:rPr>
                <w:rFonts w:hint="eastAsia" w:ascii="MS Sans Serif" w:hAnsi="MS Sans Serif"/>
              </w:rPr>
            </w:pPr>
            <w:r>
              <w:rPr>
                <w:rFonts w:ascii="MS Sans Serif" w:hAnsi="MS Sans Serif"/>
              </w:rPr>
              <w:t>检验员</w:t>
            </w:r>
          </w:p>
        </w:tc>
        <w:tc>
          <w:tcPr>
            <w:tcW w:w="1203" w:type="dxa"/>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Align w:val="center"/>
          </w:tcPr>
          <w:p>
            <w:pPr>
              <w:pStyle w:val="65"/>
              <w:rPr>
                <w:rFonts w:hint="eastAsia" w:ascii="MS Sans Serif" w:hAnsi="MS Sans Serif"/>
              </w:rPr>
            </w:pPr>
            <w:r>
              <w:rPr>
                <w:rFonts w:ascii="MS Sans Serif" w:hAnsi="MS Sans Serif"/>
              </w:rPr>
              <w:t>检查项目</w:t>
            </w:r>
          </w:p>
        </w:tc>
        <w:tc>
          <w:tcPr>
            <w:tcW w:w="4536" w:type="dxa"/>
            <w:gridSpan w:val="4"/>
            <w:vAlign w:val="center"/>
          </w:tcPr>
          <w:p>
            <w:pPr>
              <w:pStyle w:val="65"/>
              <w:rPr>
                <w:rFonts w:hint="eastAsia" w:ascii="MS Sans Serif" w:hAnsi="MS Sans Serif"/>
              </w:rPr>
            </w:pPr>
            <w:r>
              <w:rPr>
                <w:rFonts w:ascii="MS Sans Serif" w:hAnsi="MS Sans Serif"/>
              </w:rPr>
              <w:t>质量检验标准</w:t>
            </w:r>
          </w:p>
        </w:tc>
        <w:tc>
          <w:tcPr>
            <w:tcW w:w="2337" w:type="dxa"/>
            <w:gridSpan w:val="2"/>
            <w:vAlign w:val="center"/>
          </w:tcPr>
          <w:p>
            <w:pPr>
              <w:pStyle w:val="65"/>
              <w:rPr>
                <w:rFonts w:hint="eastAsia" w:ascii="MS Sans Serif" w:hAnsi="MS Sans Serif"/>
              </w:rPr>
            </w:pPr>
            <w:r>
              <w:rPr>
                <w:rFonts w:ascii="MS Sans Serif" w:hAnsi="MS Sans Serif"/>
              </w:rPr>
              <w:t>检验记录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restart"/>
            <w:vAlign w:val="center"/>
          </w:tcPr>
          <w:p>
            <w:pPr>
              <w:pStyle w:val="65"/>
              <w:rPr>
                <w:rFonts w:hint="eastAsia" w:ascii="MS Sans Serif" w:hAnsi="MS Sans Serif"/>
              </w:rPr>
            </w:pPr>
            <w:r>
              <w:rPr>
                <w:rFonts w:ascii="MS Sans Serif" w:hAnsi="MS Sans Serif"/>
              </w:rPr>
              <w:t>主控项目</w:t>
            </w:r>
          </w:p>
        </w:tc>
        <w:tc>
          <w:tcPr>
            <w:tcW w:w="4536" w:type="dxa"/>
            <w:gridSpan w:val="4"/>
            <w:vAlign w:val="center"/>
          </w:tcPr>
          <w:p>
            <w:pPr>
              <w:pStyle w:val="65"/>
              <w:rPr>
                <w:rFonts w:hint="eastAsia" w:ascii="MS Sans Serif" w:hAnsi="MS Sans Serif"/>
              </w:rPr>
            </w:pPr>
            <w:r>
              <w:rPr>
                <w:rFonts w:hint="eastAsia" w:ascii="MS Sans Serif" w:hAnsi="MS Sans Serif"/>
              </w:rPr>
              <w:t>柱（墙）</w:t>
            </w:r>
            <w:r>
              <w:rPr>
                <w:rFonts w:ascii="MS Sans Serif" w:hAnsi="MS Sans Serif"/>
              </w:rPr>
              <w:t>脱模强度</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4536" w:type="dxa"/>
            <w:gridSpan w:val="4"/>
            <w:vAlign w:val="center"/>
          </w:tcPr>
          <w:p>
            <w:pPr>
              <w:pStyle w:val="65"/>
              <w:rPr>
                <w:rFonts w:hint="eastAsia" w:ascii="MS Sans Serif" w:hAnsi="MS Sans Serif"/>
              </w:rPr>
            </w:pPr>
            <w:r>
              <w:rPr>
                <w:rFonts w:hint="eastAsia" w:ascii="MS Sans Serif" w:hAnsi="MS Sans Serif"/>
              </w:rPr>
              <w:t>预埋金属波纹管通畅，无异物</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4536" w:type="dxa"/>
            <w:gridSpan w:val="4"/>
            <w:vAlign w:val="center"/>
          </w:tcPr>
          <w:p>
            <w:pPr>
              <w:pStyle w:val="65"/>
              <w:rPr>
                <w:rFonts w:hint="eastAsia" w:ascii="MS Sans Serif" w:hAnsi="MS Sans Serif"/>
              </w:rPr>
            </w:pPr>
            <w:r>
              <w:rPr>
                <w:rFonts w:hint="eastAsia" w:ascii="MS Sans Serif" w:hAnsi="MS Sans Serif"/>
              </w:rPr>
              <w:t>预埋直螺纹套筒内无异物，丝扣应无锈蚀，且有保护帽覆盖</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4536" w:type="dxa"/>
            <w:gridSpan w:val="4"/>
            <w:vAlign w:val="center"/>
          </w:tcPr>
          <w:p>
            <w:pPr>
              <w:pStyle w:val="65"/>
              <w:rPr>
                <w:rFonts w:hint="eastAsia" w:ascii="MS Sans Serif" w:hAnsi="MS Sans Serif"/>
              </w:rPr>
            </w:pPr>
            <w:r>
              <w:rPr>
                <w:rFonts w:hint="eastAsia" w:ascii="MS Sans Serif" w:hAnsi="MS Sans Serif"/>
              </w:rPr>
              <w:t>柱（墙）底、柱（墙）顶和梁柱接触面及键槽</w:t>
            </w:r>
            <w:r>
              <w:rPr>
                <w:rFonts w:ascii="MS Sans Serif" w:hAnsi="MS Sans Serif"/>
              </w:rPr>
              <w:t>成型质量</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4536" w:type="dxa"/>
            <w:gridSpan w:val="4"/>
            <w:vAlign w:val="center"/>
          </w:tcPr>
          <w:p>
            <w:pPr>
              <w:pStyle w:val="65"/>
              <w:rPr>
                <w:rFonts w:hint="eastAsia" w:ascii="MS Sans Serif" w:hAnsi="MS Sans Serif"/>
              </w:rPr>
            </w:pPr>
            <w:r>
              <w:rPr>
                <w:rFonts w:hint="eastAsia" w:ascii="MS Sans Serif" w:hAnsi="MS Sans Serif"/>
              </w:rPr>
              <w:t>柱（墙）</w:t>
            </w:r>
            <w:r>
              <w:rPr>
                <w:rFonts w:ascii="MS Sans Serif" w:hAnsi="MS Sans Serif"/>
              </w:rPr>
              <w:t>外观质量严重缺陷</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4536" w:type="dxa"/>
            <w:gridSpan w:val="4"/>
            <w:vAlign w:val="center"/>
          </w:tcPr>
          <w:p>
            <w:pPr>
              <w:pStyle w:val="65"/>
              <w:rPr>
                <w:rFonts w:hint="eastAsia" w:ascii="MS Sans Serif" w:hAnsi="MS Sans Serif"/>
              </w:rPr>
            </w:pPr>
            <w:r>
              <w:rPr>
                <w:rFonts w:ascii="MS Sans Serif" w:hAnsi="MS Sans Serif"/>
              </w:rPr>
              <w:t>预埋件</w:t>
            </w:r>
            <w:r>
              <w:rPr>
                <w:rFonts w:hint="eastAsia" w:ascii="MS Sans Serif" w:hAnsi="MS Sans Serif"/>
              </w:rPr>
              <w:t>、预埋直螺纹套筒和预埋金属波纹管</w:t>
            </w:r>
            <w:r>
              <w:rPr>
                <w:rFonts w:ascii="MS Sans Serif" w:hAnsi="MS Sans Serif"/>
              </w:rPr>
              <w:t>的规格、数量规格</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预埋</w:t>
            </w:r>
            <w:r>
              <w:rPr>
                <w:rFonts w:hint="eastAsia" w:ascii="MS Sans Serif" w:hAnsi="MS Sans Serif"/>
              </w:rPr>
              <w:t>直螺纹</w:t>
            </w:r>
            <w:r>
              <w:rPr>
                <w:rFonts w:ascii="MS Sans Serif" w:hAnsi="MS Sans Serif"/>
              </w:rPr>
              <w:t>套筒中心位置</w:t>
            </w:r>
            <w:r>
              <w:rPr>
                <w:rFonts w:hint="eastAsia" w:ascii="MS Sans Serif" w:hAnsi="MS Sans Serif"/>
              </w:rPr>
              <w:t>（mm）</w:t>
            </w:r>
          </w:p>
        </w:tc>
        <w:tc>
          <w:tcPr>
            <w:tcW w:w="1418" w:type="dxa"/>
            <w:vAlign w:val="center"/>
          </w:tcPr>
          <w:p>
            <w:pPr>
              <w:pStyle w:val="65"/>
              <w:rPr>
                <w:rFonts w:hint="eastAsia" w:ascii="MS Sans Serif" w:hAnsi="MS Sans Serif"/>
              </w:rPr>
            </w:pPr>
            <w:r>
              <w:rPr>
                <w:rFonts w:hint="eastAsia" w:ascii="MS Sans Serif" w:hAnsi="MS Sans Serif"/>
              </w:rPr>
              <w:t>3</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hint="eastAsia" w:ascii="MS Sans Serif" w:hAnsi="MS Sans Serif"/>
              </w:rPr>
              <w:t>预埋金属波纹管</w:t>
            </w:r>
            <w:r>
              <w:rPr>
                <w:rFonts w:ascii="MS Sans Serif" w:hAnsi="MS Sans Serif"/>
              </w:rPr>
              <w:t>中心位置</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1143" w:type="dxa"/>
            <w:gridSpan w:val="2"/>
            <w:vMerge w:val="restart"/>
            <w:vAlign w:val="center"/>
          </w:tcPr>
          <w:p>
            <w:pPr>
              <w:pStyle w:val="65"/>
              <w:rPr>
                <w:rFonts w:hint="eastAsia" w:ascii="MS Sans Serif" w:hAnsi="MS Sans Serif"/>
                <w:kern w:val="0"/>
              </w:rPr>
            </w:pPr>
            <w:r>
              <w:rPr>
                <w:rFonts w:ascii="MS Sans Serif" w:hAnsi="MS Sans Serif"/>
              </w:rPr>
              <w:t>预留插筋</w:t>
            </w:r>
          </w:p>
        </w:tc>
        <w:tc>
          <w:tcPr>
            <w:tcW w:w="1975" w:type="dxa"/>
            <w:vAlign w:val="center"/>
          </w:tcPr>
          <w:p>
            <w:pPr>
              <w:pStyle w:val="65"/>
              <w:rPr>
                <w:rFonts w:hint="eastAsia" w:ascii="MS Sans Serif" w:hAnsi="MS Sans Serif"/>
              </w:rPr>
            </w:pPr>
            <w:r>
              <w:rPr>
                <w:rFonts w:ascii="MS Sans Serif" w:hAnsi="MS Sans Serif"/>
              </w:rPr>
              <w:t>中心位</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3</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1143" w:type="dxa"/>
            <w:gridSpan w:val="2"/>
            <w:vMerge w:val="continue"/>
            <w:vAlign w:val="center"/>
          </w:tcPr>
          <w:p>
            <w:pPr>
              <w:pStyle w:val="65"/>
              <w:ind w:firstLine="496"/>
              <w:rPr>
                <w:rFonts w:hint="eastAsia" w:ascii="MS Sans Serif" w:hAnsi="MS Sans Serif"/>
              </w:rPr>
            </w:pPr>
          </w:p>
        </w:tc>
        <w:tc>
          <w:tcPr>
            <w:tcW w:w="1975" w:type="dxa"/>
            <w:vAlign w:val="center"/>
          </w:tcPr>
          <w:p>
            <w:pPr>
              <w:pStyle w:val="65"/>
              <w:rPr>
                <w:rFonts w:hint="eastAsia" w:ascii="MS Sans Serif" w:hAnsi="MS Sans Serif"/>
              </w:rPr>
            </w:pPr>
            <w:r>
              <w:rPr>
                <w:rFonts w:ascii="MS Sans Serif" w:hAnsi="MS Sans Serif"/>
              </w:rPr>
              <w:t>外露长</w:t>
            </w:r>
            <w:r>
              <w:rPr>
                <w:rFonts w:hint="eastAsia" w:ascii="MS Sans Serif" w:hAnsi="MS Sans Serif"/>
              </w:rPr>
              <w:t>（mm）</w:t>
            </w:r>
          </w:p>
        </w:tc>
        <w:tc>
          <w:tcPr>
            <w:tcW w:w="1418" w:type="dxa"/>
            <w:vAlign w:val="center"/>
          </w:tcPr>
          <w:p>
            <w:pPr>
              <w:pStyle w:val="65"/>
              <w:rPr>
                <w:rFonts w:hint="eastAsia" w:ascii="MS Sans Serif" w:hAnsi="MS Sans Serif"/>
              </w:rPr>
            </w:pPr>
            <w:r>
              <w:rPr>
                <w:rFonts w:hint="eastAsia" w:ascii="MS Sans Serif" w:hAnsi="MS Sans Serif"/>
              </w:rPr>
              <w:t>+</w:t>
            </w:r>
            <w:r>
              <w:rPr>
                <w:rFonts w:ascii="MS Sans Serif" w:hAnsi="MS Sans Serif"/>
              </w:rPr>
              <w:t>5</w:t>
            </w:r>
            <w:r>
              <w:rPr>
                <w:rFonts w:hint="eastAsia" w:ascii="MS Sans Serif" w:hAnsi="MS Sans Serif"/>
              </w:rPr>
              <w:t>，0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restart"/>
            <w:vAlign w:val="center"/>
          </w:tcPr>
          <w:p>
            <w:pPr>
              <w:pStyle w:val="65"/>
              <w:rPr>
                <w:rFonts w:hint="eastAsia" w:ascii="MS Sans Serif" w:hAnsi="MS Sans Serif"/>
              </w:rPr>
            </w:pPr>
            <w:r>
              <w:rPr>
                <w:rFonts w:ascii="MS Sans Serif" w:hAnsi="MS Sans Serif"/>
              </w:rPr>
              <w:t>一般项目</w:t>
            </w:r>
          </w:p>
        </w:tc>
        <w:tc>
          <w:tcPr>
            <w:tcW w:w="1134" w:type="dxa"/>
            <w:vMerge w:val="restart"/>
            <w:vAlign w:val="center"/>
          </w:tcPr>
          <w:p>
            <w:pPr>
              <w:pStyle w:val="65"/>
              <w:rPr>
                <w:rFonts w:hint="eastAsia" w:ascii="MS Sans Serif" w:hAnsi="MS Sans Serif"/>
              </w:rPr>
            </w:pPr>
            <w:r>
              <w:rPr>
                <w:rFonts w:ascii="MS Sans Serif" w:hAnsi="MS Sans Serif"/>
              </w:rPr>
              <w:t>柱长</w:t>
            </w:r>
            <w:r>
              <w:rPr>
                <w:rFonts w:hint="eastAsia" w:ascii="MS Sans Serif" w:hAnsi="MS Sans Serif"/>
              </w:rPr>
              <w:t>（mm）</w:t>
            </w:r>
          </w:p>
        </w:tc>
        <w:tc>
          <w:tcPr>
            <w:tcW w:w="1984" w:type="dxa"/>
            <w:gridSpan w:val="2"/>
            <w:vAlign w:val="center"/>
          </w:tcPr>
          <w:p>
            <w:pPr>
              <w:pStyle w:val="65"/>
              <w:rPr>
                <w:rFonts w:hint="eastAsia" w:ascii="MS Sans Serif" w:hAnsi="MS Sans Serif"/>
              </w:rPr>
            </w:pPr>
            <w:r>
              <w:rPr>
                <w:rFonts w:ascii="MS Sans Serif" w:hAnsi="MS Sans Serif"/>
              </w:rPr>
              <w:t>＜12m</w:t>
            </w:r>
          </w:p>
        </w:tc>
        <w:tc>
          <w:tcPr>
            <w:tcW w:w="1418" w:type="dxa"/>
            <w:vAlign w:val="center"/>
          </w:tcPr>
          <w:p>
            <w:pPr>
              <w:pStyle w:val="65"/>
              <w:rPr>
                <w:rFonts w:hint="eastAsia" w:ascii="MS Sans Serif" w:hAnsi="MS Sans Serif"/>
              </w:rPr>
            </w:pPr>
            <w:r>
              <w:rPr>
                <w:rFonts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1134" w:type="dxa"/>
            <w:vMerge w:val="continue"/>
            <w:vAlign w:val="center"/>
          </w:tcPr>
          <w:p>
            <w:pPr>
              <w:pStyle w:val="65"/>
              <w:ind w:firstLine="496"/>
              <w:rPr>
                <w:rFonts w:hint="eastAsia" w:ascii="MS Sans Serif" w:hAnsi="MS Sans Serif"/>
              </w:rPr>
            </w:pPr>
          </w:p>
        </w:tc>
        <w:tc>
          <w:tcPr>
            <w:tcW w:w="1984" w:type="dxa"/>
            <w:gridSpan w:val="2"/>
            <w:vAlign w:val="center"/>
          </w:tcPr>
          <w:p>
            <w:pPr>
              <w:pStyle w:val="65"/>
              <w:rPr>
                <w:rFonts w:hint="eastAsia" w:ascii="MS Sans Serif" w:hAnsi="MS Sans Serif"/>
              </w:rPr>
            </w:pPr>
            <w:r>
              <w:rPr>
                <w:rFonts w:ascii="MS Sans Serif" w:hAnsi="MS Sans Serif"/>
              </w:rPr>
              <w:t>≥12m且＜18m</w:t>
            </w:r>
          </w:p>
        </w:tc>
        <w:tc>
          <w:tcPr>
            <w:tcW w:w="1418" w:type="dxa"/>
            <w:vAlign w:val="center"/>
          </w:tcPr>
          <w:p>
            <w:pPr>
              <w:pStyle w:val="65"/>
              <w:rPr>
                <w:rFonts w:hint="eastAsia" w:ascii="MS Sans Serif" w:hAnsi="MS Sans Serif"/>
              </w:rPr>
            </w:pPr>
            <w:r>
              <w:rPr>
                <w:rFonts w:ascii="MS Sans Serif" w:hAnsi="MS Sans Serif"/>
              </w:rPr>
              <w:t>±10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1134" w:type="dxa"/>
            <w:vMerge w:val="continue"/>
            <w:vAlign w:val="center"/>
          </w:tcPr>
          <w:p>
            <w:pPr>
              <w:pStyle w:val="65"/>
              <w:ind w:firstLine="496"/>
              <w:rPr>
                <w:rFonts w:hint="eastAsia" w:ascii="MS Sans Serif" w:hAnsi="MS Sans Serif"/>
              </w:rPr>
            </w:pPr>
          </w:p>
        </w:tc>
        <w:tc>
          <w:tcPr>
            <w:tcW w:w="1984" w:type="dxa"/>
            <w:gridSpan w:val="2"/>
            <w:vAlign w:val="center"/>
          </w:tcPr>
          <w:p>
            <w:pPr>
              <w:pStyle w:val="65"/>
              <w:rPr>
                <w:rFonts w:hint="eastAsia" w:ascii="MS Sans Serif" w:hAnsi="MS Sans Serif"/>
              </w:rPr>
            </w:pPr>
            <w:r>
              <w:rPr>
                <w:rFonts w:ascii="MS Sans Serif" w:hAnsi="MS Sans Serif"/>
              </w:rPr>
              <w:t>≥18m</w:t>
            </w:r>
          </w:p>
        </w:tc>
        <w:tc>
          <w:tcPr>
            <w:tcW w:w="1418" w:type="dxa"/>
            <w:vAlign w:val="center"/>
          </w:tcPr>
          <w:p>
            <w:pPr>
              <w:pStyle w:val="65"/>
              <w:rPr>
                <w:rFonts w:hint="eastAsia" w:ascii="MS Sans Serif" w:hAnsi="MS Sans Serif"/>
              </w:rPr>
            </w:pPr>
            <w:r>
              <w:rPr>
                <w:rFonts w:ascii="MS Sans Serif" w:hAnsi="MS Sans Serif"/>
              </w:rPr>
              <w:t>-20，10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截面宽</w:t>
            </w:r>
            <w:r>
              <w:rPr>
                <w:rFonts w:hint="eastAsia" w:ascii="MS Sans Serif" w:hAnsi="MS Sans Serif"/>
              </w:rPr>
              <w:t>、</w:t>
            </w:r>
            <w:r>
              <w:rPr>
                <w:rFonts w:ascii="MS Sans Serif" w:hAnsi="MS Sans Serif"/>
              </w:rPr>
              <w:t>高</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表面平整</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侧向弯曲</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L/750且≤20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预埋板、吊环、吊钉中心线位置</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预埋板混凝土面平面高差</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-5，0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预留孔中心位置</w:t>
            </w:r>
            <w:r>
              <w:rPr>
                <w:rFonts w:hint="eastAsia" w:ascii="MS Sans Serif" w:hAnsi="MS Sans Serif"/>
              </w:rPr>
              <w:t>（mm）</w:t>
            </w:r>
          </w:p>
        </w:tc>
        <w:tc>
          <w:tcPr>
            <w:tcW w:w="1418" w:type="dxa"/>
            <w:vAlign w:val="center"/>
          </w:tcPr>
          <w:p>
            <w:pPr>
              <w:pStyle w:val="65"/>
              <w:rPr>
                <w:rFonts w:hint="eastAsia" w:ascii="MS Sans Serif" w:hAnsi="MS Sans Serif"/>
              </w:rPr>
            </w:pPr>
            <w:r>
              <w:rPr>
                <w:rFonts w:hint="eastAsia" w:ascii="MS Sans Serif" w:hAnsi="MS Sans Serif"/>
              </w:rPr>
              <w:t>5</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3118" w:type="dxa"/>
            <w:gridSpan w:val="3"/>
            <w:vAlign w:val="center"/>
          </w:tcPr>
          <w:p>
            <w:pPr>
              <w:pStyle w:val="65"/>
              <w:rPr>
                <w:rFonts w:hint="eastAsia" w:ascii="MS Sans Serif" w:hAnsi="MS Sans Serif"/>
              </w:rPr>
            </w:pPr>
            <w:r>
              <w:rPr>
                <w:rFonts w:ascii="MS Sans Serif" w:hAnsi="MS Sans Serif"/>
              </w:rPr>
              <w:t>金属波纹管外留长</w:t>
            </w:r>
            <w:r>
              <w:rPr>
                <w:rFonts w:hint="eastAsia" w:ascii="MS Sans Serif" w:hAnsi="MS Sans Serif"/>
              </w:rPr>
              <w:t>（mm）</w:t>
            </w:r>
          </w:p>
        </w:tc>
        <w:tc>
          <w:tcPr>
            <w:tcW w:w="1418" w:type="dxa"/>
            <w:vAlign w:val="center"/>
          </w:tcPr>
          <w:p>
            <w:pPr>
              <w:pStyle w:val="65"/>
              <w:rPr>
                <w:rFonts w:hint="eastAsia" w:ascii="MS Sans Serif" w:hAnsi="MS Sans Serif"/>
              </w:rPr>
            </w:pPr>
            <w:r>
              <w:rPr>
                <w:rFonts w:ascii="MS Sans Serif" w:hAnsi="MS Sans Serif"/>
              </w:rPr>
              <w:t>+20，0</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restart"/>
            <w:vAlign w:val="center"/>
          </w:tcPr>
          <w:p>
            <w:pPr>
              <w:pStyle w:val="65"/>
              <w:rPr>
                <w:rFonts w:hint="eastAsia" w:ascii="MS Sans Serif" w:hAnsi="MS Sans Serif"/>
              </w:rPr>
            </w:pPr>
            <w:r>
              <w:rPr>
                <w:rFonts w:ascii="MS Sans Serif" w:hAnsi="MS Sans Serif"/>
              </w:rPr>
              <w:t>制作单位检验结果</w:t>
            </w:r>
          </w:p>
        </w:tc>
        <w:tc>
          <w:tcPr>
            <w:tcW w:w="4536" w:type="dxa"/>
            <w:gridSpan w:val="4"/>
            <w:vAlign w:val="center"/>
          </w:tcPr>
          <w:p>
            <w:pPr>
              <w:pStyle w:val="65"/>
              <w:rPr>
                <w:rFonts w:hint="eastAsia" w:ascii="MS Sans Serif" w:hAnsi="MS Sans Serif"/>
              </w:rPr>
            </w:pPr>
            <w:r>
              <w:rPr>
                <w:rFonts w:ascii="MS Sans Serif" w:hAnsi="MS Sans Serif"/>
              </w:rPr>
              <w:t>不合格品复查返修记录</w:t>
            </w:r>
          </w:p>
        </w:tc>
        <w:tc>
          <w:tcPr>
            <w:tcW w:w="2337" w:type="dxa"/>
            <w:gridSpan w:val="2"/>
            <w:vAlign w:val="center"/>
          </w:tcPr>
          <w:p>
            <w:pPr>
              <w:pStyle w:val="65"/>
              <w:ind w:firstLine="496"/>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pStyle w:val="65"/>
              <w:ind w:firstLine="496"/>
              <w:rPr>
                <w:rFonts w:hint="eastAsia" w:ascii="MS Sans Serif" w:hAnsi="MS Sans Serif"/>
              </w:rPr>
            </w:pPr>
          </w:p>
        </w:tc>
        <w:tc>
          <w:tcPr>
            <w:tcW w:w="6873" w:type="dxa"/>
            <w:gridSpan w:val="6"/>
            <w:vAlign w:val="center"/>
          </w:tcPr>
          <w:p>
            <w:pPr>
              <w:pStyle w:val="65"/>
              <w:rPr>
                <w:rFonts w:hint="eastAsia" w:ascii="MS Sans Serif" w:hAnsi="MS Sans Serif"/>
              </w:rPr>
            </w:pPr>
            <w:r>
              <w:rPr>
                <w:rFonts w:ascii="MS Sans Serif" w:hAnsi="MS Sans Serif"/>
              </w:rPr>
              <w:t>检验结果：                           年    月    日</w:t>
            </w:r>
          </w:p>
        </w:tc>
      </w:tr>
    </w:tbl>
    <w:p>
      <w:r>
        <w:br w:type="page"/>
      </w:r>
    </w:p>
    <w:p>
      <w:pPr>
        <w:pStyle w:val="108"/>
      </w:pPr>
      <w:bookmarkStart w:id="555" w:name="_Toc202345842"/>
      <w:bookmarkStart w:id="556" w:name="_Ref192664160"/>
      <w:r>
        <w:rPr>
          <w:rFonts w:hint="eastAsia"/>
        </w:rPr>
        <w:t>预制构件安装检查表</w:t>
      </w:r>
      <w:bookmarkEnd w:id="555"/>
      <w:bookmarkEnd w:id="556"/>
    </w:p>
    <w:p>
      <w:pPr>
        <w:pStyle w:val="107"/>
      </w:pPr>
      <w:bookmarkStart w:id="557" w:name="_Ref192664383"/>
      <w:r>
        <w:rPr>
          <w:rFonts w:hint="eastAsia"/>
        </w:rPr>
        <w:t>压接装配结构施工现场安装质量检验宜按表</w:t>
      </w:r>
      <w:r>
        <w:fldChar w:fldCharType="begin"/>
      </w:r>
      <w:r>
        <w:instrText xml:space="preserve"> REF _Ref192664383 \r \h  \* MERGEFORMAT </w:instrText>
      </w:r>
      <w:r>
        <w:fldChar w:fldCharType="separate"/>
      </w:r>
      <w:r>
        <w:t>D. 0. 1</w:t>
      </w:r>
      <w:r>
        <w:fldChar w:fldCharType="end"/>
      </w:r>
      <w:r>
        <w:rPr>
          <w:rFonts w:hint="eastAsia"/>
        </w:rPr>
        <w:t>要求检查记录。</w:t>
      </w:r>
      <w:bookmarkEnd w:id="557"/>
    </w:p>
    <w:p>
      <w:pPr>
        <w:pStyle w:val="13"/>
        <w:rPr>
          <w:highlight w:val="yellow"/>
        </w:rPr>
      </w:pPr>
      <w:r>
        <w:rPr>
          <w:sz w:val="21"/>
          <w:szCs w:val="21"/>
        </w:rPr>
        <w:t>表</w:t>
      </w:r>
      <w:r>
        <w:rPr>
          <w:sz w:val="21"/>
          <w:szCs w:val="21"/>
        </w:rPr>
        <w:fldChar w:fldCharType="begin"/>
      </w:r>
      <w:r>
        <w:rPr>
          <w:sz w:val="21"/>
          <w:szCs w:val="21"/>
        </w:rPr>
        <w:instrText xml:space="preserve"> REF _Ref192664383 \r \h </w:instrText>
      </w:r>
      <w:r>
        <w:rPr>
          <w:sz w:val="21"/>
          <w:szCs w:val="21"/>
        </w:rPr>
        <w:fldChar w:fldCharType="separate"/>
      </w:r>
      <w:r>
        <w:rPr>
          <w:sz w:val="21"/>
          <w:szCs w:val="21"/>
        </w:rPr>
        <w:t>D. 0. 1</w:t>
      </w:r>
      <w:r>
        <w:rPr>
          <w:sz w:val="21"/>
          <w:szCs w:val="21"/>
        </w:rPr>
        <w:fldChar w:fldCharType="end"/>
      </w:r>
      <w:r>
        <w:rPr>
          <w:sz w:val="21"/>
          <w:szCs w:val="21"/>
        </w:rPr>
        <w:t xml:space="preserve"> </w:t>
      </w:r>
      <w:r>
        <w:rPr>
          <w:rFonts w:hint="eastAsia"/>
        </w:rPr>
        <w:t>压接装配结构施工现场安装质量检验记录表</w:t>
      </w:r>
    </w:p>
    <w:tbl>
      <w:tblPr>
        <w:tblStyle w:val="1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3260"/>
        <w:gridCol w:w="1134"/>
        <w:gridCol w:w="1276"/>
        <w:gridCol w:w="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12" w:space="0"/>
              <w:left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工程名称</w:t>
            </w:r>
          </w:p>
        </w:tc>
        <w:tc>
          <w:tcPr>
            <w:tcW w:w="4394" w:type="dxa"/>
            <w:gridSpan w:val="2"/>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p>
        </w:tc>
        <w:tc>
          <w:tcPr>
            <w:tcW w:w="1276" w:type="dxa"/>
            <w:tcBorders>
              <w:top w:val="single" w:color="auto" w:sz="12" w:space="0"/>
              <w:bottom w:val="nil"/>
              <w:right w:val="single" w:color="auto" w:sz="4"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r>
              <w:rPr>
                <w:rFonts w:hint="eastAsia" w:ascii="MS Sans Serif" w:hAnsi="MS Sans Serif" w:eastAsia="宋体"/>
                <w:b/>
              </w:rPr>
              <w:t>验收部位</w:t>
            </w:r>
          </w:p>
        </w:tc>
        <w:tc>
          <w:tcPr>
            <w:tcW w:w="778" w:type="dxa"/>
            <w:tcBorders>
              <w:top w:val="single" w:color="auto" w:sz="12" w:space="0"/>
              <w:bottom w:val="nil"/>
              <w:right w:val="single" w:color="auto" w:sz="12" w:space="0"/>
              <w:insideH w:val="nil"/>
              <w:insideV w:val="single" w:sz="4" w:space="0"/>
              <w:tl2br w:val="nil"/>
              <w:tr2bl w:val="nil"/>
            </w:tcBorders>
            <w:shd w:val="clear" w:color="auto" w:fill="FFFFFF" w:themeFill="background1"/>
            <w:vAlign w:val="center"/>
          </w:tcPr>
          <w:p>
            <w:pPr>
              <w:pStyle w:val="65"/>
              <w:rPr>
                <w:rFonts w:hint="eastAsia" w:ascii="MS Sans Serif" w:hAnsi="MS Sans Serif" w:eastAsia="宋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分部（子分部）工程名称</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分项工程名称</w:t>
            </w:r>
          </w:p>
        </w:tc>
        <w:tc>
          <w:tcPr>
            <w:tcW w:w="778" w:type="dxa"/>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施工执行标准名称及编号</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质检员</w:t>
            </w:r>
          </w:p>
        </w:tc>
        <w:tc>
          <w:tcPr>
            <w:tcW w:w="778" w:type="dxa"/>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检查项目</w:t>
            </w:r>
          </w:p>
        </w:tc>
        <w:tc>
          <w:tcPr>
            <w:tcW w:w="4394" w:type="dxa"/>
            <w:gridSpan w:val="2"/>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质量检验标准</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r>
              <w:rPr>
                <w:rFonts w:hint="eastAsia" w:ascii="MS Sans Serif" w:hAnsi="MS Sans Serif"/>
              </w:rPr>
              <w:t>检验记录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主控项目</w:t>
            </w: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预制柱（墙）灌浆料强度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7.4.1</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预制梁柱（板柱）接缝处灌浆料</w:t>
            </w:r>
          </w:p>
          <w:p>
            <w:pPr>
              <w:pStyle w:val="65"/>
              <w:rPr>
                <w:rFonts w:hint="eastAsia" w:ascii="MS Sans Serif" w:hAnsi="MS Sans Serif"/>
              </w:rPr>
            </w:pPr>
            <w:r>
              <w:rPr>
                <w:rFonts w:hint="eastAsia" w:ascii="MS Sans Serif" w:hAnsi="MS Sans Serif"/>
              </w:rPr>
              <w:t>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7.4.2</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钢筋灌浆套筒连接接头平行试件拉拔强度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7.4.3</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钢筋机械连接强度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7.4.4</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压接装配框架结构采用后张预应力混凝土叠合梁</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7.4.5</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装配式结构分项工程的外观质量是否存在严重缺陷、是否影响结构性能和使用功能</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7.4.6</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预应力钢绞线检查</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7.5.1</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预应力张拉前混凝土构件强度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7.5.2</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预应力张拉过程中钢绞线是否有断丝、滑丝</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7.5.3</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预应力钢绞线有粘结段长度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7.5.4</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restart"/>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一般项目</w:t>
            </w: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预制构件安装尺寸允许偏差</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7.4.7</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预应力钢绞线孔道质量</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7.5.5</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张拉时，预应力钢绞线实测伸长值与计算伸长值偏差</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7.5.6</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预应力孔道灌浆密实度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7.5.7</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vMerge w:val="continue"/>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p>
        </w:tc>
        <w:tc>
          <w:tcPr>
            <w:tcW w:w="3260"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预应力孔道灌浆料强度</w:t>
            </w:r>
          </w:p>
        </w:tc>
        <w:tc>
          <w:tcPr>
            <w:tcW w:w="1134" w:type="dxa"/>
            <w:tcBorders>
              <w:top w:val="single" w:color="auto" w:sz="4" w:space="0"/>
              <w:left w:val="single" w:color="auto" w:sz="4" w:space="0"/>
              <w:bottom w:val="single" w:color="auto" w:sz="4" w:space="0"/>
              <w:right w:val="single" w:color="auto" w:sz="4" w:space="0"/>
            </w:tcBorders>
            <w:vAlign w:val="center"/>
          </w:tcPr>
          <w:p>
            <w:pPr>
              <w:pStyle w:val="65"/>
              <w:rPr>
                <w:rFonts w:hint="eastAsia" w:ascii="MS Sans Serif" w:hAnsi="MS Sans Serif"/>
              </w:rPr>
            </w:pPr>
            <w:r>
              <w:rPr>
                <w:rFonts w:ascii="MS Sans Serif" w:hAnsi="MS Sans Serif"/>
              </w:rPr>
              <w:t>7.5.8</w:t>
            </w:r>
            <w:r>
              <w:rPr>
                <w:rFonts w:hint="eastAsia" w:ascii="MS Sans Serif" w:hAnsi="MS Sans Serif"/>
              </w:rPr>
              <w:t>条</w:t>
            </w:r>
          </w:p>
        </w:tc>
        <w:tc>
          <w:tcPr>
            <w:tcW w:w="2054" w:type="dxa"/>
            <w:gridSpan w:val="2"/>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施工单位检查评定结果</w:t>
            </w:r>
          </w:p>
        </w:tc>
        <w:tc>
          <w:tcPr>
            <w:tcW w:w="6448" w:type="dxa"/>
            <w:gridSpan w:val="4"/>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r>
              <w:rPr>
                <w:rFonts w:ascii="MS Sans Serif" w:hAnsi="MS Sans Serif"/>
              </w:rPr>
              <w:t xml:space="preserve">                          </w:t>
            </w:r>
            <w:r>
              <w:rPr>
                <w:rFonts w:hint="eastAsia" w:ascii="MS Sans Serif" w:hAnsi="MS Sans Serif"/>
              </w:rPr>
              <w:t>质检员：</w:t>
            </w:r>
            <w:r>
              <w:rPr>
                <w:rFonts w:ascii="MS Sans Serif" w:hAnsi="MS Sans Serif"/>
              </w:rPr>
              <w:t xml:space="preserve">        </w:t>
            </w:r>
            <w:r>
              <w:rPr>
                <w:rFonts w:hint="eastAsia" w:ascii="MS Sans Serif" w:hAnsi="MS Sans Serif"/>
              </w:rPr>
              <w:t>年</w:t>
            </w:r>
            <w:r>
              <w:rPr>
                <w:rFonts w:ascii="MS Sans Serif" w:hAnsi="MS Sans Serif"/>
              </w:rPr>
              <w:t xml:space="preserve">    </w:t>
            </w:r>
            <w:r>
              <w:rPr>
                <w:rFonts w:hint="eastAsia" w:ascii="MS Sans Serif" w:hAnsi="MS Sans Serif"/>
              </w:rPr>
              <w:t>月</w:t>
            </w:r>
            <w:r>
              <w:rPr>
                <w:rFonts w:ascii="MS Sans Serif" w:hAnsi="MS Sans Serif"/>
              </w:rPr>
              <w:t xml:space="preserve">    </w:t>
            </w:r>
            <w:r>
              <w:rPr>
                <w:rFonts w:hint="eastAsia" w:ascii="MS Sans Serif" w:hAnsi="MS Sans Serif"/>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4" w:space="0"/>
              <w:right w:val="single" w:color="auto" w:sz="4" w:space="0"/>
            </w:tcBorders>
            <w:vAlign w:val="center"/>
          </w:tcPr>
          <w:p>
            <w:pPr>
              <w:pStyle w:val="65"/>
              <w:rPr>
                <w:rFonts w:hint="eastAsia" w:ascii="MS Sans Serif" w:hAnsi="MS Sans Serif"/>
              </w:rPr>
            </w:pPr>
            <w:r>
              <w:rPr>
                <w:rFonts w:hint="eastAsia" w:ascii="MS Sans Serif" w:hAnsi="MS Sans Serif"/>
              </w:rPr>
              <w:t>监理（建设）单位验收结论</w:t>
            </w:r>
          </w:p>
        </w:tc>
        <w:tc>
          <w:tcPr>
            <w:tcW w:w="6448" w:type="dxa"/>
            <w:gridSpan w:val="4"/>
            <w:tcBorders>
              <w:top w:val="single" w:color="auto" w:sz="4" w:space="0"/>
              <w:left w:val="single" w:color="auto" w:sz="4" w:space="0"/>
              <w:bottom w:val="single" w:color="auto" w:sz="4" w:space="0"/>
              <w:right w:val="single" w:color="auto" w:sz="12" w:space="0"/>
            </w:tcBorders>
            <w:vAlign w:val="center"/>
          </w:tcPr>
          <w:p>
            <w:pPr>
              <w:pStyle w:val="65"/>
              <w:rPr>
                <w:rFonts w:hint="eastAsia" w:ascii="MS Sans Serif" w:hAnsi="MS Sans Serif"/>
              </w:rPr>
            </w:pPr>
            <w:r>
              <w:rPr>
                <w:rFonts w:ascii="MS Sans Serif" w:hAnsi="MS Sans Serif"/>
              </w:rPr>
              <w:t xml:space="preserve">                   </w:t>
            </w:r>
            <w:r>
              <w:rPr>
                <w:rFonts w:hint="eastAsia" w:ascii="MS Sans Serif" w:hAnsi="MS Sans Serif"/>
              </w:rPr>
              <w:t>专业监理工程师：</w:t>
            </w:r>
            <w:r>
              <w:rPr>
                <w:rFonts w:ascii="MS Sans Serif" w:hAnsi="MS Sans Serif"/>
              </w:rPr>
              <w:t xml:space="preserve">        </w:t>
            </w:r>
            <w:r>
              <w:rPr>
                <w:rFonts w:hint="eastAsia" w:ascii="MS Sans Serif" w:hAnsi="MS Sans Serif"/>
              </w:rPr>
              <w:t>年</w:t>
            </w:r>
            <w:r>
              <w:rPr>
                <w:rFonts w:ascii="MS Sans Serif" w:hAnsi="MS Sans Serif"/>
              </w:rPr>
              <w:t xml:space="preserve">    </w:t>
            </w:r>
            <w:r>
              <w:rPr>
                <w:rFonts w:hint="eastAsia" w:ascii="MS Sans Serif" w:hAnsi="MS Sans Serif"/>
              </w:rPr>
              <w:t>月</w:t>
            </w:r>
            <w:r>
              <w:rPr>
                <w:rFonts w:ascii="MS Sans Serif" w:hAnsi="MS Sans Serif"/>
              </w:rPr>
              <w:t xml:space="preserve">    </w:t>
            </w:r>
            <w:r>
              <w:rPr>
                <w:rFonts w:hint="eastAsia" w:ascii="MS Sans Serif" w:hAnsi="MS Sans Serif"/>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8" w:type="dxa"/>
            <w:tcBorders>
              <w:top w:val="single" w:color="auto" w:sz="4" w:space="0"/>
              <w:left w:val="single" w:color="auto" w:sz="12" w:space="0"/>
              <w:bottom w:val="single" w:color="auto" w:sz="12" w:space="0"/>
              <w:right w:val="single" w:color="auto" w:sz="4" w:space="0"/>
            </w:tcBorders>
            <w:vAlign w:val="center"/>
          </w:tcPr>
          <w:p>
            <w:pPr>
              <w:pStyle w:val="65"/>
              <w:rPr>
                <w:rFonts w:hint="eastAsia" w:ascii="MS Sans Serif" w:hAnsi="MS Sans Serif"/>
              </w:rPr>
            </w:pPr>
            <w:r>
              <w:rPr>
                <w:rFonts w:hint="eastAsia" w:ascii="MS Sans Serif" w:hAnsi="MS Sans Serif"/>
              </w:rPr>
              <w:t>不合格部位复查返修记录</w:t>
            </w:r>
          </w:p>
        </w:tc>
        <w:tc>
          <w:tcPr>
            <w:tcW w:w="6448" w:type="dxa"/>
            <w:gridSpan w:val="4"/>
            <w:tcBorders>
              <w:top w:val="single" w:color="auto" w:sz="4" w:space="0"/>
              <w:left w:val="single" w:color="auto" w:sz="4" w:space="0"/>
              <w:bottom w:val="single" w:color="auto" w:sz="12" w:space="0"/>
              <w:right w:val="single" w:color="auto" w:sz="12" w:space="0"/>
            </w:tcBorders>
            <w:vAlign w:val="center"/>
          </w:tcPr>
          <w:p>
            <w:pPr>
              <w:pStyle w:val="65"/>
              <w:rPr>
                <w:rFonts w:hint="eastAsia" w:ascii="MS Sans Serif" w:hAnsi="MS Sans Serif"/>
              </w:rPr>
            </w:pPr>
          </w:p>
        </w:tc>
      </w:tr>
    </w:tbl>
    <w:p>
      <w:pPr>
        <w:pStyle w:val="65"/>
      </w:pPr>
    </w:p>
    <w:p>
      <w:r>
        <w:br w:type="page"/>
      </w:r>
    </w:p>
    <w:p>
      <w:pPr>
        <w:pStyle w:val="94"/>
      </w:pPr>
      <w:bookmarkStart w:id="558" w:name="_Toc86068037"/>
      <w:bookmarkStart w:id="559" w:name="_Toc27997070"/>
      <w:bookmarkStart w:id="560" w:name="_Toc92182272"/>
      <w:bookmarkStart w:id="561" w:name="_Toc202345843"/>
      <w:bookmarkStart w:id="562" w:name="_Toc27999106"/>
      <w:bookmarkStart w:id="563" w:name="_Toc91664536"/>
      <w:bookmarkStart w:id="564" w:name="_Toc91664426"/>
      <w:bookmarkStart w:id="565" w:name="_Toc27998959"/>
      <w:r>
        <w:t>本规程用词说明</w:t>
      </w:r>
      <w:bookmarkEnd w:id="558"/>
      <w:bookmarkEnd w:id="559"/>
      <w:bookmarkEnd w:id="560"/>
      <w:bookmarkEnd w:id="561"/>
      <w:bookmarkEnd w:id="562"/>
      <w:bookmarkEnd w:id="563"/>
      <w:bookmarkEnd w:id="564"/>
      <w:bookmarkEnd w:id="565"/>
    </w:p>
    <w:p>
      <w:pPr>
        <w:pStyle w:val="5"/>
      </w:pPr>
    </w:p>
    <w:p>
      <w:pPr>
        <w:pStyle w:val="5"/>
      </w:pPr>
    </w:p>
    <w:p>
      <w:pPr>
        <w:adjustRightInd w:val="0"/>
        <w:snapToGrid w:val="0"/>
        <w:spacing w:line="360" w:lineRule="auto"/>
        <w:ind w:firstLine="481" w:firstLineChars="200"/>
      </w:pPr>
      <w:bookmarkStart w:id="566" w:name="_Toc457043434"/>
      <w:bookmarkStart w:id="567" w:name="_Toc457033420"/>
      <w:bookmarkStart w:id="568" w:name="_Toc457032834"/>
      <w:r>
        <w:rPr>
          <w:rFonts w:eastAsia="黑体"/>
          <w:b/>
          <w:bCs/>
        </w:rPr>
        <w:t>1</w:t>
      </w:r>
      <w:r>
        <w:rPr>
          <w:rFonts w:eastAsia="黑体"/>
        </w:rPr>
        <w:t xml:space="preserve">  </w:t>
      </w:r>
      <w:r>
        <w:t>为便于在执行本规程条文时区别对待，对要求严格程度不同的用词说明如下：</w:t>
      </w:r>
      <w:bookmarkEnd w:id="566"/>
      <w:bookmarkEnd w:id="567"/>
      <w:bookmarkEnd w:id="568"/>
    </w:p>
    <w:p>
      <w:pPr>
        <w:adjustRightInd w:val="0"/>
        <w:snapToGrid w:val="0"/>
        <w:spacing w:line="360" w:lineRule="auto"/>
        <w:ind w:left="1440" w:leftChars="300" w:hanging="720" w:hangingChars="300"/>
      </w:pPr>
      <w:bookmarkStart w:id="569" w:name="_Toc457032835"/>
      <w:bookmarkStart w:id="570" w:name="_Toc457043435"/>
      <w:bookmarkStart w:id="571" w:name="_Toc457033421"/>
      <w:r>
        <w:rPr>
          <w:rFonts w:eastAsia="黑体"/>
        </w:rPr>
        <w:t>1）</w:t>
      </w:r>
      <w:r>
        <w:t>表示很严格，非这样做不可的：</w:t>
      </w:r>
      <w:bookmarkEnd w:id="569"/>
      <w:bookmarkEnd w:id="570"/>
      <w:bookmarkEnd w:id="571"/>
    </w:p>
    <w:p>
      <w:pPr>
        <w:adjustRightInd w:val="0"/>
        <w:snapToGrid w:val="0"/>
        <w:spacing w:line="360" w:lineRule="auto"/>
        <w:ind w:left="1440" w:leftChars="450" w:hanging="360" w:hangingChars="150"/>
      </w:pPr>
      <w:r>
        <w:t>正面词采用“必须”，反面词采用“严禁”；</w:t>
      </w:r>
    </w:p>
    <w:p>
      <w:pPr>
        <w:adjustRightInd w:val="0"/>
        <w:snapToGrid w:val="0"/>
        <w:spacing w:line="360" w:lineRule="auto"/>
        <w:ind w:left="240" w:leftChars="100" w:firstLine="480" w:firstLineChars="200"/>
      </w:pPr>
      <w:bookmarkStart w:id="572" w:name="_Toc457043436"/>
      <w:bookmarkStart w:id="573" w:name="_Toc457032836"/>
      <w:bookmarkStart w:id="574" w:name="_Toc457033422"/>
      <w:r>
        <w:rPr>
          <w:rFonts w:eastAsia="黑体"/>
        </w:rPr>
        <w:t>2）</w:t>
      </w:r>
      <w:r>
        <w:t>表示严格，在正常情况下均应这样做的：</w:t>
      </w:r>
      <w:bookmarkEnd w:id="572"/>
      <w:bookmarkEnd w:id="573"/>
      <w:bookmarkEnd w:id="574"/>
    </w:p>
    <w:p>
      <w:pPr>
        <w:adjustRightInd w:val="0"/>
        <w:snapToGrid w:val="0"/>
        <w:spacing w:line="360" w:lineRule="auto"/>
        <w:ind w:left="240" w:leftChars="100" w:firstLine="840" w:firstLineChars="350"/>
      </w:pPr>
      <w:r>
        <w:t>正面词采用“应”，反面词采用“不应”或“不得”；</w:t>
      </w:r>
    </w:p>
    <w:p>
      <w:pPr>
        <w:adjustRightInd w:val="0"/>
        <w:snapToGrid w:val="0"/>
        <w:spacing w:line="360" w:lineRule="auto"/>
        <w:ind w:left="240" w:leftChars="100" w:firstLine="480" w:firstLineChars="200"/>
      </w:pPr>
      <w:bookmarkStart w:id="575" w:name="_Toc457043437"/>
      <w:bookmarkStart w:id="576" w:name="_Toc457032837"/>
      <w:bookmarkStart w:id="577" w:name="_Toc457033423"/>
      <w:r>
        <w:rPr>
          <w:rFonts w:eastAsia="黑体"/>
        </w:rPr>
        <w:t>3）</w:t>
      </w:r>
      <w:r>
        <w:t>表示允许稍有选择，在条件许可时首先这样做的：</w:t>
      </w:r>
      <w:bookmarkEnd w:id="575"/>
      <w:bookmarkEnd w:id="576"/>
      <w:bookmarkEnd w:id="577"/>
    </w:p>
    <w:p>
      <w:pPr>
        <w:adjustRightInd w:val="0"/>
        <w:snapToGrid w:val="0"/>
        <w:spacing w:line="360" w:lineRule="auto"/>
        <w:ind w:left="240" w:leftChars="100" w:firstLine="840" w:firstLineChars="350"/>
      </w:pPr>
      <w:r>
        <w:t>正面词采用“宜”，反面词采用“不宜”；</w:t>
      </w:r>
    </w:p>
    <w:p>
      <w:pPr>
        <w:adjustRightInd w:val="0"/>
        <w:snapToGrid w:val="0"/>
        <w:spacing w:line="360" w:lineRule="auto"/>
        <w:ind w:left="240" w:leftChars="100" w:firstLine="480" w:firstLineChars="200"/>
      </w:pPr>
      <w:r>
        <w:rPr>
          <w:rFonts w:eastAsia="黑体"/>
        </w:rPr>
        <w:t>4）</w:t>
      </w:r>
      <w:r>
        <w:t>表示有选择，在一定条件下可以这样做的，采用“可”。</w:t>
      </w:r>
    </w:p>
    <w:p>
      <w:pPr>
        <w:adjustRightInd w:val="0"/>
        <w:snapToGrid w:val="0"/>
        <w:spacing w:line="360" w:lineRule="auto"/>
        <w:ind w:firstLine="481" w:firstLineChars="200"/>
      </w:pPr>
      <w:bookmarkStart w:id="578" w:name="_Toc457043438"/>
      <w:bookmarkStart w:id="579" w:name="_Toc457032838"/>
      <w:bookmarkStart w:id="580" w:name="_Toc457033424"/>
      <w:r>
        <w:rPr>
          <w:rFonts w:eastAsia="黑体"/>
          <w:b/>
          <w:bCs/>
        </w:rPr>
        <w:t>2</w:t>
      </w:r>
      <w:r>
        <w:rPr>
          <w:rFonts w:eastAsia="黑体"/>
        </w:rPr>
        <w:t xml:space="preserve">  </w:t>
      </w:r>
      <w:r>
        <w:t>条文中指明应按其他有关标准执行的写法为：“应符合……的规定”或“应按……执行”。</w:t>
      </w:r>
      <w:bookmarkEnd w:id="578"/>
      <w:bookmarkEnd w:id="579"/>
      <w:bookmarkEnd w:id="580"/>
    </w:p>
    <w:p>
      <w:r>
        <w:br w:type="page"/>
      </w:r>
    </w:p>
    <w:p>
      <w:pPr>
        <w:pStyle w:val="94"/>
        <w:rPr>
          <w:kern w:val="1"/>
          <w:szCs w:val="28"/>
        </w:rPr>
      </w:pPr>
      <w:bookmarkStart w:id="581" w:name="_Toc465450179"/>
      <w:bookmarkStart w:id="582" w:name="_Toc91664537"/>
      <w:bookmarkStart w:id="583" w:name="_Toc202345844"/>
      <w:bookmarkStart w:id="584" w:name="_Toc92182273"/>
      <w:bookmarkStart w:id="585" w:name="_Toc472952951"/>
      <w:bookmarkStart w:id="586" w:name="_Toc27997071"/>
      <w:bookmarkStart w:id="587" w:name="_Toc465450234"/>
      <w:bookmarkStart w:id="588" w:name="_Toc435099463"/>
      <w:bookmarkStart w:id="589" w:name="_Toc470505007"/>
      <w:bookmarkStart w:id="590" w:name="_Toc470504844"/>
      <w:bookmarkStart w:id="591" w:name="_Toc91664427"/>
      <w:bookmarkStart w:id="592" w:name="_Toc487625047"/>
      <w:bookmarkStart w:id="593" w:name="_Toc457033425"/>
      <w:bookmarkStart w:id="594" w:name="_Toc27998960"/>
      <w:bookmarkStart w:id="595" w:name="_Toc27999107"/>
      <w:bookmarkStart w:id="596" w:name="_Toc519241392"/>
      <w:bookmarkStart w:id="597" w:name="_Toc457032839"/>
      <w:bookmarkStart w:id="598" w:name="_Toc86068038"/>
      <w:bookmarkStart w:id="599" w:name="_Toc474154977"/>
      <w:bookmarkStart w:id="600" w:name="_Toc465450125"/>
      <w:bookmarkStart w:id="601" w:name="_Toc457807711"/>
      <w:bookmarkStart w:id="602" w:name="_Toc470363201"/>
      <w:r>
        <w:t>引用</w:t>
      </w:r>
      <w:r>
        <w:rPr>
          <w:kern w:val="1"/>
          <w:szCs w:val="28"/>
        </w:rPr>
        <w:t>标准名录</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5"/>
      </w:pPr>
      <w:r>
        <w:rPr>
          <w:rFonts w:hint="eastAsia"/>
        </w:rPr>
        <w:t xml:space="preserve">《建筑地基基础设计规范》GB </w:t>
      </w:r>
      <w:r>
        <w:t>50007</w:t>
      </w:r>
    </w:p>
    <w:p>
      <w:pPr>
        <w:pStyle w:val="5"/>
      </w:pPr>
      <w:r>
        <w:t>《建筑结构荷载规范》GB 50009</w:t>
      </w:r>
    </w:p>
    <w:p>
      <w:pPr>
        <w:pStyle w:val="5"/>
      </w:pPr>
      <w:r>
        <w:t>《混凝土结构设计</w:t>
      </w:r>
      <w:r>
        <w:rPr>
          <w:rFonts w:hint="eastAsia"/>
        </w:rPr>
        <w:t>标准</w:t>
      </w:r>
      <w:r>
        <w:t>》GB/</w:t>
      </w:r>
      <w:r>
        <w:rPr>
          <w:rFonts w:hint="eastAsia"/>
        </w:rPr>
        <w:t>T</w:t>
      </w:r>
      <w:r>
        <w:t xml:space="preserve"> 50010</w:t>
      </w:r>
    </w:p>
    <w:p>
      <w:pPr>
        <w:pStyle w:val="5"/>
      </w:pPr>
      <w:r>
        <w:t>《建筑抗震设计</w:t>
      </w:r>
      <w:r>
        <w:rPr>
          <w:rFonts w:hint="eastAsia"/>
        </w:rPr>
        <w:t>标准</w:t>
      </w:r>
      <w:r>
        <w:t>》GB/</w:t>
      </w:r>
      <w:r>
        <w:rPr>
          <w:rFonts w:hint="eastAsia"/>
        </w:rPr>
        <w:t>T</w:t>
      </w:r>
      <w:r>
        <w:t xml:space="preserve"> 50011</w:t>
      </w:r>
    </w:p>
    <w:p>
      <w:pPr>
        <w:pStyle w:val="5"/>
      </w:pPr>
      <w:r>
        <w:t>《混凝土结构</w:t>
      </w:r>
      <w:r>
        <w:rPr>
          <w:rFonts w:hint="eastAsia"/>
        </w:rPr>
        <w:t>工程</w:t>
      </w:r>
      <w:r>
        <w:t>施工质量验收规范》GB 50204</w:t>
      </w:r>
    </w:p>
    <w:p>
      <w:pPr>
        <w:pStyle w:val="5"/>
      </w:pPr>
      <w:r>
        <w:t>《建筑工程施工质量验收统一标准》GB 50300</w:t>
      </w:r>
    </w:p>
    <w:p>
      <w:pPr>
        <w:pStyle w:val="5"/>
      </w:pPr>
      <w:r>
        <w:t>《水泥基灌浆材料应用技术规程》GB/T 50448</w:t>
      </w:r>
    </w:p>
    <w:p>
      <w:pPr>
        <w:pStyle w:val="5"/>
      </w:pPr>
      <w:r>
        <w:t>《混凝土结构工程施工规范》GB 50666</w:t>
      </w:r>
    </w:p>
    <w:p>
      <w:pPr>
        <w:pStyle w:val="5"/>
      </w:pPr>
      <w:r>
        <w:t>《</w:t>
      </w:r>
      <w:r>
        <w:rPr>
          <w:rFonts w:hint="eastAsia"/>
        </w:rPr>
        <w:t>钢管混凝土结构技术规范</w:t>
      </w:r>
      <w:r>
        <w:t>》</w:t>
      </w:r>
      <w:r>
        <w:rPr>
          <w:rFonts w:hint="eastAsia"/>
        </w:rPr>
        <w:t>GB 50936</w:t>
      </w:r>
    </w:p>
    <w:p>
      <w:pPr>
        <w:pStyle w:val="5"/>
      </w:pPr>
      <w:r>
        <w:t>《装配式混凝土建筑技术标准》GB/T 51231</w:t>
      </w:r>
    </w:p>
    <w:p>
      <w:pPr>
        <w:pStyle w:val="5"/>
      </w:pPr>
      <w:r>
        <w:rPr>
          <w:rFonts w:hint="eastAsia"/>
        </w:rPr>
        <w:t>《工程结构通用规范》G</w:t>
      </w:r>
      <w:r>
        <w:t>B 55001</w:t>
      </w:r>
    </w:p>
    <w:p>
      <w:pPr>
        <w:pStyle w:val="5"/>
      </w:pPr>
      <w:r>
        <w:t>《建筑与市政工程抗震通用规范》GB 55002</w:t>
      </w:r>
    </w:p>
    <w:p>
      <w:pPr>
        <w:pStyle w:val="5"/>
      </w:pPr>
      <w:r>
        <w:rPr>
          <w:rFonts w:hint="eastAsia"/>
        </w:rPr>
        <w:t>《建筑与市政地基基础通用规范》G</w:t>
      </w:r>
      <w:r>
        <w:t>B 55003</w:t>
      </w:r>
    </w:p>
    <w:p>
      <w:pPr>
        <w:pStyle w:val="5"/>
      </w:pPr>
      <w:r>
        <w:t>《组合结构通用规范》GB 55004</w:t>
      </w:r>
    </w:p>
    <w:p>
      <w:pPr>
        <w:pStyle w:val="5"/>
      </w:pPr>
      <w:r>
        <w:t>《混凝土结构</w:t>
      </w:r>
      <w:r>
        <w:rPr>
          <w:rFonts w:hint="eastAsia"/>
        </w:rPr>
        <w:t>通用</w:t>
      </w:r>
      <w:r>
        <w:t>规范》GB 5</w:t>
      </w:r>
      <w:r>
        <w:rPr>
          <w:rFonts w:hint="eastAsia"/>
        </w:rPr>
        <w:t>5</w:t>
      </w:r>
      <w:r>
        <w:t>0</w:t>
      </w:r>
      <w:r>
        <w:rPr>
          <w:rFonts w:hint="eastAsia"/>
        </w:rPr>
        <w:t>08</w:t>
      </w:r>
    </w:p>
    <w:p>
      <w:pPr>
        <w:pStyle w:val="5"/>
      </w:pPr>
      <w:r>
        <w:t>《预应力混凝土用钢绞线》GB/T 5224</w:t>
      </w:r>
    </w:p>
    <w:p>
      <w:pPr>
        <w:pStyle w:val="5"/>
      </w:pPr>
      <w:r>
        <w:t>《</w:t>
      </w:r>
      <w:r>
        <w:rPr>
          <w:rFonts w:hint="eastAsia"/>
        </w:rPr>
        <w:t>厚度方向性能</w:t>
      </w:r>
      <w:r>
        <w:t>钢板》GB/T 5313</w:t>
      </w:r>
    </w:p>
    <w:p>
      <w:pPr>
        <w:pStyle w:val="5"/>
      </w:pPr>
      <w:r>
        <w:t>《低合金高强度结构钢》GB/T 1591</w:t>
      </w:r>
    </w:p>
    <w:p>
      <w:pPr>
        <w:pStyle w:val="5"/>
      </w:pPr>
      <w:r>
        <w:t>《预应力筋用锚具、夹具和连接器》GB/T 14370</w:t>
      </w:r>
    </w:p>
    <w:p>
      <w:pPr>
        <w:pStyle w:val="5"/>
      </w:pPr>
      <w:r>
        <w:t>《建筑结构用钢板》GB/T 19879</w:t>
      </w:r>
    </w:p>
    <w:p>
      <w:pPr>
        <w:pStyle w:val="5"/>
      </w:pPr>
      <w:r>
        <w:rPr>
          <w:rFonts w:hint="eastAsia"/>
        </w:rPr>
        <w:t>《预应力混凝土用螺纹钢筋》GB/T</w:t>
      </w:r>
      <w:r>
        <w:t xml:space="preserve"> </w:t>
      </w:r>
      <w:r>
        <w:rPr>
          <w:rFonts w:hint="eastAsia"/>
        </w:rPr>
        <w:t>20065</w:t>
      </w:r>
    </w:p>
    <w:p>
      <w:pPr>
        <w:pStyle w:val="5"/>
      </w:pPr>
      <w:r>
        <w:rPr>
          <w:rFonts w:hint="eastAsia"/>
        </w:rPr>
        <w:t>《混凝土用钢纤维》GB</w:t>
      </w:r>
      <w:r>
        <w:t>/T 39147</w:t>
      </w:r>
    </w:p>
    <w:p>
      <w:pPr>
        <w:pStyle w:val="5"/>
      </w:pPr>
      <w:r>
        <w:t>《装配式混凝土结构技术规程》JGJ 1</w:t>
      </w:r>
    </w:p>
    <w:p>
      <w:pPr>
        <w:pStyle w:val="5"/>
      </w:pPr>
      <w:r>
        <w:t>《高层建筑混凝土结构技术规程》JGJ 3</w:t>
      </w:r>
    </w:p>
    <w:p>
      <w:pPr>
        <w:pStyle w:val="5"/>
      </w:pPr>
      <w:r>
        <w:t>《预应力筋用锚具、夹具和连接器应用技术规程》JGJ 85</w:t>
      </w:r>
    </w:p>
    <w:p>
      <w:pPr>
        <w:pStyle w:val="5"/>
      </w:pPr>
      <w:r>
        <w:t>《</w:t>
      </w:r>
      <w:r>
        <w:rPr>
          <w:rFonts w:hint="eastAsia"/>
        </w:rPr>
        <w:t>无粘结</w:t>
      </w:r>
      <w:r>
        <w:t xml:space="preserve">预应力混凝土结构技术规程》JGJ </w:t>
      </w:r>
      <w:r>
        <w:rPr>
          <w:rFonts w:hint="eastAsia"/>
        </w:rPr>
        <w:t>92</w:t>
      </w:r>
    </w:p>
    <w:p>
      <w:pPr>
        <w:pStyle w:val="5"/>
      </w:pPr>
      <w:r>
        <w:t>《钢筋机械连接技术规程》JGJ 107</w:t>
      </w:r>
    </w:p>
    <w:p>
      <w:pPr>
        <w:pStyle w:val="5"/>
      </w:pPr>
      <w:r>
        <w:rPr>
          <w:rFonts w:hint="eastAsia"/>
        </w:rPr>
        <w:t>《钢筋锚固板应用技术规程》JGJ 256</w:t>
      </w:r>
    </w:p>
    <w:p>
      <w:pPr>
        <w:pStyle w:val="5"/>
      </w:pPr>
      <w:r>
        <w:t>《钢筋套筒灌浆连接应用技术规程》JGJ 355</w:t>
      </w:r>
    </w:p>
    <w:p>
      <w:pPr>
        <w:pStyle w:val="5"/>
      </w:pPr>
      <w:r>
        <w:rPr>
          <w:rFonts w:hint="eastAsia"/>
        </w:rPr>
        <w:t>《预应力混凝土结构设计规范》JGJ 369</w:t>
      </w:r>
    </w:p>
    <w:p>
      <w:pPr>
        <w:pStyle w:val="5"/>
      </w:pPr>
      <w:r>
        <w:t>《无粘结预应力钢绞线》JG/T 161</w:t>
      </w:r>
    </w:p>
    <w:p>
      <w:pPr>
        <w:pStyle w:val="5"/>
      </w:pPr>
      <w:r>
        <w:t>《预应力混凝土用金属波纹管》JG/T 225</w:t>
      </w:r>
    </w:p>
    <w:p>
      <w:pPr>
        <w:pStyle w:val="5"/>
      </w:pPr>
      <w:r>
        <w:rPr>
          <w:rFonts w:hint="eastAsia"/>
        </w:rPr>
        <w:t>《钢筋连接用灌浆套筒》JG/T 398</w:t>
      </w:r>
    </w:p>
    <w:p>
      <w:pPr>
        <w:pStyle w:val="5"/>
      </w:pPr>
      <w:r>
        <w:t>《钢筋连接用套筒灌浆料》JG/T 408</w:t>
      </w:r>
    </w:p>
    <w:p>
      <w:pPr>
        <w:pStyle w:val="5"/>
      </w:pPr>
      <w:r>
        <w:rPr>
          <w:rFonts w:hint="eastAsia"/>
        </w:rPr>
        <w:t>《北京地区建筑地基基础勘察设计规范》</w:t>
      </w:r>
      <w:r>
        <w:t>DBJ 11-501</w:t>
      </w:r>
    </w:p>
    <w:p>
      <w:pPr>
        <w:pStyle w:val="5"/>
      </w:pPr>
      <w:r>
        <w:rPr>
          <w:rFonts w:hint="eastAsia"/>
        </w:rPr>
        <w:t>《预制混凝土构件质量检验标准》DB11/T</w:t>
      </w:r>
      <w:r>
        <w:t xml:space="preserve"> </w:t>
      </w:r>
      <w:r>
        <w:rPr>
          <w:rFonts w:hint="eastAsia"/>
        </w:rPr>
        <w:t>968</w:t>
      </w:r>
    </w:p>
    <w:p>
      <w:pPr>
        <w:pStyle w:val="5"/>
      </w:pPr>
      <w:r>
        <w:rPr>
          <w:rFonts w:hint="eastAsia"/>
        </w:rPr>
        <w:t>《装配式混凝土结构工程施工与质量验收规程》DB11/T 1030</w:t>
      </w:r>
    </w:p>
    <w:p>
      <w:pPr>
        <w:pStyle w:val="5"/>
      </w:pPr>
      <w:r>
        <w:rPr>
          <w:rFonts w:hint="eastAsia"/>
        </w:rPr>
        <w:t>《预制混凝土构件质量控制标准》DB11/T 1312</w:t>
      </w:r>
    </w:p>
    <w:p>
      <w:pPr>
        <w:pStyle w:val="5"/>
      </w:pPr>
      <w:r>
        <w:rPr>
          <w:rFonts w:hint="eastAsia"/>
        </w:rPr>
        <w:t>《钢筋套筒灌浆连接技术规程》DB11/T</w:t>
      </w:r>
      <w:r>
        <w:t xml:space="preserve"> </w:t>
      </w:r>
      <w:r>
        <w:rPr>
          <w:rFonts w:hint="eastAsia"/>
        </w:rPr>
        <w:t>1470</w:t>
      </w:r>
    </w:p>
    <w:p>
      <w:pPr>
        <w:pStyle w:val="5"/>
      </w:pPr>
      <w:r>
        <w:rPr>
          <w:rFonts w:hint="eastAsia"/>
        </w:rPr>
        <w:t>《预应力混凝土结构技术规程》DB11/T 2005</w:t>
      </w:r>
    </w:p>
    <w:p>
      <w:pPr>
        <w:pStyle w:val="5"/>
      </w:pPr>
    </w:p>
    <w:p>
      <w:pPr>
        <w:pStyle w:val="5"/>
      </w:pPr>
      <w:r>
        <w:br w:type="page"/>
      </w:r>
    </w:p>
    <w:p/>
    <w:p>
      <w:pPr>
        <w:jc w:val="center"/>
        <w:rPr>
          <w:rFonts w:asciiTheme="minorEastAsia" w:hAnsiTheme="minorEastAsia"/>
          <w:b/>
          <w:snapToGrid w:val="0"/>
          <w:sz w:val="28"/>
          <w:szCs w:val="28"/>
        </w:rPr>
      </w:pPr>
    </w:p>
    <w:p>
      <w:pPr>
        <w:jc w:val="center"/>
        <w:rPr>
          <w:rFonts w:asciiTheme="minorEastAsia" w:hAnsiTheme="minorEastAsia"/>
          <w:b/>
          <w:snapToGrid w:val="0"/>
          <w:sz w:val="28"/>
          <w:szCs w:val="28"/>
        </w:rPr>
      </w:pPr>
    </w:p>
    <w:p>
      <w:pPr>
        <w:jc w:val="center"/>
        <w:rPr>
          <w:rFonts w:eastAsia="黑体" w:asciiTheme="minorEastAsia" w:hAnsiTheme="minorEastAsia"/>
          <w:b/>
          <w:snapToGrid w:val="0"/>
          <w:sz w:val="32"/>
          <w:szCs w:val="28"/>
        </w:rPr>
      </w:pPr>
      <w:r>
        <w:rPr>
          <w:rFonts w:hint="eastAsia" w:eastAsia="黑体" w:asciiTheme="minorEastAsia" w:hAnsiTheme="minorEastAsia"/>
          <w:b/>
          <w:snapToGrid w:val="0"/>
          <w:sz w:val="32"/>
          <w:szCs w:val="28"/>
        </w:rPr>
        <w:t>北京市地方标准</w:t>
      </w:r>
    </w:p>
    <w:p>
      <w:pPr>
        <w:jc w:val="center"/>
        <w:rPr>
          <w:rFonts w:asciiTheme="minorEastAsia" w:hAnsiTheme="minorEastAsia"/>
          <w:b/>
          <w:snapToGrid w:val="0"/>
          <w:sz w:val="28"/>
          <w:szCs w:val="28"/>
        </w:rPr>
      </w:pPr>
    </w:p>
    <w:p>
      <w:pPr>
        <w:jc w:val="center"/>
        <w:rPr>
          <w:rFonts w:asciiTheme="minorEastAsia" w:hAnsiTheme="minorEastAsia"/>
          <w:b/>
          <w:snapToGrid w:val="0"/>
          <w:sz w:val="40"/>
          <w:szCs w:val="32"/>
        </w:rPr>
      </w:pPr>
      <w:r>
        <w:rPr>
          <w:rFonts w:hint="eastAsia" w:asciiTheme="minorEastAsia" w:hAnsiTheme="minorEastAsia"/>
          <w:b/>
          <w:snapToGrid w:val="0"/>
          <w:sz w:val="40"/>
          <w:szCs w:val="32"/>
        </w:rPr>
        <w:t>预应力压接装配式结构技术规程</w:t>
      </w:r>
    </w:p>
    <w:p>
      <w:pPr>
        <w:jc w:val="center"/>
        <w:rPr>
          <w:rFonts w:eastAsia="仿宋_GB2312"/>
          <w:b/>
          <w:bCs/>
          <w:caps/>
          <w:snapToGrid w:val="0"/>
        </w:rPr>
      </w:pPr>
      <w:r>
        <w:rPr>
          <w:rFonts w:eastAsia="仿宋_GB2312"/>
          <w:b/>
          <w:bCs/>
          <w:snapToGrid w:val="0"/>
        </w:rPr>
        <w:t>Technical Specification of Prestressed Precast Concrete Structure</w:t>
      </w:r>
    </w:p>
    <w:p>
      <w:pPr>
        <w:jc w:val="center"/>
        <w:rPr>
          <w:b/>
          <w:snapToGrid w:val="0"/>
          <w:color w:val="000000"/>
          <w:sz w:val="30"/>
          <w:szCs w:val="30"/>
        </w:rPr>
      </w:pPr>
      <w:r>
        <w:rPr>
          <w:rFonts w:hint="eastAsia"/>
          <w:b/>
          <w:snapToGrid w:val="0"/>
          <w:color w:val="000000"/>
          <w:sz w:val="30"/>
          <w:szCs w:val="30"/>
        </w:rPr>
        <w:t>DB</w:t>
      </w:r>
      <w:r>
        <w:rPr>
          <w:b/>
          <w:snapToGrid w:val="0"/>
          <w:color w:val="000000"/>
          <w:sz w:val="30"/>
          <w:szCs w:val="30"/>
        </w:rPr>
        <w:t>11/ XXX—202</w:t>
      </w:r>
      <w:r>
        <w:rPr>
          <w:rFonts w:hint="eastAsia"/>
          <w:b/>
          <w:snapToGrid w:val="0"/>
          <w:color w:val="000000"/>
          <w:sz w:val="30"/>
          <w:szCs w:val="30"/>
        </w:rPr>
        <w:t>X</w:t>
      </w:r>
    </w:p>
    <w:p>
      <w:pPr>
        <w:jc w:val="center"/>
        <w:rPr>
          <w:rFonts w:eastAsia="仿宋_GB2312"/>
          <w:b/>
          <w:bCs/>
          <w:caps/>
          <w:snapToGrid w:val="0"/>
          <w:sz w:val="36"/>
          <w:szCs w:val="36"/>
        </w:rPr>
      </w:pPr>
    </w:p>
    <w:p>
      <w:pPr>
        <w:pStyle w:val="94"/>
        <w:rPr>
          <w:snapToGrid w:val="0"/>
        </w:rPr>
      </w:pPr>
      <w:bookmarkStart w:id="603" w:name="_Toc15053087"/>
      <w:bookmarkStart w:id="604" w:name="_Toc27998961"/>
      <w:bookmarkStart w:id="605" w:name="_Toc499303818"/>
      <w:bookmarkStart w:id="606" w:name="_Toc37436158"/>
      <w:bookmarkStart w:id="607" w:name="_Toc35638773"/>
      <w:bookmarkStart w:id="608" w:name="_Toc22770"/>
      <w:bookmarkStart w:id="609" w:name="_Toc202345845"/>
      <w:bookmarkStart w:id="610" w:name="_Toc21920"/>
      <w:bookmarkStart w:id="611" w:name="_Toc499304717"/>
      <w:bookmarkStart w:id="612" w:name="_Toc27999108"/>
      <w:bookmarkStart w:id="613" w:name="_Toc492050338"/>
      <w:bookmarkStart w:id="614" w:name="_Toc23260874"/>
      <w:bookmarkStart w:id="615" w:name="_Toc514685674"/>
      <w:bookmarkStart w:id="616" w:name="_Toc513811978"/>
      <w:bookmarkStart w:id="617" w:name="_Toc463963189"/>
      <w:bookmarkStart w:id="618" w:name="_Toc25912870"/>
      <w:bookmarkStart w:id="619" w:name="_Toc86068039"/>
      <w:bookmarkStart w:id="620" w:name="_Toc462853610"/>
      <w:bookmarkStart w:id="621" w:name="_Toc27997072"/>
      <w:bookmarkStart w:id="622" w:name="_Toc37159180"/>
      <w:bookmarkStart w:id="623" w:name="_Toc37145668"/>
      <w:bookmarkStart w:id="624" w:name="_Toc462922396"/>
      <w:bookmarkStart w:id="625" w:name="_Toc37158876"/>
      <w:r>
        <w:rPr>
          <w:snapToGrid w:val="0"/>
        </w:rPr>
        <w:t>条文说明</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
    <w:p/>
    <w:p/>
    <w:p/>
    <w:p/>
    <w:p/>
    <w:p/>
    <w:p/>
    <w:p/>
    <w:p/>
    <w:p/>
    <w:p>
      <w:pPr>
        <w:jc w:val="center"/>
        <w:rPr>
          <w:rFonts w:eastAsia="黑体"/>
        </w:rPr>
      </w:pPr>
      <w:r>
        <w:rPr>
          <w:rFonts w:hint="eastAsia" w:eastAsia="黑体"/>
        </w:rPr>
        <w:t>2</w:t>
      </w:r>
      <w:r>
        <w:rPr>
          <w:rFonts w:eastAsia="黑体"/>
        </w:rPr>
        <w:t xml:space="preserve">025  </w:t>
      </w:r>
      <w:r>
        <w:rPr>
          <w:rFonts w:hint="eastAsia" w:eastAsia="黑体"/>
        </w:rPr>
        <w:t>北京</w:t>
      </w:r>
    </w:p>
    <w:bookmarkEnd w:id="5"/>
    <w:p/>
    <w:p/>
    <w:p>
      <w:r>
        <w:br w:type="page"/>
      </w:r>
    </w:p>
    <w:p>
      <w:pPr>
        <w:keepNext/>
        <w:keepLines/>
        <w:widowControl/>
        <w:spacing w:before="240" w:line="259" w:lineRule="auto"/>
        <w:jc w:val="center"/>
        <w:rPr>
          <w:rFonts w:eastAsia="仿宋"/>
          <w:b/>
          <w:color w:val="2F5597" w:themeColor="accent1" w:themeShade="BF"/>
          <w:kern w:val="0"/>
          <w:sz w:val="32"/>
          <w:szCs w:val="32"/>
          <w:lang w:val="zh-CN"/>
        </w:rPr>
      </w:pPr>
      <w:r>
        <w:rPr>
          <w:rFonts w:eastAsia="仿宋"/>
          <w:b/>
          <w:color w:val="2F5597" w:themeColor="accent1" w:themeShade="BF"/>
          <w:kern w:val="0"/>
          <w:sz w:val="32"/>
          <w:szCs w:val="32"/>
        </w:rPr>
        <w:t>目</w:t>
      </w:r>
      <w:r>
        <w:rPr>
          <w:rFonts w:eastAsia="仿宋"/>
          <w:b/>
          <w:color w:val="2F5597" w:themeColor="accent1" w:themeShade="BF"/>
          <w:kern w:val="0"/>
          <w:sz w:val="32"/>
          <w:szCs w:val="32"/>
          <w:lang w:val="zh-CN"/>
        </w:rPr>
        <w:t xml:space="preserve">    次</w:t>
      </w:r>
    </w:p>
    <w:p>
      <w:pPr>
        <w:pStyle w:val="23"/>
        <w:rPr>
          <w:rFonts w:asciiTheme="minorHAnsi" w:hAnsiTheme="minorHAnsi" w:eastAsiaTheme="minorEastAsia" w:cstheme="minorBidi"/>
          <w:sz w:val="21"/>
          <w:szCs w:val="22"/>
        </w:rPr>
      </w:pPr>
      <w:r>
        <w:rPr>
          <w:lang w:val="zh-CN"/>
        </w:rPr>
        <w:fldChar w:fldCharType="begin"/>
      </w:r>
      <w:r>
        <w:rPr>
          <w:lang w:val="zh-CN"/>
        </w:rPr>
        <w:instrText xml:space="preserve"> TOC \o "1-2" \b comments </w:instrText>
      </w:r>
      <w:r>
        <w:rPr>
          <w:lang w:val="zh-CN"/>
        </w:rPr>
        <w:fldChar w:fldCharType="separate"/>
      </w:r>
      <w:r>
        <w:t>1  总则</w:t>
      </w:r>
      <w:r>
        <w:tab/>
      </w:r>
      <w:r>
        <w:fldChar w:fldCharType="begin"/>
      </w:r>
      <w:r>
        <w:instrText xml:space="preserve"> PAGEREF _Toc202345846 \h </w:instrText>
      </w:r>
      <w:r>
        <w:fldChar w:fldCharType="separate"/>
      </w:r>
      <w:r>
        <w:t>87</w:t>
      </w:r>
      <w:r>
        <w:fldChar w:fldCharType="end"/>
      </w:r>
    </w:p>
    <w:p>
      <w:pPr>
        <w:pStyle w:val="23"/>
        <w:rPr>
          <w:rFonts w:asciiTheme="minorHAnsi" w:hAnsiTheme="minorHAnsi" w:eastAsiaTheme="minorEastAsia" w:cstheme="minorBidi"/>
          <w:sz w:val="21"/>
          <w:szCs w:val="22"/>
        </w:rPr>
      </w:pPr>
      <w:r>
        <w:t>2  术语和符号</w:t>
      </w:r>
      <w:r>
        <w:tab/>
      </w:r>
      <w:r>
        <w:fldChar w:fldCharType="begin"/>
      </w:r>
      <w:r>
        <w:instrText xml:space="preserve"> PAGEREF _Toc202345847 \h </w:instrText>
      </w:r>
      <w:r>
        <w:fldChar w:fldCharType="separate"/>
      </w:r>
      <w:r>
        <w:t>89</w:t>
      </w:r>
      <w:r>
        <w:fldChar w:fldCharType="end"/>
      </w:r>
    </w:p>
    <w:p>
      <w:pPr>
        <w:pStyle w:val="28"/>
        <w:ind w:left="480"/>
        <w:rPr>
          <w:rFonts w:asciiTheme="minorHAnsi" w:hAnsiTheme="minorHAnsi" w:eastAsiaTheme="minorEastAsia" w:cstheme="minorBidi"/>
          <w:sz w:val="21"/>
          <w:szCs w:val="22"/>
        </w:rPr>
      </w:pPr>
      <w:r>
        <w:t>2.1  术语</w:t>
      </w:r>
      <w:r>
        <w:tab/>
      </w:r>
      <w:r>
        <w:fldChar w:fldCharType="begin"/>
      </w:r>
      <w:r>
        <w:instrText xml:space="preserve"> PAGEREF _Toc202345848 \h </w:instrText>
      </w:r>
      <w:r>
        <w:fldChar w:fldCharType="separate"/>
      </w:r>
      <w:r>
        <w:t>89</w:t>
      </w:r>
      <w:r>
        <w:fldChar w:fldCharType="end"/>
      </w:r>
    </w:p>
    <w:p>
      <w:pPr>
        <w:pStyle w:val="23"/>
        <w:rPr>
          <w:rFonts w:asciiTheme="minorHAnsi" w:hAnsiTheme="minorHAnsi" w:eastAsiaTheme="minorEastAsia" w:cstheme="minorBidi"/>
          <w:sz w:val="21"/>
          <w:szCs w:val="22"/>
        </w:rPr>
      </w:pPr>
      <w:r>
        <w:t>3  基本规定</w:t>
      </w:r>
      <w:r>
        <w:tab/>
      </w:r>
      <w:r>
        <w:fldChar w:fldCharType="begin"/>
      </w:r>
      <w:r>
        <w:instrText xml:space="preserve"> PAGEREF _Toc202345849 \h </w:instrText>
      </w:r>
      <w:r>
        <w:fldChar w:fldCharType="separate"/>
      </w:r>
      <w:r>
        <w:t>92</w:t>
      </w:r>
      <w:r>
        <w:fldChar w:fldCharType="end"/>
      </w:r>
    </w:p>
    <w:p>
      <w:pPr>
        <w:pStyle w:val="28"/>
        <w:ind w:left="480"/>
        <w:rPr>
          <w:rFonts w:asciiTheme="minorHAnsi" w:hAnsiTheme="minorHAnsi" w:eastAsiaTheme="minorEastAsia" w:cstheme="minorBidi"/>
          <w:sz w:val="21"/>
          <w:szCs w:val="22"/>
        </w:rPr>
      </w:pPr>
      <w:r>
        <w:t>3.1  一般规定</w:t>
      </w:r>
      <w:r>
        <w:tab/>
      </w:r>
      <w:r>
        <w:fldChar w:fldCharType="begin"/>
      </w:r>
      <w:r>
        <w:instrText xml:space="preserve"> PAGEREF _Toc202345850 \h </w:instrText>
      </w:r>
      <w:r>
        <w:fldChar w:fldCharType="separate"/>
      </w:r>
      <w:r>
        <w:t>92</w:t>
      </w:r>
      <w:r>
        <w:fldChar w:fldCharType="end"/>
      </w:r>
    </w:p>
    <w:p>
      <w:pPr>
        <w:pStyle w:val="28"/>
        <w:ind w:left="480"/>
        <w:rPr>
          <w:rFonts w:asciiTheme="minorHAnsi" w:hAnsiTheme="minorHAnsi" w:eastAsiaTheme="minorEastAsia" w:cstheme="minorBidi"/>
          <w:sz w:val="21"/>
          <w:szCs w:val="22"/>
        </w:rPr>
      </w:pPr>
      <w:r>
        <w:t>3.2  结构布置</w:t>
      </w:r>
      <w:r>
        <w:tab/>
      </w:r>
      <w:r>
        <w:fldChar w:fldCharType="begin"/>
      </w:r>
      <w:r>
        <w:instrText xml:space="preserve"> PAGEREF _Toc202345851 \h </w:instrText>
      </w:r>
      <w:r>
        <w:fldChar w:fldCharType="separate"/>
      </w:r>
      <w:r>
        <w:t>93</w:t>
      </w:r>
      <w:r>
        <w:fldChar w:fldCharType="end"/>
      </w:r>
    </w:p>
    <w:p>
      <w:pPr>
        <w:pStyle w:val="28"/>
        <w:ind w:left="480"/>
        <w:rPr>
          <w:rFonts w:asciiTheme="minorHAnsi" w:hAnsiTheme="minorHAnsi" w:eastAsiaTheme="minorEastAsia" w:cstheme="minorBidi"/>
          <w:sz w:val="21"/>
          <w:szCs w:val="22"/>
        </w:rPr>
      </w:pPr>
      <w:r>
        <w:t>3.3  抗震规定</w:t>
      </w:r>
      <w:r>
        <w:tab/>
      </w:r>
      <w:r>
        <w:fldChar w:fldCharType="begin"/>
      </w:r>
      <w:r>
        <w:instrText xml:space="preserve"> PAGEREF _Toc202345852 \h </w:instrText>
      </w:r>
      <w:r>
        <w:fldChar w:fldCharType="separate"/>
      </w:r>
      <w:r>
        <w:t>96</w:t>
      </w:r>
      <w:r>
        <w:fldChar w:fldCharType="end"/>
      </w:r>
    </w:p>
    <w:p>
      <w:pPr>
        <w:pStyle w:val="28"/>
        <w:ind w:left="480"/>
        <w:rPr>
          <w:rFonts w:asciiTheme="minorHAnsi" w:hAnsiTheme="minorHAnsi" w:eastAsiaTheme="minorEastAsia" w:cstheme="minorBidi"/>
          <w:sz w:val="21"/>
          <w:szCs w:val="22"/>
        </w:rPr>
      </w:pPr>
      <w:r>
        <w:t>3.4  一体化建造</w:t>
      </w:r>
      <w:r>
        <w:tab/>
      </w:r>
      <w:r>
        <w:fldChar w:fldCharType="begin"/>
      </w:r>
      <w:r>
        <w:instrText xml:space="preserve"> PAGEREF _Toc202345853 \h </w:instrText>
      </w:r>
      <w:r>
        <w:fldChar w:fldCharType="separate"/>
      </w:r>
      <w:r>
        <w:t>99</w:t>
      </w:r>
      <w:r>
        <w:fldChar w:fldCharType="end"/>
      </w:r>
    </w:p>
    <w:p>
      <w:pPr>
        <w:pStyle w:val="23"/>
        <w:rPr>
          <w:rFonts w:asciiTheme="minorHAnsi" w:hAnsiTheme="minorHAnsi" w:eastAsiaTheme="minorEastAsia" w:cstheme="minorBidi"/>
          <w:sz w:val="21"/>
          <w:szCs w:val="22"/>
        </w:rPr>
      </w:pPr>
      <w:r>
        <w:t>4  材料</w:t>
      </w:r>
      <w:r>
        <w:tab/>
      </w:r>
      <w:r>
        <w:fldChar w:fldCharType="begin"/>
      </w:r>
      <w:r>
        <w:instrText xml:space="preserve"> PAGEREF _Toc202345854 \h </w:instrText>
      </w:r>
      <w:r>
        <w:fldChar w:fldCharType="separate"/>
      </w:r>
      <w:r>
        <w:t>100</w:t>
      </w:r>
      <w:r>
        <w:fldChar w:fldCharType="end"/>
      </w:r>
    </w:p>
    <w:p>
      <w:pPr>
        <w:pStyle w:val="28"/>
        <w:ind w:left="480"/>
        <w:rPr>
          <w:rFonts w:asciiTheme="minorHAnsi" w:hAnsiTheme="minorHAnsi" w:eastAsiaTheme="minorEastAsia" w:cstheme="minorBidi"/>
          <w:sz w:val="21"/>
          <w:szCs w:val="22"/>
        </w:rPr>
      </w:pPr>
      <w:r>
        <w:t>4.1  混凝土、钢筋和钢材</w:t>
      </w:r>
      <w:r>
        <w:tab/>
      </w:r>
      <w:r>
        <w:fldChar w:fldCharType="begin"/>
      </w:r>
      <w:r>
        <w:instrText xml:space="preserve"> PAGEREF _Toc202345855 \h </w:instrText>
      </w:r>
      <w:r>
        <w:fldChar w:fldCharType="separate"/>
      </w:r>
      <w:r>
        <w:t>100</w:t>
      </w:r>
      <w:r>
        <w:fldChar w:fldCharType="end"/>
      </w:r>
    </w:p>
    <w:p>
      <w:pPr>
        <w:pStyle w:val="28"/>
        <w:ind w:left="480"/>
        <w:rPr>
          <w:rFonts w:asciiTheme="minorHAnsi" w:hAnsiTheme="minorHAnsi" w:eastAsiaTheme="minorEastAsia" w:cstheme="minorBidi"/>
          <w:sz w:val="21"/>
          <w:szCs w:val="22"/>
        </w:rPr>
      </w:pPr>
      <w:r>
        <w:t>4.2  预应力材料</w:t>
      </w:r>
      <w:r>
        <w:tab/>
      </w:r>
      <w:r>
        <w:fldChar w:fldCharType="begin"/>
      </w:r>
      <w:r>
        <w:instrText xml:space="preserve"> PAGEREF _Toc202345856 \h </w:instrText>
      </w:r>
      <w:r>
        <w:fldChar w:fldCharType="separate"/>
      </w:r>
      <w:r>
        <w:t>100</w:t>
      </w:r>
      <w:r>
        <w:fldChar w:fldCharType="end"/>
      </w:r>
    </w:p>
    <w:p>
      <w:pPr>
        <w:pStyle w:val="28"/>
        <w:ind w:left="480"/>
        <w:rPr>
          <w:rFonts w:asciiTheme="minorHAnsi" w:hAnsiTheme="minorHAnsi" w:eastAsiaTheme="minorEastAsia" w:cstheme="minorBidi"/>
          <w:sz w:val="21"/>
          <w:szCs w:val="22"/>
        </w:rPr>
      </w:pPr>
      <w:r>
        <w:t>4.3  连接材料</w:t>
      </w:r>
      <w:r>
        <w:tab/>
      </w:r>
      <w:r>
        <w:fldChar w:fldCharType="begin"/>
      </w:r>
      <w:r>
        <w:instrText xml:space="preserve"> PAGEREF _Toc202345857 \h </w:instrText>
      </w:r>
      <w:r>
        <w:fldChar w:fldCharType="separate"/>
      </w:r>
      <w:r>
        <w:t>100</w:t>
      </w:r>
      <w:r>
        <w:fldChar w:fldCharType="end"/>
      </w:r>
    </w:p>
    <w:p>
      <w:pPr>
        <w:pStyle w:val="23"/>
        <w:rPr>
          <w:rFonts w:asciiTheme="minorHAnsi" w:hAnsiTheme="minorHAnsi" w:eastAsiaTheme="minorEastAsia" w:cstheme="minorBidi"/>
          <w:sz w:val="21"/>
          <w:szCs w:val="22"/>
        </w:rPr>
      </w:pPr>
      <w:r>
        <w:t>5  结构分析与设计</w:t>
      </w:r>
      <w:r>
        <w:tab/>
      </w:r>
      <w:r>
        <w:fldChar w:fldCharType="begin"/>
      </w:r>
      <w:r>
        <w:instrText xml:space="preserve"> PAGEREF _Toc202345858 \h </w:instrText>
      </w:r>
      <w:r>
        <w:fldChar w:fldCharType="separate"/>
      </w:r>
      <w:r>
        <w:t>101</w:t>
      </w:r>
      <w:r>
        <w:fldChar w:fldCharType="end"/>
      </w:r>
    </w:p>
    <w:p>
      <w:pPr>
        <w:pStyle w:val="28"/>
        <w:ind w:left="480"/>
        <w:rPr>
          <w:rFonts w:asciiTheme="minorHAnsi" w:hAnsiTheme="minorHAnsi" w:eastAsiaTheme="minorEastAsia" w:cstheme="minorBidi"/>
          <w:sz w:val="21"/>
          <w:szCs w:val="22"/>
        </w:rPr>
      </w:pPr>
      <w:r>
        <w:t>5.1  一般规定</w:t>
      </w:r>
      <w:r>
        <w:tab/>
      </w:r>
      <w:r>
        <w:fldChar w:fldCharType="begin"/>
      </w:r>
      <w:r>
        <w:instrText xml:space="preserve"> PAGEREF _Toc202345859 \h </w:instrText>
      </w:r>
      <w:r>
        <w:fldChar w:fldCharType="separate"/>
      </w:r>
      <w:r>
        <w:t>101</w:t>
      </w:r>
      <w:r>
        <w:fldChar w:fldCharType="end"/>
      </w:r>
    </w:p>
    <w:p>
      <w:pPr>
        <w:pStyle w:val="28"/>
        <w:ind w:left="480"/>
        <w:rPr>
          <w:rFonts w:asciiTheme="minorHAnsi" w:hAnsiTheme="minorHAnsi" w:eastAsiaTheme="minorEastAsia" w:cstheme="minorBidi"/>
          <w:sz w:val="21"/>
          <w:szCs w:val="22"/>
        </w:rPr>
      </w:pPr>
      <w:r>
        <w:t>5.2  结构分析</w:t>
      </w:r>
      <w:r>
        <w:tab/>
      </w:r>
      <w:r>
        <w:fldChar w:fldCharType="begin"/>
      </w:r>
      <w:r>
        <w:instrText xml:space="preserve"> PAGEREF _Toc202345860 \h </w:instrText>
      </w:r>
      <w:r>
        <w:fldChar w:fldCharType="separate"/>
      </w:r>
      <w:r>
        <w:t>102</w:t>
      </w:r>
      <w:r>
        <w:fldChar w:fldCharType="end"/>
      </w:r>
    </w:p>
    <w:p>
      <w:pPr>
        <w:pStyle w:val="28"/>
        <w:ind w:left="480"/>
        <w:rPr>
          <w:rFonts w:asciiTheme="minorHAnsi" w:hAnsiTheme="minorHAnsi" w:eastAsiaTheme="minorEastAsia" w:cstheme="minorBidi"/>
          <w:sz w:val="21"/>
          <w:szCs w:val="22"/>
        </w:rPr>
      </w:pPr>
      <w:r>
        <w:t>5.3  梁柱构件设计</w:t>
      </w:r>
      <w:r>
        <w:tab/>
      </w:r>
      <w:r>
        <w:fldChar w:fldCharType="begin"/>
      </w:r>
      <w:r>
        <w:instrText xml:space="preserve"> PAGEREF _Toc202345861 \h </w:instrText>
      </w:r>
      <w:r>
        <w:fldChar w:fldCharType="separate"/>
      </w:r>
      <w:r>
        <w:t>103</w:t>
      </w:r>
      <w:r>
        <w:fldChar w:fldCharType="end"/>
      </w:r>
    </w:p>
    <w:p>
      <w:pPr>
        <w:pStyle w:val="28"/>
        <w:ind w:left="480"/>
        <w:rPr>
          <w:rFonts w:asciiTheme="minorHAnsi" w:hAnsiTheme="minorHAnsi" w:eastAsiaTheme="minorEastAsia" w:cstheme="minorBidi"/>
          <w:sz w:val="21"/>
          <w:szCs w:val="22"/>
        </w:rPr>
      </w:pPr>
      <w:r>
        <w:t>5.4  楼板设计</w:t>
      </w:r>
      <w:r>
        <w:tab/>
      </w:r>
      <w:r>
        <w:fldChar w:fldCharType="begin"/>
      </w:r>
      <w:r>
        <w:instrText xml:space="preserve"> PAGEREF _Toc202345862 \h </w:instrText>
      </w:r>
      <w:r>
        <w:fldChar w:fldCharType="separate"/>
      </w:r>
      <w:r>
        <w:t>107</w:t>
      </w:r>
      <w:r>
        <w:fldChar w:fldCharType="end"/>
      </w:r>
    </w:p>
    <w:p>
      <w:pPr>
        <w:pStyle w:val="28"/>
        <w:ind w:left="480"/>
        <w:rPr>
          <w:rFonts w:asciiTheme="minorHAnsi" w:hAnsiTheme="minorHAnsi" w:eastAsiaTheme="minorEastAsia" w:cstheme="minorBidi"/>
          <w:sz w:val="21"/>
          <w:szCs w:val="22"/>
        </w:rPr>
      </w:pPr>
      <w:r>
        <w:t>5.5  梁柱连接设计</w:t>
      </w:r>
      <w:r>
        <w:tab/>
      </w:r>
      <w:r>
        <w:fldChar w:fldCharType="begin"/>
      </w:r>
      <w:r>
        <w:instrText xml:space="preserve"> PAGEREF _Toc202345863 \h </w:instrText>
      </w:r>
      <w:r>
        <w:fldChar w:fldCharType="separate"/>
      </w:r>
      <w:r>
        <w:t>107</w:t>
      </w:r>
      <w:r>
        <w:fldChar w:fldCharType="end"/>
      </w:r>
    </w:p>
    <w:p>
      <w:pPr>
        <w:pStyle w:val="28"/>
        <w:ind w:left="480"/>
        <w:rPr>
          <w:rFonts w:asciiTheme="minorHAnsi" w:hAnsiTheme="minorHAnsi" w:eastAsiaTheme="minorEastAsia" w:cstheme="minorBidi"/>
          <w:sz w:val="21"/>
          <w:szCs w:val="22"/>
        </w:rPr>
      </w:pPr>
      <w:r>
        <w:t>5.7  其他连接设计</w:t>
      </w:r>
      <w:r>
        <w:tab/>
      </w:r>
      <w:r>
        <w:fldChar w:fldCharType="begin"/>
      </w:r>
      <w:r>
        <w:instrText xml:space="preserve"> PAGEREF _Toc202345864 \h </w:instrText>
      </w:r>
      <w:r>
        <w:fldChar w:fldCharType="separate"/>
      </w:r>
      <w:r>
        <w:t>113</w:t>
      </w:r>
      <w:r>
        <w:fldChar w:fldCharType="end"/>
      </w:r>
    </w:p>
    <w:p>
      <w:pPr>
        <w:pStyle w:val="23"/>
        <w:rPr>
          <w:rFonts w:asciiTheme="minorHAnsi" w:hAnsiTheme="minorHAnsi" w:eastAsiaTheme="minorEastAsia" w:cstheme="minorBidi"/>
          <w:sz w:val="21"/>
          <w:szCs w:val="22"/>
        </w:rPr>
      </w:pPr>
      <w:r>
        <w:t>6  构件制作与运输</w:t>
      </w:r>
      <w:r>
        <w:tab/>
      </w:r>
      <w:r>
        <w:fldChar w:fldCharType="begin"/>
      </w:r>
      <w:r>
        <w:instrText xml:space="preserve"> PAGEREF _Toc202345865 \h </w:instrText>
      </w:r>
      <w:r>
        <w:fldChar w:fldCharType="separate"/>
      </w:r>
      <w:r>
        <w:t>118</w:t>
      </w:r>
      <w:r>
        <w:fldChar w:fldCharType="end"/>
      </w:r>
    </w:p>
    <w:p>
      <w:pPr>
        <w:pStyle w:val="28"/>
        <w:ind w:left="480"/>
        <w:rPr>
          <w:rFonts w:asciiTheme="minorHAnsi" w:hAnsiTheme="minorHAnsi" w:eastAsiaTheme="minorEastAsia" w:cstheme="minorBidi"/>
          <w:sz w:val="21"/>
          <w:szCs w:val="22"/>
        </w:rPr>
      </w:pPr>
      <w:r>
        <w:t>6.1  一般规定</w:t>
      </w:r>
      <w:r>
        <w:tab/>
      </w:r>
      <w:r>
        <w:fldChar w:fldCharType="begin"/>
      </w:r>
      <w:r>
        <w:instrText xml:space="preserve"> PAGEREF _Toc202345866 \h </w:instrText>
      </w:r>
      <w:r>
        <w:fldChar w:fldCharType="separate"/>
      </w:r>
      <w:r>
        <w:t>118</w:t>
      </w:r>
      <w:r>
        <w:fldChar w:fldCharType="end"/>
      </w:r>
    </w:p>
    <w:p>
      <w:pPr>
        <w:pStyle w:val="28"/>
        <w:ind w:left="480"/>
        <w:rPr>
          <w:rFonts w:asciiTheme="minorHAnsi" w:hAnsiTheme="minorHAnsi" w:eastAsiaTheme="minorEastAsia" w:cstheme="minorBidi"/>
          <w:sz w:val="21"/>
          <w:szCs w:val="22"/>
        </w:rPr>
      </w:pPr>
      <w:r>
        <w:t>6.2  构件深化</w:t>
      </w:r>
      <w:r>
        <w:tab/>
      </w:r>
      <w:r>
        <w:fldChar w:fldCharType="begin"/>
      </w:r>
      <w:r>
        <w:instrText xml:space="preserve"> PAGEREF _Toc202345867 \h </w:instrText>
      </w:r>
      <w:r>
        <w:fldChar w:fldCharType="separate"/>
      </w:r>
      <w:r>
        <w:t>119</w:t>
      </w:r>
      <w:r>
        <w:fldChar w:fldCharType="end"/>
      </w:r>
    </w:p>
    <w:p>
      <w:pPr>
        <w:pStyle w:val="28"/>
        <w:ind w:left="480"/>
        <w:rPr>
          <w:rFonts w:asciiTheme="minorHAnsi" w:hAnsiTheme="minorHAnsi" w:eastAsiaTheme="minorEastAsia" w:cstheme="minorBidi"/>
          <w:sz w:val="21"/>
          <w:szCs w:val="22"/>
        </w:rPr>
      </w:pPr>
      <w:r>
        <w:t>6.3  构件制作</w:t>
      </w:r>
      <w:r>
        <w:tab/>
      </w:r>
      <w:r>
        <w:fldChar w:fldCharType="begin"/>
      </w:r>
      <w:r>
        <w:instrText xml:space="preserve"> PAGEREF _Toc202345868 \h </w:instrText>
      </w:r>
      <w:r>
        <w:fldChar w:fldCharType="separate"/>
      </w:r>
      <w:r>
        <w:t>119</w:t>
      </w:r>
      <w:r>
        <w:fldChar w:fldCharType="end"/>
      </w:r>
    </w:p>
    <w:p>
      <w:pPr>
        <w:pStyle w:val="23"/>
        <w:rPr>
          <w:rFonts w:asciiTheme="minorHAnsi" w:hAnsiTheme="minorHAnsi" w:eastAsiaTheme="minorEastAsia" w:cstheme="minorBidi"/>
          <w:sz w:val="21"/>
          <w:szCs w:val="22"/>
        </w:rPr>
      </w:pPr>
      <w:r>
        <w:t>7 施工安装</w:t>
      </w:r>
      <w:r>
        <w:tab/>
      </w:r>
      <w:r>
        <w:fldChar w:fldCharType="begin"/>
      </w:r>
      <w:r>
        <w:instrText xml:space="preserve"> PAGEREF _Toc202345869 \h </w:instrText>
      </w:r>
      <w:r>
        <w:fldChar w:fldCharType="separate"/>
      </w:r>
      <w:r>
        <w:t>122</w:t>
      </w:r>
      <w:r>
        <w:fldChar w:fldCharType="end"/>
      </w:r>
    </w:p>
    <w:p>
      <w:pPr>
        <w:pStyle w:val="28"/>
        <w:ind w:left="480"/>
        <w:rPr>
          <w:rFonts w:asciiTheme="minorHAnsi" w:hAnsiTheme="minorHAnsi" w:eastAsiaTheme="minorEastAsia" w:cstheme="minorBidi"/>
          <w:sz w:val="21"/>
          <w:szCs w:val="22"/>
        </w:rPr>
      </w:pPr>
      <w:r>
        <w:t>7.1  一般规定</w:t>
      </w:r>
      <w:r>
        <w:tab/>
      </w:r>
      <w:r>
        <w:fldChar w:fldCharType="begin"/>
      </w:r>
      <w:r>
        <w:instrText xml:space="preserve"> PAGEREF _Toc202345870 \h </w:instrText>
      </w:r>
      <w:r>
        <w:fldChar w:fldCharType="separate"/>
      </w:r>
      <w:r>
        <w:t>122</w:t>
      </w:r>
      <w:r>
        <w:fldChar w:fldCharType="end"/>
      </w:r>
    </w:p>
    <w:p>
      <w:pPr>
        <w:pStyle w:val="28"/>
        <w:ind w:left="480"/>
        <w:rPr>
          <w:rFonts w:asciiTheme="minorHAnsi" w:hAnsiTheme="minorHAnsi" w:eastAsiaTheme="minorEastAsia" w:cstheme="minorBidi"/>
          <w:sz w:val="21"/>
          <w:szCs w:val="22"/>
        </w:rPr>
      </w:pPr>
      <w:r>
        <w:t>7.2  安装准备</w:t>
      </w:r>
      <w:r>
        <w:tab/>
      </w:r>
      <w:r>
        <w:fldChar w:fldCharType="begin"/>
      </w:r>
      <w:r>
        <w:instrText xml:space="preserve"> PAGEREF _Toc202345871 \h </w:instrText>
      </w:r>
      <w:r>
        <w:fldChar w:fldCharType="separate"/>
      </w:r>
      <w:r>
        <w:t>127</w:t>
      </w:r>
      <w:r>
        <w:fldChar w:fldCharType="end"/>
      </w:r>
    </w:p>
    <w:p>
      <w:pPr>
        <w:pStyle w:val="23"/>
        <w:rPr>
          <w:rFonts w:asciiTheme="minorHAnsi" w:hAnsiTheme="minorHAnsi" w:eastAsiaTheme="minorEastAsia" w:cstheme="minorBidi"/>
          <w:sz w:val="21"/>
          <w:szCs w:val="22"/>
        </w:rPr>
      </w:pPr>
      <w:r>
        <w:t>8 质量验收</w:t>
      </w:r>
      <w:r>
        <w:tab/>
      </w:r>
      <w:r>
        <w:fldChar w:fldCharType="begin"/>
      </w:r>
      <w:r>
        <w:instrText xml:space="preserve"> PAGEREF _Toc202345872 \h </w:instrText>
      </w:r>
      <w:r>
        <w:fldChar w:fldCharType="separate"/>
      </w:r>
      <w:r>
        <w:t>128</w:t>
      </w:r>
      <w:r>
        <w:fldChar w:fldCharType="end"/>
      </w:r>
    </w:p>
    <w:p>
      <w:pPr>
        <w:pStyle w:val="28"/>
        <w:ind w:left="480"/>
        <w:rPr>
          <w:rFonts w:asciiTheme="minorHAnsi" w:hAnsiTheme="minorHAnsi" w:eastAsiaTheme="minorEastAsia" w:cstheme="minorBidi"/>
          <w:sz w:val="21"/>
          <w:szCs w:val="22"/>
        </w:rPr>
      </w:pPr>
      <w:r>
        <w:t>8. 2  预制构件进场</w:t>
      </w:r>
      <w:r>
        <w:tab/>
      </w:r>
      <w:r>
        <w:fldChar w:fldCharType="begin"/>
      </w:r>
      <w:r>
        <w:instrText xml:space="preserve"> PAGEREF _Toc202345873 \h </w:instrText>
      </w:r>
      <w:r>
        <w:fldChar w:fldCharType="separate"/>
      </w:r>
      <w:r>
        <w:t>128</w:t>
      </w:r>
      <w:r>
        <w:fldChar w:fldCharType="end"/>
      </w:r>
    </w:p>
    <w:p>
      <w:pPr>
        <w:pStyle w:val="23"/>
        <w:rPr>
          <w:rFonts w:asciiTheme="minorHAnsi" w:hAnsiTheme="minorHAnsi" w:eastAsiaTheme="minorEastAsia" w:cstheme="minorBidi"/>
          <w:sz w:val="21"/>
          <w:szCs w:val="22"/>
        </w:rPr>
      </w:pPr>
      <w:r>
        <w:t>附录A 预应力压接装配节点位移极限状态验算</w:t>
      </w:r>
      <w:r>
        <w:tab/>
      </w:r>
      <w:r>
        <w:fldChar w:fldCharType="begin"/>
      </w:r>
      <w:r>
        <w:instrText xml:space="preserve"> PAGEREF _Toc202345874 \h </w:instrText>
      </w:r>
      <w:r>
        <w:fldChar w:fldCharType="separate"/>
      </w:r>
      <w:r>
        <w:t>129</w:t>
      </w:r>
      <w:r>
        <w:fldChar w:fldCharType="end"/>
      </w:r>
    </w:p>
    <w:p>
      <w:pPr>
        <w:pStyle w:val="23"/>
        <w:rPr>
          <w:rFonts w:asciiTheme="minorHAnsi" w:hAnsiTheme="minorHAnsi" w:eastAsiaTheme="minorEastAsia" w:cstheme="minorBidi"/>
          <w:sz w:val="21"/>
          <w:szCs w:val="22"/>
        </w:rPr>
      </w:pPr>
      <w:r>
        <w:t>附录B 预应力压接装配式结构关键节点弹塑性分析模型</w:t>
      </w:r>
      <w:r>
        <w:tab/>
      </w:r>
      <w:r>
        <w:fldChar w:fldCharType="begin"/>
      </w:r>
      <w:r>
        <w:instrText xml:space="preserve"> PAGEREF _Toc202345875 \h </w:instrText>
      </w:r>
      <w:r>
        <w:fldChar w:fldCharType="separate"/>
      </w:r>
      <w:r>
        <w:t>131</w:t>
      </w:r>
      <w:r>
        <w:fldChar w:fldCharType="end"/>
      </w:r>
    </w:p>
    <w:p>
      <w:pPr>
        <w:rPr>
          <w:lang w:val="zh-CN"/>
        </w:rPr>
      </w:pPr>
      <w:r>
        <w:rPr>
          <w:lang w:val="zh-CN"/>
        </w:rPr>
        <w:fldChar w:fldCharType="end"/>
      </w:r>
    </w:p>
    <w:p/>
    <w:p>
      <w:r>
        <w:br w:type="page"/>
      </w:r>
    </w:p>
    <w:p>
      <w:pPr>
        <w:pStyle w:val="94"/>
      </w:pPr>
      <w:bookmarkStart w:id="626" w:name="_Toc202345846"/>
      <w:bookmarkStart w:id="627" w:name="comments"/>
      <w:r>
        <w:t xml:space="preserve">1  </w:t>
      </w:r>
      <w:r>
        <w:rPr>
          <w:rFonts w:hint="eastAsia"/>
        </w:rPr>
        <w:t>总则</w:t>
      </w:r>
      <w:bookmarkEnd w:id="626"/>
    </w:p>
    <w:p>
      <w:pPr>
        <w:pStyle w:val="98"/>
      </w:pPr>
      <w:r>
        <w:rPr>
          <w:rFonts w:hint="eastAsia"/>
          <w:b/>
          <w:bCs w:val="0"/>
        </w:rPr>
        <w:t>1</w:t>
      </w:r>
      <w:r>
        <w:rPr>
          <w:b/>
          <w:bCs w:val="0"/>
        </w:rPr>
        <w:t>.0.1</w:t>
      </w:r>
      <w:r>
        <w:tab/>
      </w:r>
      <w:r>
        <w:rPr>
          <w:rFonts w:hint="eastAsia"/>
        </w:rPr>
        <w:t>早在上世纪80年代，主参编单位在引入南斯拉夫“IMS”体系基础上开发了适合我国国情的预应力压接板柱体系，制定了相应标准并在国内约35万平米工程中应用。其中，北京地区项目约24项，包括北京建筑设计研究院科研楼、北京工业大学基础教学楼等，最早的已投入使用近40年，建筑高度最高达56.7m，建筑层数最多达18层，在当时的技术条件下，取得了良好的社会效益和技术经济效果。</w:t>
      </w:r>
    </w:p>
    <w:p>
      <w:pPr>
        <w:pStyle w:val="99"/>
      </w:pPr>
      <w:r>
        <w:rPr>
          <w:rFonts w:hint="eastAsia"/>
        </w:rPr>
        <w:t>压接装配框架在上世纪90年代由美国NIST资助的研究项目提出，日美PRESSS联合研究项目进行了深入的理论和试验研究。本世纪初，美国、新西兰和欧洲针对预制梁端顶部和底部采用等截面耗能钢筋，预制梁中部采用贯穿梁柱节点无粘结预应力钢筋压接，预制梁与楼板采用避免给梁端提供附加的抗弯能力的滑动连接的预应力压接装配节点（本标准简称为PRESSS节点）制定了相应的标准，在美国高烈度地震区已经建成了百米高楼，在新西兰和欧洲也有少量工程应用。PRESSS节点每侧梁与柱连接有上下两道耗能钢筋和中部预应力筋穿过节点，梁柱节点处钢筋较为密集，在国外一般用作单向抗侧框架，以避免双向抗侧框架引起的梁柱节点钢筋拥塞。此外PRESSS节点为保证在地震作用下完全自复位能力要求楼板与框架独立变形带来了楼板与梁连接较为复杂。基于以上原因，PRESSS 体系在国内尚未见实际工程应用。本规程引入PRESSS 体系，希望其能够在我国高烈度地震区既有建筑加固中作为附加单向局部抗侧力框架，既能发挥其抗震性能优越，又能回避其缺点。</w:t>
      </w:r>
    </w:p>
    <w:p>
      <w:pPr>
        <w:pStyle w:val="99"/>
      </w:pPr>
      <w:r>
        <w:rPr>
          <w:rFonts w:hint="eastAsia"/>
        </w:rPr>
        <w:t>鉴于PRESSS 体系构造复杂，不适用于我国新建建筑中普遍应用的双向抗侧力框架体系，编制单位研发了适应我国国情的新型预制预应力高效装配混凝土框架（PPEFF）结构体系，并对其抗震性能、抗连续倒塌性能进行了系统理论研究和充分试验验证，并先后在湖北、江苏、浙江、贵州、广东等地建成了多项工程，实现了“五天两层”的建造速度，取得了施工现场用工量和非实体材料消耗大幅减少，钢材消耗和整体建造成本进一步降低，结构抗震性能和抗连续倒塌性能进一步提升的良好效果。</w:t>
      </w:r>
    </w:p>
    <w:p>
      <w:pPr>
        <w:pStyle w:val="99"/>
      </w:pPr>
      <w:r>
        <w:rPr>
          <w:rFonts w:hint="eastAsia"/>
        </w:rPr>
        <w:t>利用后张预应力压接实现板柱、梁柱间“干式装配”的“非等同现浇”装配式结构体系，在研究与工程实践中已被证明在地震作用下具有良好的自复位和低损伤的特性，具有良好发展前景。为了促进预应力压接装配式结构技术的工程应用，提高现阶段装配式混凝土建筑的建造效率，降低整体建造成本，制定本规程。本规程对压接装配框架结构、压接装配框架-抗震墙结构、压接装配框架-核心筒结构、压接装配板柱-抗震墙结构的设计、制作、施工安装及质量验收全过程进行规定。</w:t>
      </w:r>
    </w:p>
    <w:p>
      <w:pPr>
        <w:pStyle w:val="98"/>
      </w:pPr>
      <w:r>
        <w:rPr>
          <w:rFonts w:hint="eastAsia"/>
          <w:b/>
          <w:bCs w:val="0"/>
        </w:rPr>
        <w:t>1</w:t>
      </w:r>
      <w:r>
        <w:rPr>
          <w:b/>
          <w:bCs w:val="0"/>
        </w:rPr>
        <w:t>.0.2</w:t>
      </w:r>
      <w:r>
        <w:tab/>
      </w:r>
      <w:r>
        <w:rPr>
          <w:rFonts w:hint="eastAsia"/>
        </w:rPr>
        <w:t>国内外的研究和工程实践表明，地震作用下预应力压接装配式结构具有低损伤、高延性和自复位等特点，其预应力压接装配方式还可较好发挥装配式建筑施工高效、品质优良和低碳环保等优势，在北京这种高烈度设防地区应用，可全面提高装配式建筑的环境效益、社会效益和经济效益。</w:t>
      </w:r>
    </w:p>
    <w:p>
      <w:pPr>
        <w:pStyle w:val="98"/>
      </w:pPr>
      <w:r>
        <w:rPr>
          <w:rFonts w:hint="eastAsia"/>
          <w:b/>
          <w:bCs w:val="0"/>
        </w:rPr>
        <w:t>1</w:t>
      </w:r>
      <w:r>
        <w:rPr>
          <w:b/>
          <w:bCs w:val="0"/>
        </w:rPr>
        <w:t>.0.3</w:t>
      </w:r>
      <w:r>
        <w:tab/>
      </w:r>
      <w:r>
        <w:rPr>
          <w:rFonts w:hint="eastAsia"/>
        </w:rPr>
        <w:t>预应力压接装配式结构的设计、制作、施工与验收除应符合本规程的规定外，尚应符合相关标准的规定，还应与北京地区有关的装配式建筑设计和装修设计、预制构件制作与质量检验、装配式混凝土建筑施工与验收、装配式建筑评价等标准配合使用。</w:t>
      </w:r>
    </w:p>
    <w:p>
      <w:pPr>
        <w:pStyle w:val="99"/>
      </w:pPr>
    </w:p>
    <w:p>
      <w:r>
        <w:br w:type="page"/>
      </w:r>
    </w:p>
    <w:p>
      <w:pPr>
        <w:pStyle w:val="94"/>
      </w:pPr>
      <w:bookmarkStart w:id="628" w:name="_Toc202345847"/>
      <w:r>
        <w:t xml:space="preserve">2  </w:t>
      </w:r>
      <w:r>
        <w:rPr>
          <w:rFonts w:hint="eastAsia"/>
        </w:rPr>
        <w:t>术语和符号</w:t>
      </w:r>
      <w:bookmarkEnd w:id="628"/>
    </w:p>
    <w:p>
      <w:pPr>
        <w:pStyle w:val="100"/>
      </w:pPr>
      <w:bookmarkStart w:id="629" w:name="_Toc202345848"/>
      <w:r>
        <w:rPr>
          <w:rFonts w:hint="eastAsia"/>
        </w:rPr>
        <w:t>2</w:t>
      </w:r>
      <w:r>
        <w:t xml:space="preserve">.1  </w:t>
      </w:r>
      <w:r>
        <w:rPr>
          <w:rFonts w:hint="eastAsia"/>
        </w:rPr>
        <w:t>术语</w:t>
      </w:r>
      <w:bookmarkEnd w:id="629"/>
    </w:p>
    <w:p>
      <w:pPr>
        <w:pStyle w:val="98"/>
      </w:pPr>
      <w:r>
        <w:rPr>
          <w:rFonts w:hint="eastAsia"/>
          <w:b/>
          <w:bCs w:val="0"/>
        </w:rPr>
        <w:t>2</w:t>
      </w:r>
      <w:r>
        <w:rPr>
          <w:b/>
          <w:bCs w:val="0"/>
        </w:rPr>
        <w:t>.1.1</w:t>
      </w:r>
      <w:r>
        <w:tab/>
      </w:r>
      <w:r>
        <w:rPr>
          <w:rFonts w:hint="eastAsia"/>
        </w:rPr>
        <w:t>通过后张预应力筋将预制构件快速连接在一起形成整体，是减少现场湿作业、提高装配效率的一种有效方式。而且预制构件间接缝在预应力作用下处于压紧状态，结构在遭受地震作用时还具有一定的自复位功能，有利于提升结构抗震性能。基于该思想发展出来的结构，目前国内尚未有统一的叫法。国标标准《预制混凝土建筑结构抗震设计》（fib 27）称该类连接为延性连接预制混凝土体系（Ductile Jointed Precast Concrete Systems）或混合框架（剪力墙）（Hybrid Frame, Precast Concrete Shear Wall）。本标准为突出该类连接现场高效装配的特点，定义为预应力压接装配式结构。</w:t>
      </w:r>
    </w:p>
    <w:p>
      <w:pPr>
        <w:pStyle w:val="99"/>
      </w:pPr>
      <w:r>
        <w:rPr>
          <w:rFonts w:hint="eastAsia"/>
        </w:rPr>
        <w:t>目前这种装配方式可用于框架梁柱节点、板柱节点和抗震墙间节点，这类节点的具体构造多种多样，其力学性能、安装便利性和建造成本方面各有特点，本规程中所定义的预应力压接装配式结构为编制组统筹考虑结构整体性、安全性、建造效率和成本给出的推荐性做法，实际使用时可以为压接装配框架结构、压接装配框架-抗震墙结构、压接装配框架-核心筒结构、压接装配板柱-抗震墙结构。</w:t>
      </w:r>
    </w:p>
    <w:p>
      <w:pPr>
        <w:pStyle w:val="98"/>
      </w:pPr>
      <w:r>
        <w:rPr>
          <w:rFonts w:hint="eastAsia"/>
          <w:b/>
          <w:bCs w:val="0"/>
        </w:rPr>
        <w:t>2</w:t>
      </w:r>
      <w:r>
        <w:rPr>
          <w:b/>
          <w:bCs w:val="0"/>
        </w:rPr>
        <w:t>.1.4</w:t>
      </w:r>
      <w:r>
        <w:tab/>
      </w:r>
      <w:r>
        <w:rPr>
          <w:rFonts w:hint="eastAsia"/>
        </w:rPr>
        <w:t>自复位梁柱节点（PRESSS节点，</w:t>
      </w:r>
      <w:r>
        <w:fldChar w:fldCharType="begin"/>
      </w:r>
      <w:r>
        <w:instrText xml:space="preserve"> </w:instrText>
      </w:r>
      <w:r>
        <w:rPr>
          <w:rFonts w:hint="eastAsia"/>
        </w:rPr>
        <w:instrText xml:space="preserve">REF _Ref177717897 \h</w:instrText>
      </w:r>
      <w:r>
        <w:instrText xml:space="preserve"> </w:instrText>
      </w:r>
      <w:r>
        <w:fldChar w:fldCharType="separate"/>
      </w:r>
      <w:r>
        <w:rPr>
          <w:rFonts w:hint="eastAsia"/>
        </w:rPr>
        <w:t>图</w:t>
      </w:r>
      <w:r>
        <w:t>1</w:t>
      </w:r>
      <w:r>
        <w:fldChar w:fldCharType="end"/>
      </w:r>
      <w:r>
        <w:rPr>
          <w:rFonts w:hint="eastAsia"/>
        </w:rPr>
        <w:t>）梁端上部和下部的耗能钢筋截面积应相等，无粘结预应力钢筋应位于梁截面中心，且初始预应力超过上下耗能钢筋受压屈服力之和，以保证在地震往复荷载作用下梁柱接触面不脱离且具有良好的自复位能力。预制梁与楼板采用避免给梁端提供附加的抗弯能力的滑动连接，以确保节点的自复位能力。</w:t>
      </w:r>
    </w:p>
    <w:p>
      <w:pPr>
        <w:pStyle w:val="111"/>
      </w:pPr>
      <w:r>
        <w:drawing>
          <wp:inline distT="0" distB="0" distL="0" distR="0">
            <wp:extent cx="2880360" cy="1820545"/>
            <wp:effectExtent l="0" t="0" r="0" b="825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52"/>
                    <a:stretch>
                      <a:fillRect/>
                    </a:stretch>
                  </pic:blipFill>
                  <pic:spPr>
                    <a:xfrm>
                      <a:off x="0" y="0"/>
                      <a:ext cx="2896759" cy="1830963"/>
                    </a:xfrm>
                    <a:prstGeom prst="rect">
                      <a:avLst/>
                    </a:prstGeom>
                  </pic:spPr>
                </pic:pic>
              </a:graphicData>
            </a:graphic>
          </wp:inline>
        </w:drawing>
      </w:r>
    </w:p>
    <w:p>
      <w:pPr>
        <w:pStyle w:val="69"/>
      </w:pPr>
      <w:bookmarkStart w:id="630" w:name="_Ref17771789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630"/>
      <w:r>
        <w:t xml:space="preserve">  </w:t>
      </w:r>
      <w:r>
        <w:rPr>
          <w:rFonts w:hint="eastAsia"/>
        </w:rPr>
        <w:t>自复位梁柱节点</w:t>
      </w:r>
    </w:p>
    <w:p>
      <w:pPr>
        <w:pStyle w:val="69"/>
      </w:pPr>
      <w:r>
        <w:t>1—预制柱；2—预制梁；3—</w:t>
      </w:r>
      <w:r>
        <w:rPr>
          <w:rFonts w:hint="eastAsia"/>
        </w:rPr>
        <w:t>耗能钢筋；4</w:t>
      </w:r>
      <w:r>
        <w:t>—</w:t>
      </w:r>
      <w:r>
        <w:rPr>
          <w:rFonts w:hint="eastAsia"/>
        </w:rPr>
        <w:t>无粘接预应力钢绞线</w:t>
      </w:r>
      <w:r>
        <w:t>；</w:t>
      </w:r>
      <w:r>
        <w:rPr>
          <w:rFonts w:hint="eastAsia"/>
        </w:rPr>
        <w:t>5</w:t>
      </w:r>
      <w:r>
        <w:t>—</w:t>
      </w:r>
      <w:r>
        <w:rPr>
          <w:rFonts w:hint="eastAsia"/>
        </w:rPr>
        <w:t>预埋管</w:t>
      </w:r>
    </w:p>
    <w:p>
      <w:pPr>
        <w:pStyle w:val="98"/>
      </w:pPr>
      <w:r>
        <w:rPr>
          <w:rFonts w:hint="eastAsia"/>
          <w:b/>
          <w:bCs w:val="0"/>
        </w:rPr>
        <w:t>2</w:t>
      </w:r>
      <w:r>
        <w:rPr>
          <w:b/>
          <w:bCs w:val="0"/>
        </w:rPr>
        <w:t>.1.5</w:t>
      </w:r>
      <w:r>
        <w:tab/>
      </w:r>
      <w:r>
        <w:rPr>
          <w:rFonts w:hint="eastAsia"/>
        </w:rPr>
        <w:t>预应力压接装配梁板柱复合节点仅梁端上部设置耗能钢筋，现场装配简便，叠合梁通过叠合层与楼板连在一起，梁板整体性与现浇梁板结构类似，预应力筋提供一定的自复位能力，抗震性能比现浇节点更好，节点构造简单，绝大多现浇梁柱刚接节点能够应用的场景均可采用</w:t>
      </w:r>
      <w:r>
        <w:t>预应力压接装配</w:t>
      </w:r>
      <w:r>
        <w:rPr>
          <w:rFonts w:hint="eastAsia"/>
        </w:rPr>
        <w:t>梁板柱复合节点（</w:t>
      </w:r>
      <w:r>
        <w:fldChar w:fldCharType="begin"/>
      </w:r>
      <w:r>
        <w:instrText xml:space="preserve"> </w:instrText>
      </w:r>
      <w:r>
        <w:rPr>
          <w:rFonts w:hint="eastAsia"/>
        </w:rPr>
        <w:instrText xml:space="preserve">REF _Ref177717927 \h</w:instrText>
      </w:r>
      <w:r>
        <w:instrText xml:space="preserve"> </w:instrText>
      </w:r>
      <w:r>
        <w:fldChar w:fldCharType="separate"/>
      </w:r>
      <w:r>
        <w:rPr>
          <w:rFonts w:hint="eastAsia"/>
        </w:rPr>
        <w:t>图</w:t>
      </w:r>
      <w:r>
        <w:t>2</w:t>
      </w:r>
      <w:r>
        <w:fldChar w:fldCharType="end"/>
      </w:r>
      <w:r>
        <w:rPr>
          <w:rFonts w:hint="eastAsia"/>
        </w:rPr>
        <w:t>）。</w:t>
      </w:r>
    </w:p>
    <w:p>
      <w:pPr>
        <w:pStyle w:val="111"/>
        <w:rPr>
          <w:highlight w:val="yellow"/>
        </w:rPr>
      </w:pPr>
      <w:r>
        <w:drawing>
          <wp:inline distT="0" distB="0" distL="0" distR="0">
            <wp:extent cx="2933700" cy="2009775"/>
            <wp:effectExtent l="0" t="0" r="0" b="952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2937743" cy="2012761"/>
                    </a:xfrm>
                    <a:prstGeom prst="rect">
                      <a:avLst/>
                    </a:prstGeom>
                    <a:noFill/>
                    <a:ln>
                      <a:noFill/>
                    </a:ln>
                  </pic:spPr>
                </pic:pic>
              </a:graphicData>
            </a:graphic>
          </wp:inline>
        </w:drawing>
      </w:r>
    </w:p>
    <w:p>
      <w:pPr>
        <w:pStyle w:val="111"/>
      </w:pPr>
      <w:bookmarkStart w:id="631" w:name="_Ref17771792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bookmarkEnd w:id="631"/>
      <w:r>
        <w:t xml:space="preserve">  压接装配</w:t>
      </w:r>
      <w:r>
        <w:rPr>
          <w:rFonts w:hint="eastAsia"/>
        </w:rPr>
        <w:t>梁板柱复合节点</w:t>
      </w:r>
    </w:p>
    <w:p>
      <w:pPr>
        <w:pStyle w:val="69"/>
      </w:pPr>
      <w:r>
        <w:t>1—预制柱；2—预制</w:t>
      </w:r>
      <w:r>
        <w:rPr>
          <w:rFonts w:hint="eastAsia"/>
        </w:rPr>
        <w:t>叠合</w:t>
      </w:r>
      <w:r>
        <w:t>梁；3—</w:t>
      </w:r>
      <w:r>
        <w:rPr>
          <w:rFonts w:hint="eastAsia"/>
        </w:rPr>
        <w:t>预制楼板；4</w:t>
      </w:r>
      <w:r>
        <w:t>—</w:t>
      </w:r>
      <w:r>
        <w:rPr>
          <w:rFonts w:hint="eastAsia"/>
        </w:rPr>
        <w:t>楼板叠合层</w:t>
      </w:r>
      <w:r>
        <w:t>；</w:t>
      </w:r>
      <w:r>
        <w:rPr>
          <w:rFonts w:hint="eastAsia"/>
        </w:rPr>
        <w:t>5</w:t>
      </w:r>
      <w:r>
        <w:t>—</w:t>
      </w:r>
      <w:r>
        <w:rPr>
          <w:rFonts w:hint="eastAsia"/>
        </w:rPr>
        <w:t>无粘接预应力钢绞线；6</w:t>
      </w:r>
      <w:r>
        <w:t>—</w:t>
      </w:r>
      <w:r>
        <w:rPr>
          <w:rFonts w:hint="eastAsia"/>
        </w:rPr>
        <w:t>梁端耗能钢筋</w:t>
      </w:r>
    </w:p>
    <w:p>
      <w:pPr>
        <w:pStyle w:val="98"/>
      </w:pPr>
      <w:r>
        <w:rPr>
          <w:rFonts w:hint="eastAsia"/>
          <w:b/>
          <w:bCs w:val="0"/>
        </w:rPr>
        <w:t>2</w:t>
      </w:r>
      <w:r>
        <w:rPr>
          <w:b/>
          <w:bCs w:val="0"/>
        </w:rPr>
        <w:t>.1.6</w:t>
      </w:r>
      <w:r>
        <w:tab/>
      </w:r>
      <w:r>
        <w:t>预应力压接装配混凝土</w:t>
      </w:r>
      <w:r>
        <w:rPr>
          <w:rFonts w:hint="eastAsia"/>
        </w:rPr>
        <w:t>板柱节点（</w:t>
      </w:r>
      <w:r>
        <w:fldChar w:fldCharType="begin"/>
      </w:r>
      <w:r>
        <w:instrText xml:space="preserve"> </w:instrText>
      </w:r>
      <w:r>
        <w:rPr>
          <w:rFonts w:hint="eastAsia"/>
        </w:rPr>
        <w:instrText xml:space="preserve">REF _Ref177724968 \h</w:instrText>
      </w:r>
      <w:r>
        <w:instrText xml:space="preserve"> </w:instrText>
      </w:r>
      <w:r>
        <w:fldChar w:fldCharType="separate"/>
      </w:r>
      <w:r>
        <w:rPr>
          <w:rFonts w:hint="eastAsia"/>
        </w:rPr>
        <w:t>图</w:t>
      </w:r>
      <w:r>
        <w:t>3</w:t>
      </w:r>
      <w:r>
        <w:fldChar w:fldCharType="end"/>
      </w:r>
      <w:r>
        <w:rPr>
          <w:rFonts w:hint="eastAsia"/>
        </w:rPr>
        <w:t>）来源于南斯拉夫“IMS”体系，双向后张有粘接预应力筋贯穿柱孔和相邻构件之间的明槽，通过预压力将这些预制构件压成整体，楼板依靠预应力及其产生的静摩擦力支承在预制柱上。该节点在抗震设防烈度为8度地区经历过两次实际地震考验，展现了其良好的延性。</w:t>
      </w:r>
    </w:p>
    <w:p>
      <w:pPr>
        <w:pStyle w:val="111"/>
      </w:pPr>
      <w:r>
        <w:drawing>
          <wp:inline distT="0" distB="0" distL="0" distR="0">
            <wp:extent cx="2417445" cy="1660525"/>
            <wp:effectExtent l="0" t="0" r="1905" b="0"/>
            <wp:docPr id="2111815950"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1815950" name="图片 25"/>
                    <pic:cNvPicPr>
                      <a:picLocks noChangeAspect="true" noChangeArrowheads="true"/>
                    </pic:cNvPicPr>
                  </pic:nvPicPr>
                  <pic:blipFill>
                    <a:blip r:embed="rId54">
                      <a:extLst>
                        <a:ext uri="{28A0092B-C50C-407E-A947-70E740481C1C}">
                          <a14:useLocalDpi xmlns:a14="http://schemas.microsoft.com/office/drawing/2010/main" val="false"/>
                        </a:ext>
                      </a:extLst>
                    </a:blip>
                    <a:srcRect l="47034" b="66948"/>
                    <a:stretch>
                      <a:fillRect/>
                    </a:stretch>
                  </pic:blipFill>
                  <pic:spPr>
                    <a:xfrm>
                      <a:off x="0" y="0"/>
                      <a:ext cx="2420327" cy="1662948"/>
                    </a:xfrm>
                    <a:prstGeom prst="rect">
                      <a:avLst/>
                    </a:prstGeom>
                    <a:noFill/>
                    <a:ln>
                      <a:noFill/>
                    </a:ln>
                  </pic:spPr>
                </pic:pic>
              </a:graphicData>
            </a:graphic>
          </wp:inline>
        </w:drawing>
      </w:r>
    </w:p>
    <w:p>
      <w:pPr>
        <w:pStyle w:val="111"/>
      </w:pPr>
      <w:bookmarkStart w:id="632" w:name="_Ref17772496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bookmarkEnd w:id="632"/>
      <w:r>
        <w:t xml:space="preserve">  </w:t>
      </w:r>
      <w:r>
        <w:rPr>
          <w:rFonts w:hint="eastAsia"/>
        </w:rPr>
        <w:t>预应力压接装配混凝土板柱节点</w:t>
      </w:r>
    </w:p>
    <w:p>
      <w:pPr>
        <w:pStyle w:val="111"/>
      </w:pPr>
      <w:r>
        <w:t>1—预制柱；2—预制</w:t>
      </w:r>
      <w:r>
        <w:rPr>
          <w:rFonts w:hint="eastAsia"/>
        </w:rPr>
        <w:t>板、边梁</w:t>
      </w:r>
      <w:r>
        <w:t>；3—</w:t>
      </w:r>
      <w:r>
        <w:rPr>
          <w:rFonts w:hint="eastAsia"/>
        </w:rPr>
        <w:t>明槽；</w:t>
      </w:r>
      <w:r>
        <w:t>4—</w:t>
      </w:r>
      <w:r>
        <w:rPr>
          <w:rFonts w:hint="eastAsia"/>
        </w:rPr>
        <w:t>预应力筋；</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p</m:t>
            </m:r>
            <m:ctrlPr>
              <w:rPr>
                <w:rFonts w:ascii="Cambria Math" w:hAnsi="Cambria Math"/>
                <w:i/>
              </w:rPr>
            </m:ctrlPr>
          </m:sub>
        </m:sSub>
      </m:oMath>
      <w:r>
        <w:t>—</w:t>
      </w:r>
      <w:r>
        <w:rPr>
          <w:rFonts w:hint="eastAsia"/>
        </w:rPr>
        <w:t>预压力</w:t>
      </w:r>
    </w:p>
    <w:p>
      <w:pPr>
        <w:pStyle w:val="98"/>
      </w:pPr>
      <w:r>
        <w:rPr>
          <w:rFonts w:hint="eastAsia"/>
          <w:b/>
          <w:bCs w:val="0"/>
        </w:rPr>
        <w:t>2</w:t>
      </w:r>
      <w:r>
        <w:rPr>
          <w:b/>
          <w:bCs w:val="0"/>
        </w:rPr>
        <w:t>.1.7</w:t>
      </w:r>
      <w:r>
        <w:tab/>
      </w:r>
      <w:r>
        <w:rPr>
          <w:rFonts w:hint="eastAsia"/>
        </w:rPr>
        <w:t>如图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-1</w:t>
      </w:r>
      <w:r>
        <w:rPr>
          <w:rFonts w:hint="eastAsia"/>
        </w:rPr>
        <w:t>所示，柱端部纵向钢筋局部设置无粘接段，可使纵向钢筋在局部区段应变集中一致，拉压变形过程中充分耗散地震能量。</w:t>
      </w:r>
    </w:p>
    <w:p>
      <w:pPr>
        <w:pStyle w:val="98"/>
      </w:pPr>
      <w:r>
        <w:rPr>
          <w:rFonts w:hint="eastAsia"/>
          <w:b/>
          <w:bCs w:val="0"/>
        </w:rPr>
        <w:t>2</w:t>
      </w:r>
      <w:r>
        <w:rPr>
          <w:b/>
          <w:bCs w:val="0"/>
        </w:rPr>
        <w:t>.1.8</w:t>
      </w:r>
      <w:r>
        <w:tab/>
      </w:r>
      <w:r>
        <w:rPr>
          <w:rFonts w:hint="eastAsia"/>
        </w:rPr>
        <w:t>如图</w:t>
      </w:r>
      <w:r>
        <w:fldChar w:fldCharType="begin"/>
      </w:r>
      <w:r>
        <w:instrText xml:space="preserve"> </w:instrText>
      </w:r>
      <w:r>
        <w:rPr>
          <w:rFonts w:hint="eastAsia"/>
        </w:rPr>
        <w:instrText xml:space="preserve">REF _Ref175686561 \r \h</w:instrText>
      </w:r>
      <w:r>
        <w:instrText xml:space="preserve"> </w:instrText>
      </w:r>
      <w:r>
        <w:fldChar w:fldCharType="separate"/>
      </w:r>
      <w:r>
        <w:t>5. 7. 5</w:t>
      </w:r>
      <w:r>
        <w:fldChar w:fldCharType="end"/>
      </w:r>
      <w:r>
        <w:t>-2</w:t>
      </w:r>
      <w:r>
        <w:rPr>
          <w:rFonts w:hint="eastAsia"/>
        </w:rPr>
        <w:t>所示，柱端部设置一定高度外包钢板，可加强柱端部承载力和变形能力，提高柱端连接节点延性，降低重大灾害作用下的损伤程度。</w:t>
      </w:r>
    </w:p>
    <w:p>
      <w:pPr>
        <w:pStyle w:val="98"/>
      </w:pPr>
      <w:r>
        <w:rPr>
          <w:rFonts w:hint="eastAsia"/>
          <w:b/>
          <w:bCs w:val="0"/>
        </w:rPr>
        <w:t>2</w:t>
      </w:r>
      <w:r>
        <w:rPr>
          <w:b/>
          <w:bCs w:val="0"/>
        </w:rPr>
        <w:t>.1.9</w:t>
      </w:r>
      <w:r>
        <w:tab/>
      </w:r>
      <w:r>
        <w:rPr>
          <w:rFonts w:hint="eastAsia"/>
        </w:rPr>
        <w:t>压接装配梁柱节点在设防地震和罕遇地震作用下主要通过梁端耗能钢筋拉压屈服耗散能量。钢筋中设置局部削弱无粘结段, 可降低钢筋的局部应力集中，保护与之相连的钢筋接头，提高接头延性。</w:t>
      </w:r>
    </w:p>
    <w:p>
      <w:pPr>
        <w:pStyle w:val="98"/>
      </w:pPr>
      <w:r>
        <w:rPr>
          <w:rFonts w:hint="eastAsia"/>
          <w:b/>
          <w:bCs w:val="0"/>
        </w:rPr>
        <w:t>2</w:t>
      </w:r>
      <w:r>
        <w:rPr>
          <w:b/>
          <w:bCs w:val="0"/>
        </w:rPr>
        <w:t>.1.10</w:t>
      </w:r>
      <w:r>
        <w:tab/>
      </w:r>
      <w:r>
        <w:rPr>
          <w:rFonts w:hint="eastAsia"/>
        </w:rPr>
        <w:t>当带叠合层的梁板柱复合节点不设置承担梁端竖向剪力的永久牛腿时，可通过设置附加抗剪钢筋来提高梁端面的抗剪极限承载力。</w:t>
      </w:r>
    </w:p>
    <w:p>
      <w:pPr>
        <w:pStyle w:val="98"/>
      </w:pPr>
      <w:r>
        <w:rPr>
          <w:rFonts w:hint="eastAsia"/>
          <w:b/>
          <w:bCs w:val="0"/>
        </w:rPr>
        <w:t>2</w:t>
      </w:r>
      <w:r>
        <w:rPr>
          <w:b/>
          <w:bCs w:val="0"/>
        </w:rPr>
        <w:t>.1.11</w:t>
      </w:r>
      <w:r>
        <w:tab/>
      </w:r>
      <w:r>
        <w:rPr>
          <w:rFonts w:hint="eastAsia"/>
        </w:rPr>
        <w:t>在设防地震和罕遇地震作用下柱端主要通过柱端耗能钢筋拉压屈服耗散能量。</w:t>
      </w:r>
    </w:p>
    <w:p>
      <w:r>
        <w:br w:type="page"/>
      </w:r>
    </w:p>
    <w:p>
      <w:pPr>
        <w:pStyle w:val="94"/>
      </w:pPr>
      <w:bookmarkStart w:id="633" w:name="_Toc202345849"/>
      <w:r>
        <w:t xml:space="preserve">3  </w:t>
      </w:r>
      <w:r>
        <w:rPr>
          <w:rFonts w:hint="eastAsia"/>
        </w:rPr>
        <w:t>基本规定</w:t>
      </w:r>
      <w:bookmarkEnd w:id="633"/>
    </w:p>
    <w:p>
      <w:pPr>
        <w:pStyle w:val="100"/>
      </w:pPr>
      <w:bookmarkStart w:id="634" w:name="_Toc202345850"/>
      <w:r>
        <w:t xml:space="preserve">3.1  </w:t>
      </w:r>
      <w:r>
        <w:rPr>
          <w:rFonts w:hint="eastAsia"/>
        </w:rPr>
        <w:t>一般规定</w:t>
      </w:r>
      <w:bookmarkEnd w:id="634"/>
    </w:p>
    <w:p>
      <w:pPr>
        <w:pStyle w:val="98"/>
      </w:pPr>
      <w:r>
        <w:rPr>
          <w:b/>
          <w:bCs w:val="0"/>
        </w:rPr>
        <w:fldChar w:fldCharType="begin"/>
      </w:r>
      <w:r>
        <w:rPr>
          <w:b/>
          <w:bCs w:val="0"/>
        </w:rPr>
        <w:instrText xml:space="preserve"> REF _Ref197960585 \r \h  \* MERGEFORMAT </w:instrText>
      </w:r>
      <w:r>
        <w:rPr>
          <w:b/>
          <w:bCs w:val="0"/>
        </w:rPr>
        <w:fldChar w:fldCharType="separate"/>
      </w:r>
      <w:r>
        <w:rPr>
          <w:b/>
          <w:bCs w:val="0"/>
        </w:rPr>
        <w:t>3. 1. 2</w:t>
      </w:r>
      <w:r>
        <w:rPr>
          <w:b/>
          <w:bCs w:val="0"/>
        </w:rPr>
        <w:fldChar w:fldCharType="end"/>
      </w:r>
      <w:r>
        <w:tab/>
      </w:r>
      <w:r>
        <w:rPr>
          <w:rFonts w:hint="eastAsia"/>
        </w:rPr>
        <w:t>在美国规范中预应力压接框架被归类为特殊延性框架。压接装配框架可作为结构抗侧力体系的一部分，与楼板或剪力墙等形成完整的抗侧力体系。</w:t>
      </w:r>
    </w:p>
    <w:p>
      <w:pPr>
        <w:pStyle w:val="98"/>
      </w:pPr>
      <w:r>
        <w:rPr>
          <w:b/>
          <w:bCs w:val="0"/>
        </w:rPr>
        <w:fldChar w:fldCharType="begin"/>
      </w:r>
      <w:r>
        <w:rPr>
          <w:b/>
          <w:bCs w:val="0"/>
        </w:rPr>
        <w:instrText xml:space="preserve"> REF _Ref197960722 \r \h  \* MERGEFORMAT </w:instrText>
      </w:r>
      <w:r>
        <w:rPr>
          <w:b/>
          <w:bCs w:val="0"/>
        </w:rPr>
        <w:fldChar w:fldCharType="separate"/>
      </w:r>
      <w:r>
        <w:rPr>
          <w:b/>
          <w:bCs w:val="0"/>
        </w:rPr>
        <w:t>3. 1. 3</w:t>
      </w:r>
      <w:r>
        <w:rPr>
          <w:b/>
          <w:bCs w:val="0"/>
        </w:rPr>
        <w:fldChar w:fldCharType="end"/>
      </w:r>
      <w:r>
        <w:tab/>
      </w:r>
      <w:bookmarkStart w:id="635" w:name="_Hlk175142031"/>
      <w:r>
        <w:rPr>
          <w:rFonts w:hint="eastAsia"/>
        </w:rPr>
        <w:t>根据现行国家标准《建筑抗震设计标准》GB</w:t>
      </w:r>
      <w:r>
        <w:t>/</w:t>
      </w:r>
      <w:r>
        <w:rPr>
          <w:rFonts w:hint="eastAsia"/>
        </w:rPr>
        <w:t>T</w:t>
      </w:r>
      <w:r>
        <w:t xml:space="preserve"> 50011</w:t>
      </w:r>
      <w:r>
        <w:rPr>
          <w:rFonts w:hint="eastAsia"/>
        </w:rPr>
        <w:t>，预应力混凝土结构自身的阻尼比可取0</w:t>
      </w:r>
      <w:r>
        <w:t>.03</w:t>
      </w:r>
      <w:r>
        <w:rPr>
          <w:rFonts w:hint="eastAsia"/>
        </w:rPr>
        <w:t>。采用梁板柱复合梁柱节点的压接装配框架的预应力仅作用于叠合梁的预制部分，其阻尼比统一取0.03偏于安全，当有可靠依据时可采用更大值。压接框架结构</w:t>
      </w:r>
      <w:r>
        <w:t>等效阻尼比</w:t>
      </w:r>
      <w:r>
        <w:rPr>
          <w:rFonts w:hint="eastAsia"/>
        </w:rPr>
        <w:t>按压接框架所承担竖向荷载的结构面积占比的计算方法，参考了现行行业标准《预应力混凝土结构抗震设计规程》JGJ/T 140。</w:t>
      </w:r>
      <w:bookmarkEnd w:id="635"/>
    </w:p>
    <w:p>
      <w:pPr>
        <w:pStyle w:val="98"/>
      </w:pPr>
      <w:r>
        <w:rPr>
          <w:b/>
          <w:bCs w:val="0"/>
        </w:rPr>
        <w:fldChar w:fldCharType="begin"/>
      </w:r>
      <w:r>
        <w:rPr>
          <w:b/>
          <w:bCs w:val="0"/>
        </w:rPr>
        <w:instrText xml:space="preserve"> REF _Ref173160761 \r \h  \* MERGEFORMAT </w:instrText>
      </w:r>
      <w:r>
        <w:rPr>
          <w:b/>
          <w:bCs w:val="0"/>
        </w:rPr>
        <w:fldChar w:fldCharType="separate"/>
      </w:r>
      <w:r>
        <w:rPr>
          <w:b/>
          <w:bCs w:val="0"/>
        </w:rPr>
        <w:t>3. 1. 6</w:t>
      </w:r>
      <w:r>
        <w:rPr>
          <w:b/>
          <w:bCs w:val="0"/>
        </w:rPr>
        <w:fldChar w:fldCharType="end"/>
      </w:r>
      <w:r>
        <w:tab/>
      </w:r>
      <w:r>
        <w:rPr>
          <w:rFonts w:hint="eastAsia"/>
        </w:rPr>
        <w:t>本规定与国家现行标准《建筑与市政工程抗震通用规范》GB 55002和《预应力混凝土结构抗震设计规程》JGJ/T 140的规定一致。</w:t>
      </w:r>
    </w:p>
    <w:p>
      <w:pPr>
        <w:pStyle w:val="98"/>
      </w:pPr>
      <w:r>
        <w:rPr>
          <w:b/>
          <w:bCs w:val="0"/>
        </w:rPr>
        <w:fldChar w:fldCharType="begin"/>
      </w:r>
      <w:r>
        <w:rPr>
          <w:b/>
          <w:bCs w:val="0"/>
        </w:rPr>
        <w:instrText xml:space="preserve"> REF _Ref198027270 \r \h  \* MERGEFORMAT </w:instrText>
      </w:r>
      <w:r>
        <w:rPr>
          <w:b/>
          <w:bCs w:val="0"/>
        </w:rPr>
        <w:fldChar w:fldCharType="separate"/>
      </w:r>
      <w:r>
        <w:rPr>
          <w:b/>
          <w:bCs w:val="0"/>
        </w:rPr>
        <w:t>3. 1. 7</w:t>
      </w:r>
      <w:r>
        <w:rPr>
          <w:b/>
          <w:bCs w:val="0"/>
        </w:rPr>
        <w:fldChar w:fldCharType="end"/>
      </w:r>
      <w:r>
        <w:tab/>
      </w:r>
      <w:r>
        <w:rPr>
          <w:rFonts w:hint="eastAsia"/>
        </w:rPr>
        <w:t>对于可能遭受偶然作用，且倒塌可能引起严重后果的安全等级为一级的结构，宜进行防连续倒塌设计。过度提高结构的防连续倒塌能力往往要付出较大代价，工程中由业主根据实际情况确定。</w:t>
      </w:r>
    </w:p>
    <w:p>
      <w:pPr>
        <w:pStyle w:val="99"/>
      </w:pPr>
      <w:r>
        <w:rPr>
          <w:rFonts w:hint="eastAsia"/>
        </w:rPr>
        <w:t>预应力混凝土结构中广泛采用的是消除应力的低松弛钢绞线。《混凝土结构设计标准》GB</w:t>
      </w:r>
      <w:r>
        <w:t>/</w:t>
      </w:r>
      <w:r>
        <w:rPr>
          <w:rFonts w:hint="eastAsia"/>
        </w:rPr>
        <w:t>T</w:t>
      </w:r>
      <w:r>
        <w:t xml:space="preserve"> 50010</w:t>
      </w:r>
      <w:r>
        <w:rPr>
          <w:rFonts w:hint="eastAsia"/>
        </w:rPr>
        <w:t>中张拉控制应力为不大于0</w:t>
      </w:r>
      <w:r>
        <w:t>.75</w:t>
      </w:r>
      <w:r>
        <w:rPr>
          <w:rFonts w:hint="eastAsia"/>
        </w:rPr>
        <w:t>倍极限强度标准值，本条第1款按0</w:t>
      </w:r>
      <w:r>
        <w:t>.7</w:t>
      </w:r>
      <w:r>
        <w:rPr>
          <w:rFonts w:hint="eastAsia"/>
        </w:rPr>
        <w:t>倍极限强度标准控制是为了预应力筋在达到破断力之前能适应压接节点更大的变形。压接装配框架当按本规程</w:t>
      </w:r>
      <w:r>
        <w:fldChar w:fldCharType="begin"/>
      </w:r>
      <w:r>
        <w:instrText xml:space="preserve"> </w:instrText>
      </w:r>
      <w:r>
        <w:rPr>
          <w:rFonts w:hint="eastAsia"/>
        </w:rPr>
        <w:instrText xml:space="preserve">REF _Ref198036806 \r \h</w:instrText>
      </w:r>
      <w:r>
        <w:instrText xml:space="preserve"> </w:instrText>
      </w:r>
      <w:r>
        <w:fldChar w:fldCharType="separate"/>
      </w:r>
      <w:r>
        <w:t>5. 1. 6</w:t>
      </w:r>
      <w:r>
        <w:fldChar w:fldCharType="end"/>
      </w:r>
      <w:r>
        <w:rPr>
          <w:rFonts w:hint="eastAsia"/>
        </w:rPr>
        <w:t>条控制时，张拉控制应力一般满足此规定。</w:t>
      </w:r>
    </w:p>
    <w:p>
      <w:pPr>
        <w:pStyle w:val="99"/>
      </w:pPr>
      <w:r>
        <w:rPr>
          <w:rFonts w:hint="eastAsia"/>
        </w:rPr>
        <w:t>对于采用梁板柱复合节点的压接装配框架，中柱意外失效情况下失效柱处梁柱节点产生正弯矩，在后期悬链线阶段预应力筋可能在梁柱接缝处断丝，如果预应力筋总根数过少，会造成悬链线阶段承载力突降，不利于结构整体防连续倒塌。</w:t>
      </w:r>
    </w:p>
    <w:p>
      <w:pPr>
        <w:pStyle w:val="99"/>
      </w:pPr>
      <w:r>
        <w:rPr>
          <w:rFonts w:hint="eastAsia"/>
        </w:rPr>
        <w:t>拆除构件法是防连续倒塌设计中最直接的方法，剩余结构抗连续倒塌的计算方法可根据结构规则程度选择。建筑形体、构件布置比较规则的结构，可采用线性静力分析方法。</w:t>
      </w:r>
    </w:p>
    <w:p/>
    <w:p>
      <w:pPr>
        <w:pStyle w:val="100"/>
      </w:pPr>
      <w:bookmarkStart w:id="636" w:name="_Toc202345851"/>
      <w:r>
        <w:t xml:space="preserve">3.2  </w:t>
      </w:r>
      <w:r>
        <w:rPr>
          <w:rFonts w:hint="eastAsia"/>
        </w:rPr>
        <w:t>结构布置</w:t>
      </w:r>
      <w:bookmarkEnd w:id="636"/>
    </w:p>
    <w:p>
      <w:pPr>
        <w:pStyle w:val="98"/>
      </w:pPr>
      <w:r>
        <w:rPr>
          <w:b/>
          <w:bCs w:val="0"/>
        </w:rPr>
        <w:fldChar w:fldCharType="begin"/>
      </w:r>
      <w:r>
        <w:rPr>
          <w:b/>
          <w:bCs w:val="0"/>
        </w:rPr>
        <w:instrText xml:space="preserve"> REF _Ref86131167 \r \h  \* MERGEFORMAT </w:instrText>
      </w:r>
      <w:r>
        <w:rPr>
          <w:b/>
          <w:bCs w:val="0"/>
        </w:rPr>
        <w:fldChar w:fldCharType="separate"/>
      </w:r>
      <w:r>
        <w:rPr>
          <w:b/>
          <w:bCs w:val="0"/>
        </w:rPr>
        <w:t>3. 2. 1</w:t>
      </w:r>
      <w:r>
        <w:rPr>
          <w:b/>
          <w:bCs w:val="0"/>
        </w:rPr>
        <w:fldChar w:fldCharType="end"/>
      </w:r>
      <w:r>
        <w:tab/>
      </w:r>
      <w:r>
        <w:rPr>
          <w:rFonts w:hint="eastAsia"/>
        </w:rPr>
        <w:t>研究表明，压接装配框架的震后破坏模式与现浇框架不同，其抗震性能优于现浇框架。考虑到实际应用中，压接装配框架可能与现浇框架或装配整体式框架混合布置，</w:t>
      </w:r>
      <w:r>
        <w:t>框架-抗震墙结构</w:t>
      </w:r>
      <w:r>
        <w:rPr>
          <w:rFonts w:hint="eastAsia"/>
        </w:rPr>
        <w:t>和</w:t>
      </w:r>
      <w:r>
        <w:t>框架-</w:t>
      </w:r>
      <w:r>
        <w:rPr>
          <w:rFonts w:hint="eastAsia"/>
        </w:rPr>
        <w:t>核心筒</w:t>
      </w:r>
      <w:r>
        <w:t>结构</w:t>
      </w:r>
      <w:r>
        <w:rPr>
          <w:rFonts w:hint="eastAsia"/>
        </w:rPr>
        <w:t>中抗震墙和核心筒为抗震第一道防线，最大适用高度与《装配式混凝土建筑技术标准》G</w:t>
      </w:r>
      <w:r>
        <w:t>B/T 51231</w:t>
      </w:r>
      <w:r>
        <w:rPr>
          <w:rFonts w:hint="eastAsia"/>
        </w:rPr>
        <w:t>保持一致。我国标准对混凝土框架结构小震弹性刚度的限值较严，从经济角度考虑，没有进一步提高压接装配结构的适用高度；按本规程进行抗震性能化设计并经论证的压接装配结构最大适用高度可适当放宽。</w:t>
      </w:r>
    </w:p>
    <w:p>
      <w:pPr>
        <w:pStyle w:val="99"/>
      </w:pPr>
      <w:r>
        <w:rPr>
          <w:rFonts w:hint="eastAsia"/>
        </w:rPr>
        <w:t>采用混合连接梁柱节点的预应力压接框架已在美国和新西兰的高地震烈度区使用，一些还经历了实际地震考验。已建成的美国旧金山市（地震设防峰值加速度为400gal，相当于中国9度设防）的39层的Paramount Building，其中心筒体采用现浇混凝土剪力墙体，7层以上结构外周采用Hybrid装配框架。结构整体无完全自复位能力，未采用其他耗能减震措施，主要利用压接装配框架高效建造特性。该楼高达128m，曾是2002年~2008年旧金山最高的建筑。</w:t>
      </w:r>
    </w:p>
    <w:p>
      <w:pPr>
        <w:pStyle w:val="99"/>
      </w:pPr>
      <w:r>
        <w:t>框架</w:t>
      </w:r>
      <w:r>
        <w:rPr>
          <w:rFonts w:hint="eastAsia"/>
        </w:rPr>
        <w:t>（钢管混凝土柱）</w:t>
      </w:r>
      <w:r>
        <w:t>-核心筒结构</w:t>
      </w:r>
      <w:r>
        <w:rPr>
          <w:rFonts w:hint="eastAsia"/>
        </w:rPr>
        <w:t>的最大适用高度参照国家现行标准《钢管混凝土结构技术规范》GB 50936确定。板柱-抗震墙结构中采用预制装配体系的最大适用高度较《建筑抗震设计标准》GB</w:t>
      </w:r>
      <w:r>
        <w:t xml:space="preserve">/T </w:t>
      </w:r>
      <w:r>
        <w:rPr>
          <w:rFonts w:hint="eastAsia"/>
        </w:rPr>
        <w:t>50011现浇钢筋混凝土结构中相应高度降低10m。</w:t>
      </w:r>
    </w:p>
    <w:p>
      <w:pPr>
        <w:pStyle w:val="98"/>
      </w:pPr>
      <w:r>
        <w:rPr>
          <w:b/>
          <w:bCs w:val="0"/>
        </w:rPr>
        <w:fldChar w:fldCharType="begin"/>
      </w:r>
      <w:r>
        <w:rPr>
          <w:b/>
          <w:bCs w:val="0"/>
        </w:rPr>
        <w:instrText xml:space="preserve"> REF _Ref198027469 \r \h  \* MERGEFORMAT </w:instrText>
      </w:r>
      <w:r>
        <w:rPr>
          <w:b/>
          <w:bCs w:val="0"/>
        </w:rPr>
        <w:fldChar w:fldCharType="separate"/>
      </w:r>
      <w:r>
        <w:rPr>
          <w:b/>
          <w:bCs w:val="0"/>
        </w:rPr>
        <w:t>3. 2. 2</w:t>
      </w:r>
      <w:r>
        <w:rPr>
          <w:b/>
          <w:bCs w:val="0"/>
        </w:rPr>
        <w:fldChar w:fldCharType="end"/>
      </w:r>
      <w:r>
        <w:tab/>
      </w:r>
      <w:r>
        <w:rPr>
          <w:rFonts w:hint="eastAsia"/>
        </w:rPr>
        <w:t>压接装配框架作为抗侧力系统可灵活布置，根据需要部分梁可设计铰接梁（</w:t>
      </w:r>
      <w:r>
        <w:fldChar w:fldCharType="begin"/>
      </w:r>
      <w:r>
        <w:instrText xml:space="preserve"> </w:instrText>
      </w:r>
      <w:r>
        <w:rPr>
          <w:rFonts w:hint="eastAsia"/>
        </w:rPr>
        <w:instrText xml:space="preserve">REF _Ref191631094 \h</w:instrText>
      </w:r>
      <w:r>
        <w:instrText xml:space="preserve"> </w:instrText>
      </w:r>
      <w:r>
        <w:fldChar w:fldCharType="separate"/>
      </w:r>
      <w:r>
        <w:rPr>
          <w:rFonts w:hint="eastAsia"/>
        </w:rPr>
        <w:t>图</w:t>
      </w:r>
      <w:r>
        <w:t>4</w:t>
      </w:r>
      <w:r>
        <w:fldChar w:fldCharType="end"/>
      </w:r>
      <w:r>
        <w:rPr>
          <w:rFonts w:hint="eastAsia"/>
        </w:rPr>
        <w:t>）。压接装配框架可以和现浇混凝土结构、钢结构或组合结构混合使用（</w:t>
      </w:r>
      <w:r>
        <w:fldChar w:fldCharType="begin"/>
      </w:r>
      <w:r>
        <w:instrText xml:space="preserve"> </w:instrText>
      </w:r>
      <w:r>
        <w:rPr>
          <w:rFonts w:hint="eastAsia"/>
        </w:rPr>
        <w:instrText xml:space="preserve">REF _Ref191631153 \h</w:instrText>
      </w:r>
      <w:r>
        <w:instrText xml:space="preserve"> </w:instrText>
      </w:r>
      <w:r>
        <w:fldChar w:fldCharType="separate"/>
      </w:r>
      <w:r>
        <w:rPr>
          <w:rFonts w:hint="eastAsia"/>
        </w:rPr>
        <w:t>图</w:t>
      </w:r>
      <w:r>
        <w:t>5</w:t>
      </w:r>
      <w:r>
        <w:fldChar w:fldCharType="end"/>
      </w:r>
      <w:r>
        <w:rPr>
          <w:rFonts w:hint="eastAsia"/>
        </w:rPr>
        <w:t>），当建筑地上部分带有裙房、建筑平面变化多、标准化构件少时，裙房及以下部分可根据需要采用现浇混凝土结构，裙房以上标准程度高的楼层使用压接装配框架，在满足抗震性能需求的基础上提高装配效率（</w:t>
      </w:r>
      <w:r>
        <w:fldChar w:fldCharType="begin"/>
      </w:r>
      <w:r>
        <w:instrText xml:space="preserve"> </w:instrText>
      </w:r>
      <w:r>
        <w:rPr>
          <w:rFonts w:hint="eastAsia"/>
        </w:rPr>
        <w:instrText xml:space="preserve">REF _Ref191631133 \h</w:instrText>
      </w:r>
      <w:r>
        <w:instrText xml:space="preserve"> </w:instrText>
      </w:r>
      <w:r>
        <w:fldChar w:fldCharType="separate"/>
      </w:r>
      <w:r>
        <w:rPr>
          <w:rFonts w:hint="eastAsia"/>
        </w:rPr>
        <w:t>图</w:t>
      </w:r>
      <w:r>
        <w:t>6</w:t>
      </w:r>
      <w:r>
        <w:fldChar w:fldCharType="end"/>
      </w:r>
      <w:r>
        <w:rPr>
          <w:rFonts w:hint="eastAsia"/>
        </w:rPr>
        <w:t>）。</w:t>
      </w:r>
    </w:p>
    <w:p>
      <w:pPr>
        <w:pStyle w:val="99"/>
      </w:pPr>
      <w:r>
        <w:rPr>
          <w:rFonts w:hint="eastAsia"/>
        </w:rPr>
        <w:t>对压接装配框架的适用长度做出限制主要是从经济性和简化施工角度考虑。钢绞线10</w:t>
      </w:r>
      <w:r>
        <w:t xml:space="preserve"> </w:t>
      </w:r>
      <w:r>
        <w:rPr>
          <w:rFonts w:hint="eastAsia"/>
        </w:rPr>
        <w:t>m以下或张拉力较小时，锚头回缩导致的预应力损失较大，需要采用低回缩锚具，张拉控制要求高，锚具费用占比较高，不经济。</w:t>
      </w:r>
    </w:p>
    <w:p>
      <w:pPr>
        <w:pStyle w:val="111"/>
      </w:pPr>
      <w:r>
        <w:drawing>
          <wp:inline distT="0" distB="0" distL="0" distR="0">
            <wp:extent cx="2884805" cy="171767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2892915" cy="1722632"/>
                    </a:xfrm>
                    <a:prstGeom prst="rect">
                      <a:avLst/>
                    </a:prstGeom>
                    <a:noFill/>
                    <a:ln>
                      <a:noFill/>
                    </a:ln>
                  </pic:spPr>
                </pic:pic>
              </a:graphicData>
            </a:graphic>
          </wp:inline>
        </w:drawing>
      </w:r>
    </w:p>
    <w:p>
      <w:pPr>
        <w:pStyle w:val="69"/>
      </w:pPr>
      <w:bookmarkStart w:id="637" w:name="_Ref19163109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bookmarkEnd w:id="637"/>
      <w:r>
        <w:t xml:space="preserve">  </w:t>
      </w:r>
      <w:r>
        <w:rPr>
          <w:rFonts w:hint="eastAsia"/>
        </w:rPr>
        <w:t>压接装配框架结构布置</w:t>
      </w:r>
    </w:p>
    <w:p>
      <w:pPr>
        <w:pStyle w:val="111"/>
      </w:pPr>
      <w:r>
        <w:t>1—压接装配框架；2—</w:t>
      </w:r>
      <w:r>
        <w:rPr>
          <w:rFonts w:hint="eastAsia"/>
        </w:rPr>
        <w:t>铰接梁</w:t>
      </w:r>
    </w:p>
    <w:p>
      <w:pPr>
        <w:pStyle w:val="111"/>
        <w:rPr>
          <w:color w:val="0000FF"/>
        </w:rPr>
      </w:pPr>
      <w:r>
        <w:drawing>
          <wp:inline distT="0" distB="0" distL="0" distR="0">
            <wp:extent cx="2705735" cy="1849755"/>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56">
                      <a:extLst>
                        <a:ext uri="{28A0092B-C50C-407E-A947-70E740481C1C}">
                          <a14:useLocalDpi xmlns:a14="http://schemas.microsoft.com/office/drawing/2010/main" val="false"/>
                        </a:ext>
                      </a:extLst>
                    </a:blip>
                    <a:srcRect/>
                    <a:stretch>
                      <a:fillRect/>
                    </a:stretch>
                  </pic:blipFill>
                  <pic:spPr>
                    <a:xfrm>
                      <a:off x="0" y="0"/>
                      <a:ext cx="2711293" cy="1853514"/>
                    </a:xfrm>
                    <a:prstGeom prst="rect">
                      <a:avLst/>
                    </a:prstGeom>
                    <a:noFill/>
                    <a:ln>
                      <a:noFill/>
                    </a:ln>
                  </pic:spPr>
                </pic:pic>
              </a:graphicData>
            </a:graphic>
          </wp:inline>
        </w:drawing>
      </w:r>
    </w:p>
    <w:p>
      <w:pPr>
        <w:pStyle w:val="111"/>
      </w:pPr>
      <w:bookmarkStart w:id="638" w:name="_Ref191631153"/>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bookmarkEnd w:id="638"/>
      <w:r>
        <w:t xml:space="preserve">   </w:t>
      </w:r>
      <w:r>
        <w:rPr>
          <w:rFonts w:hint="eastAsia"/>
        </w:rPr>
        <w:t>压接装配框架与抗震墙混</w:t>
      </w:r>
      <w:r>
        <w:t>合</w:t>
      </w:r>
      <w:r>
        <w:rPr>
          <w:rFonts w:hint="eastAsia"/>
        </w:rPr>
        <w:t>布置</w:t>
      </w:r>
    </w:p>
    <w:p>
      <w:pPr>
        <w:pStyle w:val="111"/>
      </w:pPr>
      <w:r>
        <w:t>1—压接装配框架；2—</w:t>
      </w:r>
      <w:r>
        <w:rPr>
          <w:rFonts w:hint="eastAsia"/>
        </w:rPr>
        <w:t>抗震墙；3</w:t>
      </w:r>
      <w:r>
        <w:t>—</w:t>
      </w:r>
      <w:r>
        <w:rPr>
          <w:rFonts w:hint="eastAsia"/>
        </w:rPr>
        <w:t>铰接梁</w:t>
      </w:r>
    </w:p>
    <w:p>
      <w:pPr>
        <w:pStyle w:val="111"/>
      </w:pPr>
      <w:r>
        <w:drawing>
          <wp:inline distT="0" distB="0" distL="0" distR="0">
            <wp:extent cx="2520950" cy="2089150"/>
            <wp:effectExtent l="0" t="0" r="0" b="635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57">
                      <a:extLst>
                        <a:ext uri="{28A0092B-C50C-407E-A947-70E740481C1C}">
                          <a14:useLocalDpi xmlns:a14="http://schemas.microsoft.com/office/drawing/2010/main" val="false"/>
                        </a:ext>
                      </a:extLst>
                    </a:blip>
                    <a:srcRect/>
                    <a:stretch>
                      <a:fillRect/>
                    </a:stretch>
                  </pic:blipFill>
                  <pic:spPr>
                    <a:xfrm>
                      <a:off x="0" y="0"/>
                      <a:ext cx="2520950" cy="2089150"/>
                    </a:xfrm>
                    <a:prstGeom prst="rect">
                      <a:avLst/>
                    </a:prstGeom>
                    <a:noFill/>
                    <a:ln>
                      <a:noFill/>
                    </a:ln>
                  </pic:spPr>
                </pic:pic>
              </a:graphicData>
            </a:graphic>
          </wp:inline>
        </w:drawing>
      </w:r>
    </w:p>
    <w:p>
      <w:pPr>
        <w:pStyle w:val="111"/>
      </w:pPr>
      <w:bookmarkStart w:id="639" w:name="_Ref191631133"/>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bookmarkEnd w:id="639"/>
      <w:r>
        <w:t xml:space="preserve">  </w:t>
      </w:r>
      <w:r>
        <w:rPr>
          <w:rFonts w:hint="eastAsia"/>
        </w:rPr>
        <w:t>压接装配框架与现浇混凝土框架、抗震墙混</w:t>
      </w:r>
      <w:r>
        <w:t>合</w:t>
      </w:r>
      <w:r>
        <w:rPr>
          <w:rFonts w:hint="eastAsia"/>
        </w:rPr>
        <w:t>布置</w:t>
      </w:r>
    </w:p>
    <w:p>
      <w:pPr>
        <w:pStyle w:val="69"/>
      </w:pPr>
      <w:r>
        <w:t>1—压接装配框架（标准层）；2—抗震墙；3—现浇</w:t>
      </w:r>
      <w:r>
        <w:rPr>
          <w:rFonts w:hint="eastAsia"/>
        </w:rPr>
        <w:t>框架</w:t>
      </w:r>
    </w:p>
    <w:p>
      <w:pPr>
        <w:pStyle w:val="98"/>
      </w:pPr>
      <w:r>
        <w:rPr>
          <w:b/>
          <w:bCs w:val="0"/>
        </w:rPr>
        <w:fldChar w:fldCharType="begin"/>
      </w:r>
      <w:r>
        <w:rPr>
          <w:b/>
          <w:bCs w:val="0"/>
        </w:rPr>
        <w:instrText xml:space="preserve"> REF _Ref172273861 \r \h  \* MERGEFORMAT </w:instrText>
      </w:r>
      <w:r>
        <w:rPr>
          <w:b/>
          <w:bCs w:val="0"/>
        </w:rPr>
        <w:fldChar w:fldCharType="separate"/>
      </w:r>
      <w:r>
        <w:rPr>
          <w:b/>
          <w:bCs w:val="0"/>
        </w:rPr>
        <w:t>3. 2. 3</w:t>
      </w:r>
      <w:r>
        <w:rPr>
          <w:b/>
          <w:bCs w:val="0"/>
        </w:rPr>
        <w:fldChar w:fldCharType="end"/>
      </w:r>
      <w:r>
        <w:tab/>
      </w:r>
      <w:r>
        <w:rPr>
          <w:rFonts w:hint="eastAsia"/>
        </w:rPr>
        <w:t>由于</w:t>
      </w:r>
      <w:bookmarkStart w:id="640" w:name="_Hlk172276050"/>
      <w:r>
        <w:rPr>
          <w:rFonts w:hint="eastAsia"/>
        </w:rPr>
        <w:t>现浇混凝土框架、装配整体式框架、混凝土抗震墙等抗侧力体系</w:t>
      </w:r>
      <w:bookmarkEnd w:id="640"/>
      <w:r>
        <w:rPr>
          <w:rFonts w:hint="eastAsia"/>
        </w:rPr>
        <w:t>自复位能力较弱，少量预应力压接自复位框架不足以改善结构的整体自复位性能，而且相关研究也较少，不宜与现浇混凝土框架、装配整体式框架、混凝土抗震墙等抗侧力体系混用。当结构中采用较多非抗侧力柱时，在对结构进行线弹性整体计算时，应适当放大抗侧力构件的剪力和弯矩设计值，并对结构整体进行设防地震和罕遇地震下的非线性弹塑性分析与验算。</w:t>
      </w:r>
    </w:p>
    <w:p>
      <w:pPr>
        <w:pStyle w:val="98"/>
      </w:pPr>
      <w:r>
        <w:rPr>
          <w:b/>
          <w:bCs w:val="0"/>
        </w:rPr>
        <w:fldChar w:fldCharType="begin"/>
      </w:r>
      <w:r>
        <w:rPr>
          <w:b/>
          <w:bCs w:val="0"/>
        </w:rPr>
        <w:instrText xml:space="preserve"> REF _Ref198027812 \r \h  \* MERGEFORMAT </w:instrText>
      </w:r>
      <w:r>
        <w:rPr>
          <w:b/>
          <w:bCs w:val="0"/>
        </w:rPr>
        <w:fldChar w:fldCharType="separate"/>
      </w:r>
      <w:r>
        <w:rPr>
          <w:b/>
          <w:bCs w:val="0"/>
        </w:rPr>
        <w:t>3. 2. 5</w:t>
      </w:r>
      <w:r>
        <w:rPr>
          <w:b/>
          <w:bCs w:val="0"/>
        </w:rPr>
        <w:fldChar w:fldCharType="end"/>
      </w:r>
      <w:r>
        <w:tab/>
      </w:r>
      <w:r>
        <w:rPr>
          <w:rFonts w:hint="eastAsia"/>
        </w:rPr>
        <w:t>压接装配框架采用带叠合层的梁板柱复合节点时，框架梁叠合层和楼板叠合层可一起浇筑成整体，为保持楼板水平力有效传递，叠合板的叠合层厚度不宜过小。</w:t>
      </w:r>
    </w:p>
    <w:p>
      <w:pPr>
        <w:pStyle w:val="98"/>
      </w:pPr>
      <w:r>
        <w:rPr>
          <w:b/>
          <w:bCs w:val="0"/>
        </w:rPr>
        <w:fldChar w:fldCharType="begin"/>
      </w:r>
      <w:r>
        <w:rPr>
          <w:b/>
          <w:bCs w:val="0"/>
        </w:rPr>
        <w:instrText xml:space="preserve"> REF _Ref86131585 \r \h  \* MERGEFORMAT </w:instrText>
      </w:r>
      <w:r>
        <w:rPr>
          <w:b/>
          <w:bCs w:val="0"/>
        </w:rPr>
        <w:fldChar w:fldCharType="separate"/>
      </w:r>
      <w:r>
        <w:rPr>
          <w:b/>
          <w:bCs w:val="0"/>
        </w:rPr>
        <w:t>3. 2. 7</w:t>
      </w:r>
      <w:r>
        <w:rPr>
          <w:b/>
          <w:bCs w:val="0"/>
        </w:rPr>
        <w:fldChar w:fldCharType="end"/>
      </w:r>
      <w:r>
        <w:tab/>
      </w:r>
      <w:r>
        <w:rPr>
          <w:rFonts w:hint="eastAsia"/>
        </w:rPr>
        <w:t>根据现行国家标准《混凝土结构设计标准》GB</w:t>
      </w:r>
      <w:r>
        <w:t>/T</w:t>
      </w:r>
      <w:r>
        <w:rPr>
          <w:rFonts w:hint="eastAsia"/>
        </w:rPr>
        <w:t xml:space="preserve"> 50010的规定，装配式框架结构伸缩缝最大间距可达75m，现浇框架结构伸缩缝最大间距为55m。压接装配框架结构也属于叠合构件加后浇层形成的结构，其预制混凝土构件基本已经完成收缩，故伸缩缝间距可取高于现浇框架结构、低于全装配式框架的中间值；另一方面，考虑到压接装配式混凝土框架体系结构在浇筑叠合层时一般框架内已经建立了3MPa~6MPa的预压力，且楼板叠合层内一般通长配置了构造钢筋，有利于约束混凝土的收缩开裂，综合考虑，压接装配框架结构伸缩缝最大间距可与《混凝土结构设计标准》GB</w:t>
      </w:r>
      <w:r>
        <w:t>/T</w:t>
      </w:r>
      <w:r>
        <w:rPr>
          <w:rFonts w:hint="eastAsia"/>
        </w:rPr>
        <w:t xml:space="preserve"> 50010装配式框架的规定一致。</w:t>
      </w:r>
    </w:p>
    <w:p>
      <w:pPr>
        <w:pStyle w:val="99"/>
      </w:pPr>
      <w:r>
        <w:rPr>
          <w:rFonts w:hint="eastAsia"/>
        </w:rPr>
        <w:t>本条中压接装配框架-抗震墙结构的伸缩缝最大间距是按现行国家标准《混凝土结构设计标准》GB</w:t>
      </w:r>
      <w:r>
        <w:t>/T</w:t>
      </w:r>
      <w:r>
        <w:rPr>
          <w:rFonts w:hint="eastAsia"/>
        </w:rPr>
        <w:t xml:space="preserve"> 50010中装配式剪力墙结构和装配式框架结构的中间值选取的，实际工程中应根据剪力墙的布置进行适当调整。超长结构的预应力设计参见现行行业标准《预应力混凝土结构设计规范》JGJ 369的规定。</w:t>
      </w:r>
    </w:p>
    <w:p>
      <w:pPr>
        <w:pStyle w:val="99"/>
      </w:pPr>
      <w:r>
        <w:rPr>
          <w:rFonts w:hint="eastAsia"/>
        </w:rPr>
        <w:t>《整体预应力装配式板柱结构技术规程》CECS</w:t>
      </w:r>
      <w:r>
        <w:t xml:space="preserve"> 52</w:t>
      </w:r>
      <w:r>
        <w:rPr>
          <w:rFonts w:hint="eastAsia"/>
        </w:rPr>
        <w:t>中规定压接板柱整体张拉单元不宜超过6</w:t>
      </w:r>
      <w:r>
        <w:t>0</w:t>
      </w:r>
      <w:r>
        <w:rPr>
          <w:rFonts w:hint="eastAsia"/>
        </w:rPr>
        <w:t>m，一般情况下结构分缝与张拉单元对应便于施工，本规程对板柱-抗震墙结构室内或土中伸缩缝最大间距也取6</w:t>
      </w:r>
      <w:r>
        <w:t>0</w:t>
      </w:r>
      <w:r>
        <w:rPr>
          <w:rFonts w:hint="eastAsia"/>
        </w:rPr>
        <w:t>m。但应注意结构缝宽度应满足预应力施工操作要求。</w:t>
      </w:r>
    </w:p>
    <w:p>
      <w:pPr>
        <w:pStyle w:val="98"/>
      </w:pPr>
      <w:r>
        <w:rPr>
          <w:b/>
          <w:bCs w:val="0"/>
        </w:rPr>
        <w:fldChar w:fldCharType="begin"/>
      </w:r>
      <w:r>
        <w:rPr>
          <w:b/>
          <w:bCs w:val="0"/>
        </w:rPr>
        <w:instrText xml:space="preserve"> REF _Ref88037153 \r \h  \* MERGEFORMAT </w:instrText>
      </w:r>
      <w:r>
        <w:rPr>
          <w:b/>
          <w:bCs w:val="0"/>
        </w:rPr>
        <w:fldChar w:fldCharType="separate"/>
      </w:r>
      <w:r>
        <w:rPr>
          <w:b/>
          <w:bCs w:val="0"/>
        </w:rPr>
        <w:t>3. 2. 8</w:t>
      </w:r>
      <w:r>
        <w:rPr>
          <w:b/>
          <w:bCs w:val="0"/>
        </w:rPr>
        <w:fldChar w:fldCharType="end"/>
      </w:r>
      <w:r>
        <w:tab/>
      </w:r>
      <w:r>
        <w:rPr>
          <w:rFonts w:hint="eastAsia"/>
        </w:rPr>
        <w:t>当结构缝两侧均为压接装配框架，可将锚固端设于结构缝内，采用单侧张拉施工工艺。为便于锚头安装作业，结构缝宽度宜大于300mm（</w:t>
      </w:r>
      <w:r>
        <w:fldChar w:fldCharType="begin"/>
      </w:r>
      <w:r>
        <w:instrText xml:space="preserve"> </w:instrText>
      </w:r>
      <w:r>
        <w:rPr>
          <w:rFonts w:hint="eastAsia"/>
        </w:rPr>
        <w:instrText xml:space="preserve">REF _Ref166487679 \h</w:instrText>
      </w:r>
      <w:r>
        <w:instrText xml:space="preserve"> </w:instrText>
      </w:r>
      <w:r>
        <w:fldChar w:fldCharType="separate"/>
      </w:r>
      <w:r>
        <w:rPr>
          <w:rFonts w:hint="eastAsia"/>
        </w:rPr>
        <w:t>图</w:t>
      </w:r>
      <w:r>
        <w:t>7</w:t>
      </w:r>
      <w:r>
        <w:fldChar w:fldCharType="end"/>
      </w:r>
      <w:r>
        <w:rPr>
          <w:rFonts w:hint="eastAsia"/>
        </w:rPr>
        <w:t>）；也可将预应力张拉端弯锚于预制梁顶面，预应力筋弯锚应符合现行国家标准《混凝土结构设计标准》GB</w:t>
      </w:r>
      <w:r>
        <w:t>/T</w:t>
      </w:r>
      <w:r>
        <w:rPr>
          <w:rFonts w:hint="eastAsia"/>
        </w:rPr>
        <w:t xml:space="preserve"> 50010中曲率半径等相关构造要求。当结构缝处梁柱节点采用带有预制牛腿的铰接节点构造时，结构缝宽度可按常规要求设置（</w:t>
      </w:r>
      <w:r>
        <w:fldChar w:fldCharType="begin"/>
      </w:r>
      <w:r>
        <w:instrText xml:space="preserve"> </w:instrText>
      </w:r>
      <w:r>
        <w:rPr>
          <w:rFonts w:hint="eastAsia"/>
        </w:rPr>
        <w:instrText xml:space="preserve">REF _Ref166487685 \h</w:instrText>
      </w:r>
      <w:r>
        <w:instrText xml:space="preserve"> </w:instrText>
      </w:r>
      <w:r>
        <w:fldChar w:fldCharType="separate"/>
      </w:r>
      <w:r>
        <w:rPr>
          <w:rFonts w:hint="eastAsia"/>
        </w:rPr>
        <w:t>图</w:t>
      </w:r>
      <w:r>
        <w:t>8</w:t>
      </w:r>
      <w:r>
        <w:fldChar w:fldCharType="end"/>
      </w:r>
      <w:r>
        <w:rPr>
          <w:rFonts w:hint="eastAsia"/>
        </w:rPr>
        <w:t>）。压接板柱结构可参照处理。</w:t>
      </w:r>
    </w:p>
    <w:p>
      <w:pPr>
        <w:pStyle w:val="111"/>
      </w:pPr>
      <w:r>
        <w:drawing>
          <wp:inline distT="0" distB="0" distL="0" distR="0">
            <wp:extent cx="3571240" cy="1727200"/>
            <wp:effectExtent l="0" t="0" r="0" b="6350"/>
            <wp:docPr id="112" name="图片 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0" y="0"/>
                      <a:ext cx="3571240" cy="1727200"/>
                    </a:xfrm>
                    <a:prstGeom prst="rect">
                      <a:avLst/>
                    </a:prstGeom>
                    <a:noFill/>
                    <a:ln>
                      <a:noFill/>
                    </a:ln>
                  </pic:spPr>
                </pic:pic>
              </a:graphicData>
            </a:graphic>
          </wp:inline>
        </w:drawing>
      </w:r>
    </w:p>
    <w:p>
      <w:pPr>
        <w:pStyle w:val="111"/>
      </w:pPr>
      <w:bookmarkStart w:id="641" w:name="_Ref166487679"/>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bookmarkEnd w:id="641"/>
      <w:r>
        <w:t xml:space="preserve">  </w:t>
      </w:r>
      <w:r>
        <w:rPr>
          <w:rFonts w:hint="eastAsia"/>
        </w:rPr>
        <w:t>两侧均为单侧张拉的压接装配框架</w:t>
      </w:r>
      <w:r>
        <w:t>结构缝</w:t>
      </w:r>
      <w:r>
        <w:rPr>
          <w:rFonts w:hint="eastAsia"/>
        </w:rPr>
        <w:t>构造</w:t>
      </w:r>
    </w:p>
    <w:p>
      <w:pPr>
        <w:pStyle w:val="111"/>
      </w:pPr>
      <w:r>
        <w:t>1—预制柱；2—预制梁；3—结构缝；4—锚头封锚</w:t>
      </w:r>
    </w:p>
    <w:p>
      <w:pPr>
        <w:pStyle w:val="111"/>
      </w:pPr>
      <w:r>
        <w:drawing>
          <wp:inline distT="0" distB="0" distL="0" distR="0">
            <wp:extent cx="4150360" cy="1546860"/>
            <wp:effectExtent l="0" t="0" r="2540" b="0"/>
            <wp:docPr id="113"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true" noChangeArrowheads="true"/>
                    </pic:cNvPicPr>
                  </pic:nvPicPr>
                  <pic:blipFill>
                    <a:blip r:embed="rId59">
                      <a:extLst>
                        <a:ext uri="{28A0092B-C50C-407E-A947-70E740481C1C}">
                          <a14:useLocalDpi xmlns:a14="http://schemas.microsoft.com/office/drawing/2010/main" val="false"/>
                        </a:ext>
                      </a:extLst>
                    </a:blip>
                    <a:srcRect/>
                    <a:stretch>
                      <a:fillRect/>
                    </a:stretch>
                  </pic:blipFill>
                  <pic:spPr>
                    <a:xfrm>
                      <a:off x="0" y="0"/>
                      <a:ext cx="4157438" cy="1549922"/>
                    </a:xfrm>
                    <a:prstGeom prst="rect">
                      <a:avLst/>
                    </a:prstGeom>
                    <a:noFill/>
                    <a:ln>
                      <a:noFill/>
                    </a:ln>
                  </pic:spPr>
                </pic:pic>
              </a:graphicData>
            </a:graphic>
          </wp:inline>
        </w:drawing>
      </w:r>
    </w:p>
    <w:p>
      <w:pPr>
        <w:pStyle w:val="111"/>
      </w:pPr>
      <w:bookmarkStart w:id="642" w:name="_Ref166487685"/>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bookmarkEnd w:id="642"/>
      <w:r>
        <w:t xml:space="preserve">  结构缝两侧</w:t>
      </w:r>
      <w:r>
        <w:rPr>
          <w:rFonts w:hint="eastAsia"/>
        </w:rPr>
        <w:t>带有预制牛腿的</w:t>
      </w:r>
      <w:r>
        <w:t>铰</w:t>
      </w:r>
      <w:r>
        <w:rPr>
          <w:rFonts w:hint="eastAsia"/>
        </w:rPr>
        <w:t>接</w:t>
      </w:r>
      <w:r>
        <w:t>节点</w:t>
      </w:r>
      <w:r>
        <w:rPr>
          <w:rFonts w:hint="eastAsia"/>
        </w:rPr>
        <w:t>构造</w:t>
      </w:r>
    </w:p>
    <w:p>
      <w:pPr>
        <w:pStyle w:val="111"/>
      </w:pPr>
      <w:r>
        <w:t>1—预制柱；2—预制梁；3—预制牛腿；</w:t>
      </w:r>
      <w:r>
        <w:rPr>
          <w:rFonts w:hint="eastAsia"/>
        </w:rPr>
        <w:t>4</w:t>
      </w:r>
      <w:r>
        <w:t>—预应力张拉端；</w:t>
      </w:r>
      <w:r>
        <w:rPr>
          <w:rFonts w:hint="eastAsia"/>
        </w:rPr>
        <w:t>5</w:t>
      </w:r>
      <w:r>
        <w:t>—构造钢筋</w:t>
      </w:r>
      <w:r>
        <w:rPr>
          <w:rFonts w:hint="eastAsia"/>
        </w:rPr>
        <w:t>；6</w:t>
      </w:r>
      <w:r>
        <w:t>—</w:t>
      </w:r>
      <w:r>
        <w:rPr>
          <w:rFonts w:hint="eastAsia"/>
        </w:rPr>
        <w:t>结构缝</w:t>
      </w:r>
      <w:bookmarkStart w:id="643" w:name="_Ref87969191"/>
    </w:p>
    <w:bookmarkEnd w:id="643"/>
    <w:p/>
    <w:p>
      <w:pPr>
        <w:pStyle w:val="100"/>
      </w:pPr>
      <w:bookmarkStart w:id="644" w:name="_Toc202345852"/>
      <w:r>
        <w:t xml:space="preserve">3.3  </w:t>
      </w:r>
      <w:r>
        <w:rPr>
          <w:rFonts w:hint="eastAsia"/>
        </w:rPr>
        <w:t>抗震规定</w:t>
      </w:r>
      <w:bookmarkEnd w:id="644"/>
    </w:p>
    <w:p>
      <w:pPr>
        <w:pStyle w:val="98"/>
      </w:pPr>
      <w:r>
        <w:rPr>
          <w:b/>
          <w:bCs w:val="0"/>
        </w:rPr>
        <w:fldChar w:fldCharType="begin"/>
      </w:r>
      <w:r>
        <w:rPr>
          <w:b/>
          <w:bCs w:val="0"/>
        </w:rPr>
        <w:instrText xml:space="preserve"> REF _Ref88034730 \r \h  \* MERGEFORMAT </w:instrText>
      </w:r>
      <w:r>
        <w:rPr>
          <w:b/>
          <w:bCs w:val="0"/>
        </w:rPr>
        <w:fldChar w:fldCharType="separate"/>
      </w:r>
      <w:r>
        <w:rPr>
          <w:b/>
          <w:bCs w:val="0"/>
        </w:rPr>
        <w:t>3. 3. 2</w:t>
      </w:r>
      <w:r>
        <w:rPr>
          <w:b/>
          <w:bCs w:val="0"/>
        </w:rPr>
        <w:fldChar w:fldCharType="end"/>
      </w:r>
      <w:r>
        <w:tab/>
      </w:r>
      <w:r>
        <w:rPr>
          <w:rFonts w:hint="eastAsia"/>
        </w:rPr>
        <w:t>抗震等级按现行国家标准《建筑与市政工程抗震通用规范》GB 55002和《建筑抗震设计标准》GB</w:t>
      </w:r>
      <w:r>
        <w:t>/T</w:t>
      </w:r>
      <w:r>
        <w:rPr>
          <w:rFonts w:hint="eastAsia"/>
        </w:rPr>
        <w:t xml:space="preserve"> 50011确定。当压接装配框架与钢结构、组合结构、混合结构、耗能减震结构或隔震结构混合使用时，可参照相关标准调整结构抗震等级。</w:t>
      </w:r>
    </w:p>
    <w:p>
      <w:pPr>
        <w:pStyle w:val="99"/>
      </w:pPr>
      <w:r>
        <w:rPr>
          <w:rFonts w:hint="eastAsia"/>
        </w:rPr>
        <w:t>压接装配板柱-抗震墙结构的抗震等级参照《建筑与市政工程抗震通用规范》GB 55002中板柱-抗震墙结构执行，在《整体预应力装配式板柱结构技术规程》CECS</w:t>
      </w:r>
      <w:r>
        <w:t xml:space="preserve"> 52 : 2010</w:t>
      </w:r>
      <w:r>
        <w:rPr>
          <w:rFonts w:hint="eastAsia"/>
        </w:rPr>
        <w:t>规定的基础上有所提升。</w:t>
      </w:r>
    </w:p>
    <w:p>
      <w:pPr>
        <w:pStyle w:val="99"/>
      </w:pPr>
      <w:r>
        <w:rPr>
          <w:rFonts w:hint="eastAsia"/>
        </w:rPr>
        <w:t>表</w:t>
      </w:r>
      <w:r>
        <w:fldChar w:fldCharType="begin"/>
      </w:r>
      <w:r>
        <w:instrText xml:space="preserve"> </w:instrText>
      </w:r>
      <w:r>
        <w:rPr>
          <w:rFonts w:hint="eastAsia"/>
        </w:rPr>
        <w:instrText xml:space="preserve">REF _Ref88034730 \r \h</w:instrText>
      </w:r>
      <w:r>
        <w:instrText xml:space="preserve"> </w:instrText>
      </w:r>
      <w:r>
        <w:fldChar w:fldCharType="separate"/>
      </w:r>
      <w:r>
        <w:t>3. 3. 2</w:t>
      </w:r>
      <w:r>
        <w:fldChar w:fldCharType="end"/>
      </w:r>
      <w:r>
        <w:rPr>
          <w:rFonts w:hint="eastAsia"/>
        </w:rPr>
        <w:t>中丙类压接装配框架的抗震等级最高为一级，但是乙类建筑提高抗震等级时，会存在特一级要求。压接装配框架抗震性能较好，为方便设计，抗震等级特一级的压接装配式结构的内力调整与抗震构造措施可按一级同等要求执行。</w:t>
      </w:r>
    </w:p>
    <w:p>
      <w:pPr>
        <w:pStyle w:val="98"/>
      </w:pPr>
      <w:r>
        <w:rPr>
          <w:b/>
          <w:bCs w:val="0"/>
        </w:rPr>
        <w:fldChar w:fldCharType="begin"/>
      </w:r>
      <w:r>
        <w:rPr>
          <w:b/>
          <w:bCs w:val="0"/>
        </w:rPr>
        <w:instrText xml:space="preserve"> REF _Ref198028373 \r \h  \* MERGEFORMAT </w:instrText>
      </w:r>
      <w:r>
        <w:rPr>
          <w:b/>
          <w:bCs w:val="0"/>
        </w:rPr>
        <w:fldChar w:fldCharType="separate"/>
      </w:r>
      <w:r>
        <w:rPr>
          <w:b/>
          <w:bCs w:val="0"/>
        </w:rPr>
        <w:t>3. 3. 3</w:t>
      </w:r>
      <w:r>
        <w:rPr>
          <w:b/>
          <w:bCs w:val="0"/>
        </w:rPr>
        <w:fldChar w:fldCharType="end"/>
      </w:r>
      <w:r>
        <w:tab/>
      </w:r>
      <w:bookmarkStart w:id="645" w:name="_Hlk175151391"/>
      <w:r>
        <w:rPr>
          <w:rFonts w:hint="eastAsia"/>
        </w:rPr>
        <w:t>为保证压接装配梁柱节点的良好抗震性能，对节点转动变形能力做出了量化规定。梁柱节点转动变形包括梁柱节点接触面张开变形、节点核心区的剪切变形、与节点相连的梁柱反弯点间的变形三者之和。节点转动变形能力计算模型取至所连接梁柱的反弯点部位，按《建筑抗震试验规程》JGJ/T 101中梁柱节点拟静力试验要求进行试验，加载至极限荷载后继续加载至试验曲线下降段至极限荷载的85%时对应的节点转动变形。也可按本规程</w:t>
      </w:r>
      <w:r>
        <w:rPr>
          <w:highlight w:val="yellow"/>
        </w:rPr>
        <w:fldChar w:fldCharType="begin"/>
      </w:r>
      <w:r>
        <w:instrText xml:space="preserve"> </w:instrText>
      </w:r>
      <w:r>
        <w:rPr>
          <w:rFonts w:hint="eastAsia"/>
        </w:rPr>
        <w:instrText xml:space="preserve">REF _Ref172098151 \r \h</w:instrText>
      </w:r>
      <w:r>
        <w:instrText xml:space="preserve"> </w:instrText>
      </w:r>
      <w:r>
        <w:rPr>
          <w:highlight w:val="yellow"/>
        </w:rPr>
        <w:fldChar w:fldCharType="separate"/>
      </w:r>
      <w:r>
        <w:rPr>
          <w:rFonts w:hint="eastAsia"/>
        </w:rPr>
        <w:t>附录B</w:t>
      </w:r>
      <w:r>
        <w:rPr>
          <w:highlight w:val="yellow"/>
        </w:rPr>
        <w:fldChar w:fldCharType="end"/>
      </w:r>
      <w:r>
        <w:rPr>
          <w:rFonts w:hint="eastAsia"/>
        </w:rPr>
        <w:t>压接装配框架梁柱节点弹塑性分析模型计算确定。</w:t>
      </w:r>
    </w:p>
    <w:p>
      <w:pPr>
        <w:pStyle w:val="99"/>
      </w:pPr>
      <w:r>
        <w:rPr>
          <w:rFonts w:hint="eastAsia"/>
        </w:rPr>
        <w:t>试验表明，压接装配框架节点具有满足上述要求的良好抗震性能。美国ACI规范规定自复位梁柱节点拟静力试验下，其性能应满足在0.035</w:t>
      </w:r>
      <w:r>
        <w:t xml:space="preserve"> </w:t>
      </w:r>
      <w:r>
        <w:rPr>
          <w:rFonts w:hint="eastAsia"/>
        </w:rPr>
        <w:t>rad位移角下，结构的极限承载力不低于峰值的0.75倍。考虑到我国规范以峰值的0.85倍作为极限位移，因此本条规定的0.03</w:t>
      </w:r>
      <w:r>
        <w:t xml:space="preserve"> </w:t>
      </w:r>
      <w:r>
        <w:rPr>
          <w:rFonts w:hint="eastAsia"/>
        </w:rPr>
        <w:t>rad的极限位移角与美国标准相当。</w:t>
      </w:r>
    </w:p>
    <w:bookmarkEnd w:id="645"/>
    <w:p>
      <w:pPr>
        <w:pStyle w:val="99"/>
      </w:pPr>
      <w:r>
        <w:rPr>
          <w:rFonts w:hint="eastAsia"/>
        </w:rPr>
        <w:t>当压接装配框架梁柱节点与其他节点或转动变形能力较低的抗震墙结构共同工作时，应注意发挥压接装配框架梁柱节点良好的转动变形能力，提高结构整体抗灾性能。</w:t>
      </w:r>
    </w:p>
    <w:p>
      <w:pPr>
        <w:pStyle w:val="99"/>
      </w:pPr>
      <w:r>
        <w:rPr>
          <w:rFonts w:hint="eastAsia"/>
        </w:rPr>
        <w:t>结点位移极限状态指，考虑节点核心区变形和构件弯曲变形后，结点达到本条第1款规定的节点最大转动变形时的状态。结点位移极限状态下梁端耗能钢筋和预应力钢绞线的应变验算结果不满足本条要求时，应调整预应力钢绞线和耗能钢筋的无粘结段的长度后重新复核。参考国内外相关规程，符合本规程第</w:t>
      </w:r>
      <w:r>
        <w:fldChar w:fldCharType="begin"/>
      </w:r>
      <w:r>
        <w:instrText xml:space="preserve"> </w:instrText>
      </w:r>
      <w:r>
        <w:rPr>
          <w:rFonts w:hint="eastAsia"/>
        </w:rPr>
        <w:instrText xml:space="preserve">REF _Ref198028534 \r \h</w:instrText>
      </w:r>
      <w:r>
        <w:instrText xml:space="preserve"> </w:instrText>
      </w:r>
      <w:r>
        <w:fldChar w:fldCharType="separate"/>
      </w:r>
      <w:r>
        <w:t>4. 1. 3</w:t>
      </w:r>
      <w:r>
        <w:fldChar w:fldCharType="end"/>
      </w:r>
      <w:r>
        <w:rPr>
          <w:rFonts w:hint="eastAsia"/>
        </w:rPr>
        <w:t>条规定的耗能钢筋，其最大应变小于0.065时，钢筋不会断裂，且有足够安全储备。</w:t>
      </w:r>
    </w:p>
    <w:p>
      <w:pPr>
        <w:pStyle w:val="98"/>
      </w:pPr>
      <w:r>
        <w:rPr>
          <w:b/>
          <w:bCs w:val="0"/>
        </w:rPr>
        <w:fldChar w:fldCharType="begin"/>
      </w:r>
      <w:r>
        <w:rPr>
          <w:b/>
          <w:bCs w:val="0"/>
        </w:rPr>
        <w:instrText xml:space="preserve"> REF _Ref177567405 \r \h  \* MERGEFORMAT </w:instrText>
      </w:r>
      <w:r>
        <w:rPr>
          <w:b/>
          <w:bCs w:val="0"/>
        </w:rPr>
        <w:fldChar w:fldCharType="separate"/>
      </w:r>
      <w:r>
        <w:rPr>
          <w:b/>
          <w:bCs w:val="0"/>
        </w:rPr>
        <w:t>3. 3. 4</w:t>
      </w:r>
      <w:r>
        <w:rPr>
          <w:b/>
          <w:bCs w:val="0"/>
        </w:rPr>
        <w:fldChar w:fldCharType="end"/>
      </w:r>
      <w:r>
        <w:tab/>
      </w:r>
      <w:r>
        <w:rPr>
          <w:rFonts w:hint="eastAsia"/>
        </w:rPr>
        <w:t>预应力压接梁柱结合面处抗弯耗能能力为预应力压接体系最显著特点也是设计的关键。此部位可视为一个耗能器，针对此部位采用基于性能的设计方法，在设防地震作用下的性能目标确定为“可修复的中度损坏”。公式中构件重要性系数，承载力利用系数和地震力折减系数，参考广东省地方标准《高层建筑混凝土结构技术规程》DBJ/T5-92</w:t>
      </w:r>
      <w:r>
        <w:t xml:space="preserve"> </w:t>
      </w:r>
      <w:r>
        <w:rPr>
          <w:rFonts w:hint="eastAsia"/>
        </w:rPr>
        <w:t>2021中3.9.1</w:t>
      </w:r>
      <w:r>
        <w:t>~</w:t>
      </w:r>
      <w:r>
        <w:rPr>
          <w:rFonts w:hint="eastAsia"/>
        </w:rPr>
        <w:t>3.9.5中第4水准确定，考虑到验算过程中用小震线弹性分析中结构阻尼比取值较低，</w:t>
      </w:r>
      <w:r>
        <w:rPr>
          <w:rFonts w:hint="eastAsia"/>
          <w:lang w:eastAsia="zh"/>
        </w:rPr>
        <w:t>且该节点受弯延性和变形能力优于现浇节点，</w:t>
      </w:r>
      <w:r>
        <w:rPr>
          <w:rFonts w:hint="eastAsia"/>
        </w:rPr>
        <w:t>对地震力折减系数进行了适当的下调。考虑到预应力压接节点在受弯条件下通过截面开合实现较现浇结构更好的变形能力，延性、耗能能力和低损伤特性，其性能表现会优于同水准的现浇结构。</w:t>
      </w:r>
    </w:p>
    <w:p>
      <w:pPr>
        <w:pStyle w:val="99"/>
        <w:rPr>
          <w:lang w:eastAsia="zh"/>
        </w:rPr>
      </w:pPr>
      <w:r>
        <w:rPr>
          <w:rFonts w:hint="eastAsia"/>
        </w:rPr>
        <w:t>虽然公式表现为设防地震下的验算，但实际上只需进行小震计算，与现有相关国家和行业标准相容，简化了设计。</w:t>
      </w:r>
      <w:r>
        <w:rPr>
          <w:rFonts w:hint="eastAsia"/>
          <w:lang w:eastAsia="zh"/>
        </w:rPr>
        <w:t>采用该公式验算后，不需要再进行小震作用下的抗弯承载力验算，小震作用下结合面弯矩标准值也无需进行与抗震等级有关的内力调整。</w:t>
      </w:r>
    </w:p>
    <w:p>
      <w:pPr>
        <w:pStyle w:val="99"/>
      </w:pPr>
      <w:r>
        <w:rPr>
          <w:rFonts w:hint="eastAsia"/>
          <w:lang w:eastAsia="zh"/>
        </w:rPr>
        <w:t>本条依据丙类建筑结构的最低抗震性能目标给出，乙类建筑结构的抗震性能目标最低要</w:t>
      </w:r>
      <w:r>
        <w:rPr>
          <w:rFonts w:hint="eastAsia"/>
        </w:rPr>
        <w:t>求可与丙类相同，但应按抗震设防烈度提高1度确定其抗震构造措施。甲类建筑结构宜按设防地震作用下“一般修理后可继续使用的轻度损坏”的目标进行设计，</w:t>
      </w:r>
      <m:oMath>
        <m:r>
          <m:rPr/>
          <w:rPr>
            <w:rFonts w:ascii="Cambria Math" w:hAnsi="Cambria Math" w:cs="Cambria Math"/>
          </w:rPr>
          <m:t>ξ</m:t>
        </m:r>
      </m:oMath>
      <w:r>
        <w:rPr>
          <w:rFonts w:hint="eastAsia"/>
        </w:rPr>
        <w:t>取0</w:t>
      </w:r>
      <w:r>
        <w:t>.87</w:t>
      </w:r>
      <w:r>
        <w:rPr>
          <w:rFonts w:hint="eastAsia"/>
        </w:rPr>
        <w:t>，c取0</w:t>
      </w:r>
      <w:r>
        <w:t>.85</w:t>
      </w:r>
      <w:r>
        <w:rPr>
          <w:rFonts w:hint="eastAsia"/>
        </w:rPr>
        <w:t>。</w:t>
      </w:r>
    </w:p>
    <w:p>
      <w:pPr>
        <w:pStyle w:val="98"/>
      </w:pPr>
      <w:r>
        <w:rPr>
          <w:b/>
          <w:bCs w:val="0"/>
        </w:rPr>
        <w:fldChar w:fldCharType="begin"/>
      </w:r>
      <w:r>
        <w:rPr>
          <w:b/>
          <w:bCs w:val="0"/>
        </w:rPr>
        <w:instrText xml:space="preserve"> REF _Ref88746864 \r \h  \* MERGEFORMAT </w:instrText>
      </w:r>
      <w:r>
        <w:rPr>
          <w:b/>
          <w:bCs w:val="0"/>
        </w:rPr>
        <w:fldChar w:fldCharType="separate"/>
      </w:r>
      <w:r>
        <w:rPr>
          <w:b/>
          <w:bCs w:val="0"/>
        </w:rPr>
        <w:t>3. 3. 7</w:t>
      </w:r>
      <w:r>
        <w:rPr>
          <w:b/>
          <w:bCs w:val="0"/>
        </w:rPr>
        <w:fldChar w:fldCharType="end"/>
      </w:r>
      <w:r>
        <w:tab/>
      </w:r>
      <w:r>
        <w:rPr>
          <w:rFonts w:hint="eastAsia"/>
        </w:rPr>
        <w:t>压接装配框架在风荷载或多遇地震作用下采用弹性方法验算楼层位移角时，可忽略梁中预应力作用。采用钢管混凝土柱的压接装配框架的弹性层间位移角限值可按现行国家标准《钢管混凝土结构技术规范》GB 50936的规定确定。压接装配框架在罕遇地震作用下的层间位移应按本规程</w:t>
      </w:r>
      <w:r>
        <w:rPr>
          <w:highlight w:val="yellow"/>
        </w:rPr>
        <w:fldChar w:fldCharType="begin"/>
      </w:r>
      <w:r>
        <w:instrText xml:space="preserve"> </w:instrText>
      </w:r>
      <w:r>
        <w:rPr>
          <w:rFonts w:hint="eastAsia"/>
        </w:rPr>
        <w:instrText xml:space="preserve">REF _Ref167263470 \r \h</w:instrText>
      </w:r>
      <w:r>
        <w:instrText xml:space="preserve"> </w:instrText>
      </w:r>
      <w:r>
        <w:rPr>
          <w:highlight w:val="yellow"/>
        </w:rPr>
        <w:fldChar w:fldCharType="separate"/>
      </w:r>
      <w:r>
        <w:rPr>
          <w:rFonts w:hint="eastAsia"/>
        </w:rPr>
        <w:t>附录B</w:t>
      </w:r>
      <w:r>
        <w:rPr>
          <w:highlight w:val="yellow"/>
        </w:rPr>
        <w:fldChar w:fldCharType="end"/>
      </w:r>
      <w:r>
        <w:rPr>
          <w:rFonts w:hint="eastAsia"/>
        </w:rPr>
        <w:t>进行计算，楼板根据实际情况采用弹性、刚性或分块刚性假定计算。</w:t>
      </w:r>
    </w:p>
    <w:p>
      <w:pPr>
        <w:pStyle w:val="99"/>
      </w:pPr>
      <w:r>
        <w:rPr>
          <w:rFonts w:hint="eastAsia"/>
        </w:rPr>
        <w:t>试验研究表明，压接装配框架结构具有比现浇结构更好的延性，结构整体位移角达到1/25的情况下结构的损伤很小且主要集中于梁柱结合面处。虽然压接装配框架较现浇框架具有更好的延性，但考虑到压接装配框架与现浇（或装配整体式）结构一起使用的情况，采用了与现浇结构一致的层间位移角限值。当压接装配框架与钢结构、组合结构、混合结构、耗能减震结构或隔震结构混合使用时，应参照相关标准确定结构的层间位移角限值。</w:t>
      </w:r>
    </w:p>
    <w:p/>
    <w:p>
      <w:pPr>
        <w:pStyle w:val="100"/>
        <w:ind w:firstLine="482"/>
      </w:pPr>
      <w:bookmarkStart w:id="646" w:name="_Toc202345853"/>
      <w:r>
        <w:t xml:space="preserve">3.4  </w:t>
      </w:r>
      <w:r>
        <w:rPr>
          <w:rFonts w:hint="eastAsia"/>
        </w:rPr>
        <w:t>一体化建造</w:t>
      </w:r>
      <w:bookmarkEnd w:id="646"/>
    </w:p>
    <w:p>
      <w:pPr>
        <w:pStyle w:val="98"/>
      </w:pPr>
      <w:r>
        <w:rPr>
          <w:b/>
          <w:bCs w:val="0"/>
        </w:rPr>
        <w:fldChar w:fldCharType="begin"/>
      </w:r>
      <w:r>
        <w:rPr>
          <w:b/>
          <w:bCs w:val="0"/>
        </w:rPr>
        <w:instrText xml:space="preserve"> REF _Ref198028742 \r \h  \* MERGEFORMAT </w:instrText>
      </w:r>
      <w:r>
        <w:rPr>
          <w:b/>
          <w:bCs w:val="0"/>
        </w:rPr>
        <w:fldChar w:fldCharType="separate"/>
      </w:r>
      <w:r>
        <w:rPr>
          <w:b/>
          <w:bCs w:val="0"/>
        </w:rPr>
        <w:t>3. 4. 1</w:t>
      </w:r>
      <w:r>
        <w:rPr>
          <w:b/>
          <w:bCs w:val="0"/>
        </w:rPr>
        <w:fldChar w:fldCharType="end"/>
      </w:r>
      <w:r>
        <w:tab/>
      </w:r>
      <w:r>
        <w:t>协同配合在装配式建造过程中</w:t>
      </w:r>
      <w:r>
        <w:rPr>
          <w:rFonts w:hint="eastAsia"/>
        </w:rPr>
        <w:t>十分</w:t>
      </w:r>
      <w:r>
        <w:t>重要，特别是对于预应力压接</w:t>
      </w:r>
      <w:r>
        <w:rPr>
          <w:rFonts w:hint="eastAsia"/>
        </w:rPr>
        <w:t>装配式结构</w:t>
      </w:r>
      <w:r>
        <w:t>这种对构件精度和安装工序要求较高的体系。协同工作机制是指通过组织、流程、技术和信息平台等手段，确保项目各参与方和各专业之间能够高效、顺畅地沟通、协调与配合。</w:t>
      </w:r>
    </w:p>
    <w:p>
      <w:pPr>
        <w:pStyle w:val="99"/>
      </w:pPr>
      <w:r>
        <w:rPr>
          <w:rFonts w:hint="eastAsia"/>
        </w:rPr>
        <w:t>为保证上述协同工作机制，可采用以下保证措施：</w:t>
      </w:r>
    </w:p>
    <w:p>
      <w:pPr>
        <w:pStyle w:val="99"/>
      </w:pPr>
      <w:r>
        <w:rPr>
          <w:rFonts w:hint="eastAsia"/>
        </w:rPr>
        <w:t>1</w:t>
      </w:r>
      <w:r>
        <w:t xml:space="preserve">. </w:t>
      </w:r>
      <w:r>
        <w:rPr>
          <w:rFonts w:hint="eastAsia"/>
        </w:rPr>
        <w:t>清晰界定各参与方和各专业之间的工作内容、技术接口、责任边界及信息共享方式。建立有效的设计变更、现场问题及质量缺陷处理的协调流程和决策机制。</w:t>
      </w:r>
    </w:p>
    <w:p>
      <w:pPr>
        <w:pStyle w:val="99"/>
      </w:pPr>
      <w:r>
        <w:rPr>
          <w:rFonts w:hint="eastAsia"/>
        </w:rPr>
        <w:t>2</w:t>
      </w:r>
      <w:r>
        <w:t xml:space="preserve">. </w:t>
      </w:r>
      <w:r>
        <w:rPr>
          <w:rFonts w:hint="eastAsia"/>
        </w:rPr>
        <w:t>采用基于BIM技术信息化平台的集成设计与管理模式，实现多专业、多方数据的集成与共享，提高协同效率和决策水平。</w:t>
      </w:r>
    </w:p>
    <w:p>
      <w:pPr>
        <w:pStyle w:val="99"/>
      </w:pPr>
      <w:r>
        <w:rPr>
          <w:rFonts w:hint="eastAsia"/>
        </w:rPr>
        <w:t>3</w:t>
      </w:r>
      <w:r>
        <w:t xml:space="preserve">. </w:t>
      </w:r>
      <w:r>
        <w:rPr>
          <w:rFonts w:hint="eastAsia"/>
        </w:rPr>
        <w:t>构件生产单位应及时向设计及施工单位反馈构件生产中的技术问题和精度控制情况。</w:t>
      </w:r>
    </w:p>
    <w:p>
      <w:pPr>
        <w:pStyle w:val="99"/>
      </w:pPr>
      <w:r>
        <w:rPr>
          <w:rFonts w:hint="eastAsia"/>
        </w:rPr>
        <w:t>4</w:t>
      </w:r>
      <w:r>
        <w:t xml:space="preserve">. </w:t>
      </w:r>
      <w:r>
        <w:rPr>
          <w:rFonts w:hint="eastAsia"/>
        </w:rPr>
        <w:t>施工安装单位应将现场施工条件、安装顺序、吊装方案、临时支撑等信息及时反馈给设计和构件生产单位。</w:t>
      </w:r>
    </w:p>
    <w:p/>
    <w:p/>
    <w:p>
      <w:r>
        <w:br w:type="page"/>
      </w:r>
    </w:p>
    <w:p>
      <w:pPr>
        <w:pStyle w:val="94"/>
      </w:pPr>
      <w:bookmarkStart w:id="647" w:name="_Toc202345854"/>
      <w:r>
        <w:t xml:space="preserve">4  </w:t>
      </w:r>
      <w:r>
        <w:rPr>
          <w:rFonts w:hint="eastAsia"/>
        </w:rPr>
        <w:t>材料</w:t>
      </w:r>
      <w:bookmarkEnd w:id="647"/>
    </w:p>
    <w:p>
      <w:pPr>
        <w:pStyle w:val="100"/>
      </w:pPr>
      <w:bookmarkStart w:id="648" w:name="_Toc202345855"/>
      <w:r>
        <w:rPr>
          <w:rFonts w:hint="eastAsia"/>
        </w:rPr>
        <w:t>4</w:t>
      </w:r>
      <w:r>
        <w:t xml:space="preserve">.1  </w:t>
      </w:r>
      <w:r>
        <w:rPr>
          <w:rFonts w:hint="eastAsia"/>
        </w:rPr>
        <w:t>混凝土、钢筋和钢材</w:t>
      </w:r>
      <w:bookmarkEnd w:id="648"/>
    </w:p>
    <w:p>
      <w:pPr>
        <w:pStyle w:val="98"/>
      </w:pPr>
      <w:r>
        <w:rPr>
          <w:b/>
          <w:bCs w:val="0"/>
        </w:rPr>
        <w:fldChar w:fldCharType="begin"/>
      </w:r>
      <w:r>
        <w:rPr>
          <w:b/>
          <w:bCs w:val="0"/>
        </w:rPr>
        <w:instrText xml:space="preserve"> REF _Ref198031584 \r \h  \* MERGEFORMAT </w:instrText>
      </w:r>
      <w:r>
        <w:rPr>
          <w:b/>
          <w:bCs w:val="0"/>
        </w:rPr>
        <w:fldChar w:fldCharType="separate"/>
      </w:r>
      <w:r>
        <w:rPr>
          <w:b/>
          <w:bCs w:val="0"/>
        </w:rPr>
        <w:t>4. 1. 1</w:t>
      </w:r>
      <w:r>
        <w:rPr>
          <w:b/>
          <w:bCs w:val="0"/>
        </w:rPr>
        <w:fldChar w:fldCharType="end"/>
      </w:r>
      <w:r>
        <w:tab/>
      </w:r>
      <w:r>
        <w:rPr>
          <w:rFonts w:hint="eastAsia"/>
        </w:rPr>
        <w:t>本条参考《高层建筑混凝土结构技术规程》JGJ</w:t>
      </w:r>
      <w:r>
        <w:t xml:space="preserve"> 3</w:t>
      </w:r>
      <w:r>
        <w:rPr>
          <w:rFonts w:hint="eastAsia"/>
        </w:rPr>
        <w:t>给出。采用高强度混凝土可减小柱截面尺寸，给现构件吊装带来便利；采用高强钢筋可有效减少配筋量，从而减少现场钢筋连接接头数量，降低构件间连接钢筋碰撞风险；钢管混凝土不但可以提高延性和承载力，还可大大降低高层建筑预制混凝土构件的吊装重量。</w:t>
      </w:r>
    </w:p>
    <w:p>
      <w:pPr>
        <w:pStyle w:val="98"/>
      </w:pPr>
      <w:r>
        <w:rPr>
          <w:b/>
          <w:bCs w:val="0"/>
        </w:rPr>
        <w:fldChar w:fldCharType="begin"/>
      </w:r>
      <w:r>
        <w:rPr>
          <w:b/>
          <w:bCs w:val="0"/>
        </w:rPr>
        <w:instrText xml:space="preserve"> REF _Ref198031634 \r \h  \* MERGEFORMAT </w:instrText>
      </w:r>
      <w:r>
        <w:rPr>
          <w:b/>
          <w:bCs w:val="0"/>
        </w:rPr>
        <w:fldChar w:fldCharType="separate"/>
      </w:r>
      <w:r>
        <w:rPr>
          <w:b/>
          <w:bCs w:val="0"/>
        </w:rPr>
        <w:t>4. 1. 2</w:t>
      </w:r>
      <w:r>
        <w:rPr>
          <w:b/>
          <w:bCs w:val="0"/>
        </w:rPr>
        <w:fldChar w:fldCharType="end"/>
      </w:r>
      <w:r>
        <w:tab/>
      </w:r>
      <w:r>
        <w:rPr>
          <w:rFonts w:hint="eastAsia"/>
        </w:rPr>
        <w:t>预应力压接装配式结构的混凝土强度等级与现行国家标准《混凝土结构设计标准》GB/T 50010进行了协调。</w:t>
      </w:r>
    </w:p>
    <w:p>
      <w:pPr>
        <w:pStyle w:val="99"/>
      </w:pPr>
      <w:r>
        <w:rPr>
          <w:rFonts w:hint="eastAsia"/>
        </w:rPr>
        <w:t>为了充分发挥预应力混凝土结构的预应力效能，混凝土强度等级不宜过低。由施工顺序决定，压接装配框架结构的预应力只施加于预制构件中，梁与板后浇叠合层中未施加预应力，因此叠合梁和叠合板后浇层混凝土的强度等级可低于预制梁1~2个等级。当两者混凝土强度等级不同时，梁板正常使用状态和承载力极限状态下的设计计算应按实际的混凝土强度等级执行。</w:t>
      </w:r>
    </w:p>
    <w:p>
      <w:pPr>
        <w:pStyle w:val="98"/>
      </w:pPr>
      <w:r>
        <w:rPr>
          <w:b/>
          <w:bCs w:val="0"/>
        </w:rPr>
        <w:fldChar w:fldCharType="begin"/>
      </w:r>
      <w:r>
        <w:rPr>
          <w:b/>
          <w:bCs w:val="0"/>
        </w:rPr>
        <w:instrText xml:space="preserve"> REF _Ref198031680 \r \h  \* MERGEFORMAT </w:instrText>
      </w:r>
      <w:r>
        <w:rPr>
          <w:b/>
          <w:bCs w:val="0"/>
        </w:rPr>
        <w:fldChar w:fldCharType="separate"/>
      </w:r>
      <w:r>
        <w:rPr>
          <w:b/>
          <w:bCs w:val="0"/>
        </w:rPr>
        <w:t>4. 1. 3</w:t>
      </w:r>
      <w:r>
        <w:rPr>
          <w:b/>
          <w:bCs w:val="0"/>
        </w:rPr>
        <w:fldChar w:fldCharType="end"/>
      </w:r>
      <w:r>
        <w:tab/>
      </w:r>
      <w:r>
        <w:rPr>
          <w:rFonts w:hint="eastAsia"/>
        </w:rPr>
        <w:t>梁板柱复合节点梁端耗能钢筋宜选用500MPa级或以上的高强钢筋，以节约材料，提高经济性。自复位梁柱节点中的耗能钢筋可根据需要采用屈服点较低的钢筋以保证其良好的自复位能力。</w:t>
      </w:r>
    </w:p>
    <w:p/>
    <w:p>
      <w:pPr>
        <w:pStyle w:val="100"/>
      </w:pPr>
      <w:bookmarkStart w:id="649" w:name="_Toc202345856"/>
      <w:r>
        <w:rPr>
          <w:rFonts w:hint="eastAsia"/>
        </w:rPr>
        <w:t>4</w:t>
      </w:r>
      <w:r>
        <w:t xml:space="preserve">.2  </w:t>
      </w:r>
      <w:r>
        <w:rPr>
          <w:rFonts w:hint="eastAsia"/>
        </w:rPr>
        <w:t>预应力材料</w:t>
      </w:r>
      <w:bookmarkEnd w:id="649"/>
    </w:p>
    <w:p>
      <w:pPr>
        <w:pStyle w:val="98"/>
      </w:pPr>
      <w:r>
        <w:rPr>
          <w:b/>
          <w:bCs w:val="0"/>
        </w:rPr>
        <w:fldChar w:fldCharType="begin"/>
      </w:r>
      <w:r>
        <w:rPr>
          <w:b/>
          <w:bCs w:val="0"/>
        </w:rPr>
        <w:instrText xml:space="preserve"> REF _Ref198031942 \r \h  \* MERGEFORMAT </w:instrText>
      </w:r>
      <w:r>
        <w:rPr>
          <w:b/>
          <w:bCs w:val="0"/>
        </w:rPr>
        <w:fldChar w:fldCharType="separate"/>
      </w:r>
      <w:r>
        <w:rPr>
          <w:b/>
          <w:bCs w:val="0"/>
        </w:rPr>
        <w:t>4. 2. 3</w:t>
      </w:r>
      <w:r>
        <w:rPr>
          <w:b/>
          <w:bCs w:val="0"/>
        </w:rPr>
        <w:fldChar w:fldCharType="end"/>
      </w:r>
      <w:r>
        <w:tab/>
      </w:r>
      <w:r>
        <w:rPr>
          <w:rFonts w:hint="eastAsia"/>
        </w:rPr>
        <w:t>金属波纹管连接管一般采用比被连接管直径大5mm的同波形连接管连接，被连接管端部应切割平整，避免预应力钢绞线施工穿筋时遇到阻碍。</w:t>
      </w:r>
    </w:p>
    <w:p/>
    <w:p>
      <w:pPr>
        <w:pStyle w:val="100"/>
      </w:pPr>
      <w:bookmarkStart w:id="650" w:name="_Toc202345857"/>
      <w:r>
        <w:rPr>
          <w:rFonts w:hint="eastAsia"/>
        </w:rPr>
        <w:t>4</w:t>
      </w:r>
      <w:r>
        <w:t xml:space="preserve">.3  </w:t>
      </w:r>
      <w:r>
        <w:rPr>
          <w:rFonts w:hint="eastAsia"/>
        </w:rPr>
        <w:t>连接材料</w:t>
      </w:r>
      <w:bookmarkEnd w:id="650"/>
    </w:p>
    <w:p>
      <w:pPr>
        <w:pStyle w:val="98"/>
      </w:pPr>
      <w:r>
        <w:rPr>
          <w:b/>
          <w:bCs w:val="0"/>
        </w:rPr>
        <w:fldChar w:fldCharType="begin"/>
      </w:r>
      <w:r>
        <w:rPr>
          <w:b/>
          <w:bCs w:val="0"/>
        </w:rPr>
        <w:instrText xml:space="preserve"> REF _Ref86074041 \r \h  \* MERGEFORMAT </w:instrText>
      </w:r>
      <w:r>
        <w:rPr>
          <w:b/>
          <w:bCs w:val="0"/>
        </w:rPr>
        <w:fldChar w:fldCharType="separate"/>
      </w:r>
      <w:r>
        <w:rPr>
          <w:b/>
          <w:bCs w:val="0"/>
        </w:rPr>
        <w:t>4. 3. 1</w:t>
      </w:r>
      <w:r>
        <w:rPr>
          <w:b/>
          <w:bCs w:val="0"/>
        </w:rPr>
        <w:fldChar w:fldCharType="end"/>
      </w:r>
      <w:r>
        <w:tab/>
      </w:r>
      <w:r>
        <w:rPr>
          <w:rFonts w:hint="eastAsia"/>
        </w:rPr>
        <w:t>美国规范规定无收缩水泥基灌浆料的纤维体积掺量不应小于0</w:t>
      </w:r>
      <w:r>
        <w:t>.1%</w:t>
      </w:r>
      <w:r>
        <w:rPr>
          <w:rFonts w:hint="eastAsia"/>
        </w:rPr>
        <w:t>，本规程依据编制组实验研究结果，对纤维体积参量略微提高，当纤维掺量大于1.0%时，</w:t>
      </w:r>
      <w:r>
        <w:t>灌浆料拌合物浆体</w:t>
      </w:r>
      <w:r>
        <w:rPr>
          <w:rFonts w:hint="eastAsia"/>
        </w:rPr>
        <w:t>流动度显著下降，不适合此处窄缝灌浆。因接缝处的灌浆料强度高于预制梁柱构件，添加纤维的目的不是进一步提高强度。在罕遇地震作用导致的梁柱接缝处反复开合情况下，掺有纤维的灌浆料可以有效防止局部压碎脱落。</w:t>
      </w:r>
    </w:p>
    <w:p/>
    <w:p>
      <w:r>
        <w:br w:type="page"/>
      </w:r>
    </w:p>
    <w:p>
      <w:pPr>
        <w:pStyle w:val="94"/>
      </w:pPr>
      <w:bookmarkStart w:id="651" w:name="_Toc202345858"/>
      <w:r>
        <w:rPr>
          <w:rFonts w:hint="eastAsia"/>
        </w:rPr>
        <w:t>5</w:t>
      </w:r>
      <w:r>
        <w:t xml:space="preserve">  </w:t>
      </w:r>
      <w:r>
        <w:rPr>
          <w:rFonts w:hint="eastAsia"/>
        </w:rPr>
        <w:t>结构分析与设计</w:t>
      </w:r>
      <w:bookmarkEnd w:id="651"/>
    </w:p>
    <w:p>
      <w:pPr>
        <w:pStyle w:val="100"/>
      </w:pPr>
      <w:bookmarkStart w:id="652" w:name="_Toc202345859"/>
      <w:r>
        <w:rPr>
          <w:rFonts w:hint="eastAsia"/>
        </w:rPr>
        <w:t>5.1  一般规定</w:t>
      </w:r>
      <w:bookmarkEnd w:id="652"/>
    </w:p>
    <w:p>
      <w:pPr>
        <w:pStyle w:val="98"/>
      </w:pPr>
      <w:r>
        <w:rPr>
          <w:b/>
          <w:bCs w:val="0"/>
        </w:rPr>
        <w:fldChar w:fldCharType="begin"/>
      </w:r>
      <w:r>
        <w:rPr>
          <w:b/>
          <w:bCs w:val="0"/>
        </w:rPr>
        <w:instrText xml:space="preserve"> REF _Ref198036615 \r \h  \* MERGEFORMAT </w:instrText>
      </w:r>
      <w:r>
        <w:rPr>
          <w:b/>
          <w:bCs w:val="0"/>
        </w:rPr>
        <w:fldChar w:fldCharType="separate"/>
      </w:r>
      <w:r>
        <w:rPr>
          <w:b/>
          <w:bCs w:val="0"/>
        </w:rPr>
        <w:t>5. 1. 1</w:t>
      </w:r>
      <w:r>
        <w:rPr>
          <w:b/>
          <w:bCs w:val="0"/>
        </w:rPr>
        <w:fldChar w:fldCharType="end"/>
      </w:r>
      <w:r>
        <w:tab/>
      </w:r>
      <w:r>
        <w:rPr>
          <w:rFonts w:hint="eastAsia"/>
        </w:rPr>
        <w:t>压接装配框架作为框架结构的一种形式，即可以单独抗侧力，也可以与抗震墙、支撑和核心筒等共同使用形成双重抗侧力体系。压接装配板柱由于其侧向刚度较弱，单独使用难以满足我国规范规定的层间位移角限值，本规程建议与抗震墙共同使用形成压接装配板柱-抗震墙结构。本章给出压接装配框架和压接装配板柱相关的结构分析、构件设计、连接计算和构造要求等内容，传统抗震墙、支撑和核心筒等的设计可参考国家现行相关规范执行。</w:t>
      </w:r>
    </w:p>
    <w:p>
      <w:pPr>
        <w:pStyle w:val="98"/>
      </w:pPr>
      <w:r>
        <w:rPr>
          <w:b/>
          <w:bCs w:val="0"/>
        </w:rPr>
        <w:fldChar w:fldCharType="begin"/>
      </w:r>
      <w:r>
        <w:rPr>
          <w:b/>
          <w:bCs w:val="0"/>
        </w:rPr>
        <w:instrText xml:space="preserve"> REF _Ref198036656 \r \h  \* MERGEFORMAT </w:instrText>
      </w:r>
      <w:r>
        <w:rPr>
          <w:b/>
          <w:bCs w:val="0"/>
        </w:rPr>
        <w:fldChar w:fldCharType="separate"/>
      </w:r>
      <w:r>
        <w:rPr>
          <w:b/>
          <w:bCs w:val="0"/>
        </w:rPr>
        <w:t>5. 1. 3</w:t>
      </w:r>
      <w:r>
        <w:rPr>
          <w:b/>
          <w:bCs w:val="0"/>
        </w:rPr>
        <w:fldChar w:fldCharType="end"/>
      </w:r>
      <w:r>
        <w:tab/>
      </w:r>
      <w:r>
        <w:rPr>
          <w:rFonts w:hint="eastAsia"/>
        </w:rPr>
        <w:t>梁柱节点区的预应力筋孔道张拉完成后需进行孔道灌浆，且由于节点区预压应力的存在，压接装配框架梁柱节点核心区的抗剪承载力较现浇结构有所提高。本条仍按现行国家标准《建筑抗震设计标准》GB</w:t>
      </w:r>
      <w:r>
        <w:t>/T</w:t>
      </w:r>
      <w:r>
        <w:rPr>
          <w:rFonts w:hint="eastAsia"/>
        </w:rPr>
        <w:t xml:space="preserve"> 50011附录D的“框架梁柱节点核心区截面抗震验算”规定执行，便于设计应用且更加安全。四级框架节点可不进行验算，但应符合抗震构造措施的要求。</w:t>
      </w:r>
    </w:p>
    <w:p>
      <w:pPr>
        <w:pStyle w:val="98"/>
      </w:pPr>
      <w:r>
        <w:rPr>
          <w:b/>
          <w:bCs w:val="0"/>
        </w:rPr>
        <w:fldChar w:fldCharType="begin"/>
      </w:r>
      <w:r>
        <w:rPr>
          <w:b/>
          <w:bCs w:val="0"/>
        </w:rPr>
        <w:instrText xml:space="preserve"> REF _Ref198036717 \r \h  \* MERGEFORMAT </w:instrText>
      </w:r>
      <w:r>
        <w:rPr>
          <w:b/>
          <w:bCs w:val="0"/>
        </w:rPr>
        <w:fldChar w:fldCharType="separate"/>
      </w:r>
      <w:r>
        <w:rPr>
          <w:b/>
          <w:bCs w:val="0"/>
        </w:rPr>
        <w:t>5. 1. 4</w:t>
      </w:r>
      <w:r>
        <w:rPr>
          <w:b/>
          <w:bCs w:val="0"/>
        </w:rPr>
        <w:fldChar w:fldCharType="end"/>
      </w:r>
      <w:r>
        <w:tab/>
      </w:r>
      <w:r>
        <w:rPr>
          <w:rFonts w:hint="eastAsia"/>
        </w:rPr>
        <w:t>压接装配框架结构已有的工程经验多为梁、柱中心线重合。考虑到实际工程需求的多样性，本规程允许梁柱中心线偏心，但偏心距较现浇混凝土框架结构的通常要求适当从严，梁柱中心线有偏心时，须在计算中考虑梁柱偏心的不利影响。梁柱中心线偏心的做法不适用于圆形柱。</w:t>
      </w:r>
    </w:p>
    <w:p>
      <w:pPr>
        <w:pStyle w:val="98"/>
      </w:pPr>
      <w:r>
        <w:rPr>
          <w:b/>
          <w:bCs w:val="0"/>
        </w:rPr>
        <w:fldChar w:fldCharType="begin"/>
      </w:r>
      <w:r>
        <w:rPr>
          <w:b/>
          <w:bCs w:val="0"/>
        </w:rPr>
        <w:instrText xml:space="preserve"> REF _Ref198036757 \r \h  \* MERGEFORMAT </w:instrText>
      </w:r>
      <w:r>
        <w:rPr>
          <w:b/>
          <w:bCs w:val="0"/>
        </w:rPr>
        <w:fldChar w:fldCharType="separate"/>
      </w:r>
      <w:r>
        <w:rPr>
          <w:b/>
          <w:bCs w:val="0"/>
        </w:rPr>
        <w:t>5. 1. 5</w:t>
      </w:r>
      <w:r>
        <w:rPr>
          <w:b/>
          <w:bCs w:val="0"/>
        </w:rPr>
        <w:fldChar w:fldCharType="end"/>
      </w:r>
      <w:r>
        <w:tab/>
      </w:r>
      <w:r>
        <w:rPr>
          <w:rFonts w:hint="eastAsia"/>
        </w:rPr>
        <w:t>梁板柱复合节点，预应力筋布置在预制叠合梁预制部分的截面质心或偏下处。自复位梁柱节点，预应力筋布置在全预制梁的质心处。</w:t>
      </w:r>
    </w:p>
    <w:p>
      <w:pPr>
        <w:pStyle w:val="98"/>
      </w:pPr>
      <w:r>
        <w:rPr>
          <w:b/>
          <w:bCs w:val="0"/>
        </w:rPr>
        <w:fldChar w:fldCharType="begin"/>
      </w:r>
      <w:r>
        <w:rPr>
          <w:b/>
          <w:bCs w:val="0"/>
        </w:rPr>
        <w:instrText xml:space="preserve"> REF _Ref198036806 \r \h  \* MERGEFORMAT </w:instrText>
      </w:r>
      <w:r>
        <w:rPr>
          <w:b/>
          <w:bCs w:val="0"/>
        </w:rPr>
        <w:fldChar w:fldCharType="separate"/>
      </w:r>
      <w:r>
        <w:rPr>
          <w:b/>
          <w:bCs w:val="0"/>
        </w:rPr>
        <w:t>5. 1. 6</w:t>
      </w:r>
      <w:r>
        <w:rPr>
          <w:b/>
          <w:bCs w:val="0"/>
        </w:rPr>
        <w:fldChar w:fldCharType="end"/>
      </w:r>
      <w:r>
        <w:tab/>
      </w:r>
      <w:r>
        <w:rPr>
          <w:rFonts w:hint="eastAsia"/>
        </w:rPr>
        <w:t>此条参考美国相关规定给出。为防止罕遇地震作用下预应力钢绞线进入塑性或断裂，应控制其有效预应力最大值。预应力筋的有效预应力宜取0.50</w:t>
      </w:r>
      <m:oMath>
        <m:sSub>
          <m:sSubPr>
            <m:ctrlPr>
              <w:rPr>
                <w:rFonts w:hint="eastAsia" w:ascii="Cambria Math" w:hAnsi="Cambria Math"/>
              </w:rPr>
            </m:ctrlPr>
          </m:sSubPr>
          <m:e>
            <m:r>
              <m:rPr/>
              <w:rPr>
                <w:rFonts w:hint="eastAsia" w:ascii="Cambria Math" w:hAnsi="Cambria Math"/>
              </w:rPr>
              <m:t>f</m:t>
            </m:r>
            <m:ctrlPr>
              <w:rPr>
                <w:rFonts w:hint="eastAsia" w:ascii="Cambria Math" w:hAnsi="Cambria Math"/>
              </w:rPr>
            </m:ctrlPr>
          </m:e>
          <m:sub>
            <m:r>
              <m:rPr>
                <m:sty m:val="p"/>
              </m:rPr>
              <w:rPr>
                <w:rFonts w:hint="eastAsia" w:ascii="Cambria Math" w:hAnsi="Cambria Math"/>
              </w:rPr>
              <m:t>ptk</m:t>
            </m:r>
            <m:ctrlPr>
              <w:rPr>
                <w:rFonts w:hint="eastAsia" w:ascii="Cambria Math" w:hAnsi="Cambria Math"/>
              </w:rPr>
            </m:ctrlPr>
          </m:sub>
        </m:sSub>
      </m:oMath>
      <w:r>
        <w:rPr>
          <w:rFonts w:hint="eastAsia"/>
        </w:rPr>
        <w:t>~0.65</w:t>
      </w:r>
      <m:oMath>
        <m:sSub>
          <m:sSubPr>
            <m:ctrlPr>
              <w:rPr>
                <w:rFonts w:hint="eastAsia" w:ascii="Cambria Math" w:hAnsi="Cambria Math"/>
              </w:rPr>
            </m:ctrlPr>
          </m:sSubPr>
          <m:e>
            <m:r>
              <m:rPr/>
              <w:rPr>
                <w:rFonts w:hint="eastAsia" w:ascii="Cambria Math" w:hAnsi="Cambria Math"/>
              </w:rPr>
              <m:t>f</m:t>
            </m:r>
            <m:ctrlPr>
              <w:rPr>
                <w:rFonts w:hint="eastAsia" w:ascii="Cambria Math" w:hAnsi="Cambria Math"/>
              </w:rPr>
            </m:ctrlPr>
          </m:e>
          <m:sub>
            <m:r>
              <m:rPr>
                <m:sty m:val="p"/>
              </m:rPr>
              <w:rPr>
                <w:rFonts w:hint="eastAsia" w:ascii="Cambria Math" w:hAnsi="Cambria Math"/>
              </w:rPr>
              <m:t>ptk</m:t>
            </m:r>
            <m:ctrlPr>
              <w:rPr>
                <w:rFonts w:hint="eastAsia" w:ascii="Cambria Math" w:hAnsi="Cambria Math"/>
              </w:rPr>
            </m:ctrlPr>
          </m:sub>
        </m:sSub>
      </m:oMath>
      <w:r>
        <w:rPr>
          <w:rFonts w:hint="eastAsia"/>
        </w:rPr>
        <w:t>。</w:t>
      </w:r>
    </w:p>
    <w:p>
      <w:pPr>
        <w:pStyle w:val="98"/>
      </w:pPr>
      <w:r>
        <w:rPr>
          <w:b/>
          <w:bCs w:val="0"/>
        </w:rPr>
        <w:fldChar w:fldCharType="begin"/>
      </w:r>
      <w:r>
        <w:rPr>
          <w:b/>
          <w:bCs w:val="0"/>
        </w:rPr>
        <w:instrText xml:space="preserve"> REF _Ref198036845 \r \h  \* MERGEFORMAT </w:instrText>
      </w:r>
      <w:r>
        <w:rPr>
          <w:b/>
          <w:bCs w:val="0"/>
        </w:rPr>
        <w:fldChar w:fldCharType="separate"/>
      </w:r>
      <w:r>
        <w:rPr>
          <w:b/>
          <w:bCs w:val="0"/>
        </w:rPr>
        <w:t>5. 1. 7</w:t>
      </w:r>
      <w:r>
        <w:rPr>
          <w:b/>
          <w:bCs w:val="0"/>
        </w:rPr>
        <w:fldChar w:fldCharType="end"/>
      </w:r>
      <w:r>
        <w:tab/>
      </w:r>
      <w:r>
        <w:rPr>
          <w:rFonts w:hint="eastAsia"/>
        </w:rPr>
        <w:t>框架柱采用多层柱，可减少柱柱连接数量，有利于提高效率和减少连接材料用量。单节柱过长会增加吊装和运输难度，也不便于在预应力张拉过程中对柱内次内力进行控制，因此给出了单节柱的最大长度建议。采用后浇叠合混凝土的预制混凝土空心柱或钢管混凝土柱可降低制作、储运和施工安装各环节对起重设备的性能要求。</w:t>
      </w:r>
    </w:p>
    <w:p>
      <w:pPr>
        <w:pStyle w:val="98"/>
      </w:pPr>
      <w:r>
        <w:rPr>
          <w:b/>
          <w:bCs w:val="0"/>
        </w:rPr>
        <w:fldChar w:fldCharType="begin"/>
      </w:r>
      <w:r>
        <w:rPr>
          <w:b/>
          <w:bCs w:val="0"/>
        </w:rPr>
        <w:instrText xml:space="preserve"> REF _Ref198036887 \r \h  \* MERGEFORMAT </w:instrText>
      </w:r>
      <w:r>
        <w:rPr>
          <w:b/>
          <w:bCs w:val="0"/>
        </w:rPr>
        <w:fldChar w:fldCharType="separate"/>
      </w:r>
      <w:r>
        <w:rPr>
          <w:b/>
          <w:bCs w:val="0"/>
        </w:rPr>
        <w:t>5. 1. 8</w:t>
      </w:r>
      <w:r>
        <w:rPr>
          <w:b/>
          <w:bCs w:val="0"/>
        </w:rPr>
        <w:fldChar w:fldCharType="end"/>
      </w:r>
      <w:r>
        <w:tab/>
      </w:r>
      <w:r>
        <w:rPr>
          <w:rFonts w:hint="eastAsia"/>
        </w:rPr>
        <w:t>带后浇叠合层的预应力混凝土空心板的荷载传递模式介与单向板和双向板之间。本条建议支承梁按单向板导荷配筋，毗邻梁考虑叠合层的作用，按双向板分担一部分荷载进行配筋，总体是偏于安全的。</w:t>
      </w:r>
    </w:p>
    <w:p/>
    <w:p>
      <w:pPr>
        <w:pStyle w:val="100"/>
      </w:pPr>
      <w:bookmarkStart w:id="653" w:name="_Toc202345860"/>
      <w:r>
        <w:rPr>
          <w:rFonts w:hint="eastAsia"/>
        </w:rPr>
        <w:t>5</w:t>
      </w:r>
      <w:r>
        <w:t xml:space="preserve">.2  </w:t>
      </w:r>
      <w:r>
        <w:rPr>
          <w:rFonts w:hint="eastAsia"/>
        </w:rPr>
        <w:t>结构</w:t>
      </w:r>
      <w:r>
        <w:t>分析</w:t>
      </w:r>
      <w:bookmarkEnd w:id="653"/>
    </w:p>
    <w:p>
      <w:pPr>
        <w:pStyle w:val="98"/>
      </w:pPr>
      <w:r>
        <w:rPr>
          <w:b/>
          <w:bCs w:val="0"/>
        </w:rPr>
        <w:t>5.2.1</w:t>
      </w:r>
      <w:r>
        <w:tab/>
      </w:r>
      <w:r>
        <w:rPr>
          <w:rFonts w:hint="eastAsia"/>
        </w:rPr>
        <w:t>应根据情况考虑预应力作用、温度作用、收缩徐变作用、约束作用和地基不均匀沉陷作用、施工顺序以及由于荷载偏心所产生的扭转和横向均匀分布荷载等因素。</w:t>
      </w:r>
    </w:p>
    <w:p>
      <w:pPr>
        <w:pStyle w:val="98"/>
      </w:pPr>
      <w:r>
        <w:rPr>
          <w:b/>
          <w:bCs w:val="0"/>
        </w:rPr>
        <w:fldChar w:fldCharType="begin"/>
      </w:r>
      <w:r>
        <w:rPr>
          <w:b/>
          <w:bCs w:val="0"/>
        </w:rPr>
        <w:instrText xml:space="preserve"> REF _Ref198036997 \r \h  \* MERGEFORMAT </w:instrText>
      </w:r>
      <w:r>
        <w:rPr>
          <w:b/>
          <w:bCs w:val="0"/>
        </w:rPr>
        <w:fldChar w:fldCharType="separate"/>
      </w:r>
      <w:r>
        <w:rPr>
          <w:b/>
          <w:bCs w:val="0"/>
        </w:rPr>
        <w:t>5. 2. 2</w:t>
      </w:r>
      <w:r>
        <w:rPr>
          <w:b/>
          <w:bCs w:val="0"/>
        </w:rPr>
        <w:fldChar w:fldCharType="end"/>
      </w:r>
      <w:r>
        <w:tab/>
      </w:r>
      <w:r>
        <w:rPr>
          <w:rFonts w:hint="eastAsia"/>
        </w:rPr>
        <w:t>预应力张拉时，预制柱的约束作用会在梁或等代梁内产生次内力（主要为次轴力）效应，应在内力计算时予以考虑。</w:t>
      </w:r>
    </w:p>
    <w:p>
      <w:pPr>
        <w:pStyle w:val="99"/>
      </w:pPr>
      <w:bookmarkStart w:id="654" w:name="_Hlk175151815"/>
      <w:r>
        <w:rPr>
          <w:rFonts w:hint="eastAsia"/>
        </w:rPr>
        <w:t>节点对比试验研究表明，压接装配框架较现浇框架结构具有更好的刚度、承载能力和抗震性能，在弹性状态下符合节点刚接假定。为方便设计，并与现有设计规程相衔接，在弹性阶段（恒、活、风荷载、温度等持久设计状况或多遇地震作用下）的结构整体分析可以采用现有混凝土结构常用的设计分析软件进行内力计算。</w:t>
      </w:r>
      <w:bookmarkEnd w:id="654"/>
    </w:p>
    <w:p>
      <w:pPr>
        <w:pStyle w:val="98"/>
      </w:pPr>
      <w:r>
        <w:rPr>
          <w:b/>
          <w:bCs w:val="0"/>
        </w:rPr>
        <w:fldChar w:fldCharType="begin"/>
      </w:r>
      <w:r>
        <w:rPr>
          <w:b/>
          <w:bCs w:val="0"/>
        </w:rPr>
        <w:instrText xml:space="preserve"> REF _Ref198037031 \r \h  \* MERGEFORMAT </w:instrText>
      </w:r>
      <w:r>
        <w:rPr>
          <w:b/>
          <w:bCs w:val="0"/>
        </w:rPr>
        <w:fldChar w:fldCharType="separate"/>
      </w:r>
      <w:r>
        <w:rPr>
          <w:b/>
          <w:bCs w:val="0"/>
        </w:rPr>
        <w:t>5. 2. 3</w:t>
      </w:r>
      <w:r>
        <w:rPr>
          <w:b/>
          <w:bCs w:val="0"/>
        </w:rPr>
        <w:fldChar w:fldCharType="end"/>
      </w:r>
      <w:r>
        <w:tab/>
      </w:r>
      <w:r>
        <w:rPr>
          <w:rFonts w:hint="eastAsia"/>
        </w:rPr>
        <w:t>计算结构的弹性周期、位移、扭转位移指标时，可采用强制刚性楼板假定模型，刚性楼板假定模型应考虑翼缘作用对梁刚度进行放大，梁刚度放大系数可按现行国家标准《混凝土结构设计标准》GB</w:t>
      </w:r>
      <w:r>
        <w:t>/T</w:t>
      </w:r>
      <w:r>
        <w:rPr>
          <w:rFonts w:hint="eastAsia"/>
        </w:rPr>
        <w:t xml:space="preserve"> 50010中规定的受弯构件有效翼缘计算宽度折算。</w:t>
      </w:r>
    </w:p>
    <w:p>
      <w:pPr>
        <w:pStyle w:val="99"/>
      </w:pPr>
      <w:r>
        <w:rPr>
          <w:rFonts w:hint="eastAsia"/>
        </w:rPr>
        <w:t>北京地区抗震设防烈度较高，参照美国规范，对于采用带叠合层的预应力空心板楼面的结构，按弹性隔板计算楼板平面内刚度时，仅考虑其上后浇叠合层的平面内刚度。</w:t>
      </w:r>
    </w:p>
    <w:p>
      <w:pPr>
        <w:pStyle w:val="98"/>
      </w:pPr>
      <w:r>
        <w:rPr>
          <w:b/>
          <w:bCs w:val="0"/>
        </w:rPr>
        <w:fldChar w:fldCharType="begin"/>
      </w:r>
      <w:r>
        <w:rPr>
          <w:b/>
          <w:bCs w:val="0"/>
        </w:rPr>
        <w:instrText xml:space="preserve"> REF _Ref86135196 \r \h  \* MERGEFORMAT </w:instrText>
      </w:r>
      <w:r>
        <w:rPr>
          <w:b/>
          <w:bCs w:val="0"/>
        </w:rPr>
        <w:fldChar w:fldCharType="separate"/>
      </w:r>
      <w:r>
        <w:rPr>
          <w:b/>
          <w:bCs w:val="0"/>
        </w:rPr>
        <w:t>5. 2. 4</w:t>
      </w:r>
      <w:r>
        <w:rPr>
          <w:b/>
          <w:bCs w:val="0"/>
        </w:rPr>
        <w:fldChar w:fldCharType="end"/>
      </w:r>
      <w:r>
        <w:tab/>
      </w:r>
      <w:r>
        <w:rPr>
          <w:rFonts w:hint="eastAsia"/>
        </w:rPr>
        <w:t>对框架梁端负弯矩进行调幅可减少梁端配筋，有利于实现强柱弱梁和强剪弱弯的抗震性能目标。现行行业标准《高层建筑混凝土结构技术规程》JGJ 3中对装配整体式结构的弯矩调幅系数取0.7~0.8，现行国家标准《混凝土结构设计标准》GB</w:t>
      </w:r>
      <w:r>
        <w:t>/T</w:t>
      </w:r>
      <w:r>
        <w:rPr>
          <w:rFonts w:hint="eastAsia"/>
        </w:rPr>
        <w:t xml:space="preserve"> 50010中对预应力结构的弯矩调幅系数取值为0.8。此处综合考虑，规定压接装配框架的梁端弯矩调幅系数取值为0.75。</w:t>
      </w:r>
    </w:p>
    <w:p>
      <w:pPr>
        <w:pStyle w:val="99"/>
      </w:pPr>
      <w:r>
        <w:rPr>
          <w:rFonts w:hint="eastAsia"/>
        </w:rPr>
        <w:t>框架梁跨中截面正弯矩设计值不应小于竖向荷载作用下按简支梁计算的跨中弯矩设计值的65%，较现行行业标准《高层建筑混凝土结构技术规程》JGJ 3中规定的不小于按简支梁计算的跨中弯矩设计值的50%的规定适当提高。</w:t>
      </w:r>
    </w:p>
    <w:p>
      <w:pPr>
        <w:pStyle w:val="98"/>
      </w:pPr>
      <w:r>
        <w:rPr>
          <w:b/>
          <w:bCs w:val="0"/>
        </w:rPr>
        <w:fldChar w:fldCharType="begin"/>
      </w:r>
      <w:r>
        <w:rPr>
          <w:b/>
          <w:bCs w:val="0"/>
        </w:rPr>
        <w:instrText xml:space="preserve"> REF _Ref198037172 \r \h  \* MERGEFORMAT </w:instrText>
      </w:r>
      <w:r>
        <w:rPr>
          <w:b/>
          <w:bCs w:val="0"/>
        </w:rPr>
        <w:fldChar w:fldCharType="separate"/>
      </w:r>
      <w:r>
        <w:rPr>
          <w:b/>
          <w:bCs w:val="0"/>
        </w:rPr>
        <w:t>5. 2. 7</w:t>
      </w:r>
      <w:r>
        <w:rPr>
          <w:b/>
          <w:bCs w:val="0"/>
        </w:rPr>
        <w:fldChar w:fldCharType="end"/>
      </w:r>
      <w:r>
        <w:tab/>
      </w:r>
      <w:r>
        <w:rPr>
          <w:rFonts w:hint="eastAsia"/>
        </w:rPr>
        <w:t>调幅系数0</w:t>
      </w:r>
      <w:r>
        <w:t>.8</w:t>
      </w:r>
      <w:r>
        <w:rPr>
          <w:rFonts w:hint="eastAsia"/>
        </w:rPr>
        <w:t>按现行规范习惯，定义为调幅后值/调幅前值，与《整体预应力装配式板柱结构技术规程》CECS 52 : 2010一致。</w:t>
      </w:r>
    </w:p>
    <w:p/>
    <w:p>
      <w:pPr>
        <w:pStyle w:val="98"/>
      </w:pPr>
      <w:r>
        <w:rPr>
          <w:b/>
          <w:bCs w:val="0"/>
        </w:rPr>
        <w:fldChar w:fldCharType="begin"/>
      </w:r>
      <w:r>
        <w:rPr>
          <w:b/>
          <w:bCs w:val="0"/>
        </w:rPr>
        <w:instrText xml:space="preserve"> REF _Ref198037214 \r \h  \* MERGEFORMAT </w:instrText>
      </w:r>
      <w:r>
        <w:rPr>
          <w:b/>
          <w:bCs w:val="0"/>
        </w:rPr>
        <w:fldChar w:fldCharType="separate"/>
      </w:r>
      <w:r>
        <w:rPr>
          <w:b/>
          <w:bCs w:val="0"/>
        </w:rPr>
        <w:t>5. 2. 8</w:t>
      </w:r>
      <w:r>
        <w:rPr>
          <w:b/>
          <w:bCs w:val="0"/>
        </w:rPr>
        <w:fldChar w:fldCharType="end"/>
      </w:r>
      <w:r>
        <w:tab/>
      </w:r>
      <w:r>
        <w:rPr>
          <w:rFonts w:hint="eastAsia"/>
        </w:rPr>
        <w:t>本条列出需要进行罕遇地震作用下的结构薄弱层的弹塑性变形验算的情况。已有的工程经验表明，对于不属于本条要求的规则结构按本规程进行第一阶段多遇地震弹性设计配筋并采取必要的构造措施后，基本可实现第二阶段罕遇地震结构不倒塌的基本性能目标。</w:t>
      </w:r>
    </w:p>
    <w:p>
      <w:pPr>
        <w:pStyle w:val="98"/>
      </w:pPr>
      <w:r>
        <w:rPr>
          <w:b/>
          <w:bCs w:val="0"/>
        </w:rPr>
        <w:fldChar w:fldCharType="begin"/>
      </w:r>
      <w:r>
        <w:rPr>
          <w:b/>
          <w:bCs w:val="0"/>
        </w:rPr>
        <w:instrText xml:space="preserve"> REF _Ref89252999 \r \h  \* MERGEFORMAT </w:instrText>
      </w:r>
      <w:r>
        <w:rPr>
          <w:b/>
          <w:bCs w:val="0"/>
        </w:rPr>
        <w:fldChar w:fldCharType="separate"/>
      </w:r>
      <w:r>
        <w:rPr>
          <w:b/>
          <w:bCs w:val="0"/>
        </w:rPr>
        <w:t>5. 2. 9</w:t>
      </w:r>
      <w:r>
        <w:rPr>
          <w:b/>
          <w:bCs w:val="0"/>
        </w:rPr>
        <w:fldChar w:fldCharType="end"/>
      </w:r>
      <w:r>
        <w:tab/>
      </w:r>
      <w:r>
        <w:rPr>
          <w:rFonts w:hint="eastAsia"/>
        </w:rPr>
        <w:t>本条建议采用规程</w:t>
      </w:r>
      <w:r>
        <w:fldChar w:fldCharType="begin"/>
      </w:r>
      <w:r>
        <w:instrText xml:space="preserve"> </w:instrText>
      </w:r>
      <w:r>
        <w:rPr>
          <w:rFonts w:hint="eastAsia"/>
        </w:rPr>
        <w:instrText xml:space="preserve">REF _Ref173246766 \r \h</w:instrText>
      </w:r>
      <w:r>
        <w:instrText xml:space="preserve"> </w:instrText>
      </w:r>
      <w:r>
        <w:fldChar w:fldCharType="separate"/>
      </w:r>
      <w:r>
        <w:rPr>
          <w:rFonts w:hint="eastAsia"/>
        </w:rPr>
        <w:t>附录B</w:t>
      </w:r>
      <w:r>
        <w:fldChar w:fldCharType="end"/>
      </w:r>
      <w:r>
        <w:rPr>
          <w:rFonts w:hint="eastAsia"/>
        </w:rPr>
        <w:t>中的压接装配梁柱节点弹塑性分析模型进行弹塑性分析，该模型已经试验验证能够较好地模拟梁柱交接面的开合行为且适合工程计算。</w:t>
      </w:r>
    </w:p>
    <w:p/>
    <w:p>
      <w:pPr>
        <w:pStyle w:val="100"/>
      </w:pPr>
      <w:bookmarkStart w:id="655" w:name="_Toc202345861"/>
      <w:r>
        <w:rPr>
          <w:rFonts w:hint="eastAsia"/>
        </w:rPr>
        <w:t>5</w:t>
      </w:r>
      <w:r>
        <w:t>.3  梁</w:t>
      </w:r>
      <w:r>
        <w:rPr>
          <w:rFonts w:hint="eastAsia"/>
        </w:rPr>
        <w:t>柱构件</w:t>
      </w:r>
      <w:r>
        <w:t>设计</w:t>
      </w:r>
      <w:bookmarkEnd w:id="655"/>
    </w:p>
    <w:p>
      <w:pPr>
        <w:pStyle w:val="98"/>
      </w:pPr>
      <w:r>
        <w:rPr>
          <w:b/>
          <w:bCs w:val="0"/>
        </w:rPr>
        <w:fldChar w:fldCharType="begin"/>
      </w:r>
      <w:r>
        <w:rPr>
          <w:b/>
          <w:bCs w:val="0"/>
        </w:rPr>
        <w:instrText xml:space="preserve"> REF _Ref167092387 \r \h  \* MERGEFORMAT </w:instrText>
      </w:r>
      <w:r>
        <w:rPr>
          <w:b/>
          <w:bCs w:val="0"/>
        </w:rPr>
        <w:fldChar w:fldCharType="separate"/>
      </w:r>
      <w:r>
        <w:rPr>
          <w:b/>
          <w:bCs w:val="0"/>
        </w:rPr>
        <w:t>5. 3. 1</w:t>
      </w:r>
      <w:r>
        <w:rPr>
          <w:b/>
          <w:bCs w:val="0"/>
        </w:rPr>
        <w:fldChar w:fldCharType="end"/>
      </w:r>
      <w:r>
        <w:tab/>
      </w:r>
      <w:r>
        <w:rPr>
          <w:rFonts w:hint="eastAsia"/>
        </w:rPr>
        <w:t>压接装配框架梁的预应力钢绞线通常为直线配筋。当梁跨度较大时（大于</w:t>
      </w:r>
      <w:r>
        <w:t>10</w:t>
      </w:r>
      <w:r>
        <w:rPr>
          <w:rFonts w:hint="eastAsia"/>
        </w:rPr>
        <w:t>米），梁跨中截面处预应力钢绞线可以局部下弯到靠近梁底位置，以提高梁跨中截面的抗弯刚度。</w:t>
      </w:r>
    </w:p>
    <w:p>
      <w:pPr>
        <w:pStyle w:val="99"/>
      </w:pPr>
      <w:r>
        <w:rPr>
          <w:rFonts w:hint="eastAsia"/>
        </w:rPr>
        <w:t>梁端与预制柱的接触面是预应力摩擦抗剪的保证，为了避免工厂制作粗糙面时水洗工艺对环境和成本的影响，梁端面设置键槽（</w:t>
      </w:r>
      <w:r>
        <w:fldChar w:fldCharType="begin"/>
      </w:r>
      <w:r>
        <w:instrText xml:space="preserve"> </w:instrText>
      </w:r>
      <w:r>
        <w:rPr>
          <w:rFonts w:hint="eastAsia"/>
        </w:rPr>
        <w:instrText xml:space="preserve">REF _Ref191631829 \h</w:instrText>
      </w:r>
      <w:r>
        <w:instrText xml:space="preserve"> </w:instrText>
      </w:r>
      <w:r>
        <w:fldChar w:fldCharType="separate"/>
      </w:r>
      <w:r>
        <w:rPr>
          <w:rFonts w:hint="eastAsia"/>
        </w:rPr>
        <w:t>图</w:t>
      </w:r>
      <w:r>
        <w:t>9</w:t>
      </w:r>
      <w:r>
        <w:fldChar w:fldCharType="end"/>
      </w:r>
      <w:r>
        <w:rPr>
          <w:rFonts w:hint="eastAsia"/>
        </w:rPr>
        <w:t>）和粗糙面，该工艺经过工程实践验证，安全可靠。梁端面金属波纹管伸出一定长度，以便于安装过程中预应力孔道密封。</w:t>
      </w:r>
    </w:p>
    <w:p>
      <w:pPr>
        <w:pStyle w:val="111"/>
      </w:pPr>
      <w:r>
        <w:drawing>
          <wp:inline distT="0" distB="0" distL="0" distR="0">
            <wp:extent cx="2179955" cy="1703705"/>
            <wp:effectExtent l="0" t="0" r="0" b="0"/>
            <wp:docPr id="48" name="图形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形 48"/>
                    <pic:cNvPicPr>
                      <a:picLocks noChangeAspect="true"/>
                    </pic:cNvPicPr>
                  </pic:nvPicPr>
                  <pic:blipFill>
                    <a:blip r:embed="rId60">
                      <a:extLst>
                        <a:ext uri="{96DAC541-7B7A-43D3-8B79-37D633B846F1}">
                          <asvg:svgBlip xmlns:asvg="http://schemas.microsoft.com/office/drawing/2016/SVG/main" r:embed="rId61"/>
                        </a:ext>
                      </a:extLst>
                    </a:blip>
                    <a:stretch>
                      <a:fillRect/>
                    </a:stretch>
                  </pic:blipFill>
                  <pic:spPr>
                    <a:xfrm>
                      <a:off x="0" y="0"/>
                      <a:ext cx="2201157" cy="1720445"/>
                    </a:xfrm>
                    <a:prstGeom prst="rect">
                      <a:avLst/>
                    </a:prstGeom>
                  </pic:spPr>
                </pic:pic>
              </a:graphicData>
            </a:graphic>
          </wp:inline>
        </w:drawing>
      </w:r>
    </w:p>
    <w:p>
      <w:pPr>
        <w:pStyle w:val="111"/>
      </w:pPr>
      <w:bookmarkStart w:id="656" w:name="_Ref191631829"/>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bookmarkEnd w:id="656"/>
      <w:r>
        <w:t xml:space="preserve">  预制梁端面</w:t>
      </w:r>
    </w:p>
    <w:p>
      <w:pPr>
        <w:pStyle w:val="111"/>
      </w:pPr>
      <w:r>
        <w:t>1—梁端面；2—金属波纹管</w:t>
      </w:r>
    </w:p>
    <w:p>
      <w:pPr>
        <w:pStyle w:val="99"/>
      </w:pPr>
      <w:r>
        <w:rPr>
          <w:rFonts w:hint="eastAsia"/>
        </w:rPr>
        <w:t>梁端耗能钢筋宜采用高强度、大直径钢筋，以提高施工效率，节约钢材。采用并筋方式时应按其等效直径进行承载力计算。</w:t>
      </w:r>
    </w:p>
    <w:p>
      <w:pPr>
        <w:pStyle w:val="99"/>
      </w:pPr>
      <w:r>
        <w:rPr>
          <w:rFonts w:hint="eastAsia"/>
        </w:rPr>
        <w:t>采用梁板柱复合梁柱节点时，框架梁叠合层厚度不小于150mm可为梁端耗能钢筋的铺设提供操作空间。另一方面，框架梁端部的预应力筋位置不宜过低，以免梁端极限负弯矩作用下预应力钢绞线的预应力损失过多或梁端正弯矩作用下预应力钢绞线应力过高；同时，也有利于适当降低梁端底部混凝土的局部预压力，控制施工过程中预制梁的反拱值。</w:t>
      </w:r>
    </w:p>
    <w:p>
      <w:pPr>
        <w:pStyle w:val="99"/>
      </w:pPr>
      <w:r>
        <w:rPr>
          <w:rFonts w:hint="eastAsia"/>
        </w:rPr>
        <w:t>本条给出了梁柱节点区预应力筋无粘段长度最小值建议（</w:t>
      </w:r>
      <w:r>
        <w:fldChar w:fldCharType="begin"/>
      </w:r>
      <w:r>
        <w:instrText xml:space="preserve"> </w:instrText>
      </w:r>
      <w:r>
        <w:rPr>
          <w:rFonts w:hint="eastAsia"/>
        </w:rPr>
        <w:instrText xml:space="preserve">REF _Ref191631750 \h</w:instrText>
      </w:r>
      <w:r>
        <w:instrText xml:space="preserve"> </w:instrText>
      </w:r>
      <w:r>
        <w:fldChar w:fldCharType="separate"/>
      </w:r>
      <w:r>
        <w:rPr>
          <w:rFonts w:hint="eastAsia"/>
        </w:rPr>
        <w:t>图</w:t>
      </w:r>
      <w:r>
        <w:t>10</w:t>
      </w:r>
      <w:r>
        <w:fldChar w:fldCharType="end"/>
      </w:r>
      <w:r>
        <w:rPr>
          <w:rFonts w:hint="eastAsia"/>
        </w:rPr>
        <w:t>）。实际工程中框架梁净跨度小于4m的情况不多，有粘结段能够提高结构的抗连续倒塌能力。主编单位完成的足尺试验研究表明，梁跨中的有粘结段将预应力钢绞线意外破断的影响范围限制于局部梁段内，其他梁段区间的预应力不受影响。但另一方面，保证预应力钢绞线无粘结段的最小长度有助于降低预应力钢绞线在结构极限位移下的应变，当本条第</w:t>
      </w:r>
      <w:r>
        <w:t>5</w:t>
      </w:r>
      <w:r>
        <w:rPr>
          <w:rFonts w:hint="eastAsia"/>
        </w:rPr>
        <w:t>款不能同时满足时，预应力钢绞线可不设有粘结段。</w:t>
      </w:r>
    </w:p>
    <w:p>
      <w:pPr>
        <w:pStyle w:val="111"/>
        <w:rPr>
          <w:highlight w:val="yellow"/>
        </w:rPr>
      </w:pPr>
      <w:r>
        <w:drawing>
          <wp:inline distT="0" distB="0" distL="0" distR="0">
            <wp:extent cx="3854450" cy="1517650"/>
            <wp:effectExtent l="0" t="0" r="0" b="0"/>
            <wp:docPr id="53" name="图形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形 53"/>
                    <pic:cNvPicPr>
                      <a:picLocks noChangeAspect="true"/>
                    </pic:cNvPicPr>
                  </pic:nvPicPr>
                  <pic:blipFill>
                    <a:blip r:embed="rId62">
                      <a:extLst>
                        <a:ext uri="{96DAC541-7B7A-43D3-8B79-37D633B846F1}">
                          <asvg:svgBlip xmlns:asvg="http://schemas.microsoft.com/office/drawing/2016/SVG/main" r:embed="rId63"/>
                        </a:ext>
                      </a:extLst>
                    </a:blip>
                    <a:stretch>
                      <a:fillRect/>
                    </a:stretch>
                  </pic:blipFill>
                  <pic:spPr>
                    <a:xfrm>
                      <a:off x="0" y="0"/>
                      <a:ext cx="3864997" cy="1522247"/>
                    </a:xfrm>
                    <a:prstGeom prst="rect">
                      <a:avLst/>
                    </a:prstGeom>
                  </pic:spPr>
                </pic:pic>
              </a:graphicData>
            </a:graphic>
          </wp:inline>
        </w:drawing>
      </w:r>
    </w:p>
    <w:p>
      <w:pPr>
        <w:pStyle w:val="111"/>
      </w:pPr>
      <w:bookmarkStart w:id="657" w:name="_Ref191631750"/>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10</w:t>
      </w:r>
      <w:r>
        <w:fldChar w:fldCharType="end"/>
      </w:r>
      <w:bookmarkEnd w:id="657"/>
      <w:r>
        <w:t xml:space="preserve">  </w:t>
      </w:r>
      <w:r>
        <w:rPr>
          <w:rFonts w:hint="eastAsia"/>
        </w:rPr>
        <w:t>预应力筋无粘结段长度（耗能钢筋未示出）</w:t>
      </w:r>
    </w:p>
    <w:p>
      <w:pPr>
        <w:pStyle w:val="69"/>
      </w:pPr>
      <w:r>
        <w:t>1—</w:t>
      </w:r>
      <w:r>
        <w:rPr>
          <w:rFonts w:hint="eastAsia"/>
        </w:rPr>
        <w:t>预制柱</w:t>
      </w:r>
      <w:r>
        <w:t>；2—</w:t>
      </w:r>
      <w:r>
        <w:rPr>
          <w:rFonts w:hint="eastAsia"/>
        </w:rPr>
        <w:t>叠合梁</w:t>
      </w:r>
      <w:r>
        <w:t>；3—预应力钢绞线</w:t>
      </w:r>
      <w:r>
        <w:rPr>
          <w:rFonts w:hint="eastAsia"/>
        </w:rPr>
        <w:t>局部有粘结段</w:t>
      </w:r>
    </w:p>
    <w:p>
      <w:pPr>
        <w:pStyle w:val="98"/>
      </w:pPr>
      <w:r>
        <w:rPr>
          <w:b/>
          <w:bCs w:val="0"/>
        </w:rPr>
        <w:fldChar w:fldCharType="begin"/>
      </w:r>
      <w:r>
        <w:rPr>
          <w:b/>
          <w:bCs w:val="0"/>
        </w:rPr>
        <w:instrText xml:space="preserve"> REF _Ref198037604 \r \h  \* MERGEFORMAT </w:instrText>
      </w:r>
      <w:r>
        <w:rPr>
          <w:b/>
          <w:bCs w:val="0"/>
        </w:rPr>
        <w:fldChar w:fldCharType="separate"/>
      </w:r>
      <w:r>
        <w:rPr>
          <w:b/>
          <w:bCs w:val="0"/>
        </w:rPr>
        <w:t>5. 3. 3</w:t>
      </w:r>
      <w:r>
        <w:rPr>
          <w:b/>
          <w:bCs w:val="0"/>
        </w:rPr>
        <w:fldChar w:fldCharType="end"/>
      </w:r>
      <w:r>
        <w:tab/>
      </w:r>
      <w:r>
        <w:rPr>
          <w:rFonts w:hint="eastAsia"/>
        </w:rPr>
        <w:t>框架梁跨中截面上部钢筋水平拉结作用对结构整体抗连续倒塌有利，本条规定了跨中上部钢筋的最小配筋量，且要保证跨中上部钢筋与梁端耗能钢筋有效搭接。根据国家标准《混凝土结构设计标准》GB</w:t>
      </w:r>
      <w:r>
        <w:t>/T</w:t>
      </w:r>
      <w:r>
        <w:rPr>
          <w:rFonts w:hint="eastAsia"/>
        </w:rPr>
        <w:t xml:space="preserve"> 50010的规定，受弯构件中的钢筋采用搭接时，受拉钢筋直径不宜大于25mm。</w:t>
      </w:r>
    </w:p>
    <w:p>
      <w:pPr>
        <w:pStyle w:val="98"/>
      </w:pPr>
      <w:r>
        <w:rPr>
          <w:b/>
          <w:bCs w:val="0"/>
        </w:rPr>
        <w:fldChar w:fldCharType="begin"/>
      </w:r>
      <w:r>
        <w:rPr>
          <w:b/>
          <w:bCs w:val="0"/>
        </w:rPr>
        <w:instrText xml:space="preserve"> REF _Ref198037718 \r \h  \* MERGEFORMAT </w:instrText>
      </w:r>
      <w:r>
        <w:rPr>
          <w:b/>
          <w:bCs w:val="0"/>
        </w:rPr>
        <w:fldChar w:fldCharType="separate"/>
      </w:r>
      <w:r>
        <w:rPr>
          <w:b/>
          <w:bCs w:val="0"/>
        </w:rPr>
        <w:t>5. 3. 4</w:t>
      </w:r>
      <w:r>
        <w:rPr>
          <w:b/>
          <w:bCs w:val="0"/>
        </w:rPr>
        <w:fldChar w:fldCharType="end"/>
      </w:r>
      <w:r>
        <w:tab/>
      </w:r>
      <w:bookmarkStart w:id="658" w:name="_Hlk175152134"/>
      <w:r>
        <w:rPr>
          <w:rFonts w:hint="eastAsia"/>
        </w:rPr>
        <w:t>采用梁板柱复合梁柱节点的压接装配框架梁端的正弯矩由预应力筋承担，梁底的普通钢筋不必伸入柱中，因此梁底的抗弯纵向普通钢筋可以根据抗弯承载力需要在适当位置进行截断，以提高梁配筋的经济性。结合本规程第</w:t>
      </w:r>
      <w:r>
        <w:fldChar w:fldCharType="begin"/>
      </w:r>
      <w:r>
        <w:instrText xml:space="preserve"> </w:instrText>
      </w:r>
      <w:r>
        <w:rPr>
          <w:rFonts w:hint="eastAsia"/>
        </w:rPr>
        <w:instrText xml:space="preserve">REF _Ref86135196 \r \h</w:instrText>
      </w:r>
      <w:r>
        <w:instrText xml:space="preserve"> </w:instrText>
      </w:r>
      <w:r>
        <w:fldChar w:fldCharType="separate"/>
      </w:r>
      <w:r>
        <w:t>5. 2. 4</w:t>
      </w:r>
      <w:r>
        <w:fldChar w:fldCharType="end"/>
      </w:r>
      <w:r>
        <w:rPr>
          <w:rFonts w:hint="eastAsia"/>
        </w:rPr>
        <w:t>条梁跨中截面正弯矩设计值不小于按简支梁计算的跨中截面弯矩设计值的65%的规定，梁跨中截面抗弯承载力具有足够的安全储备。</w:t>
      </w:r>
    </w:p>
    <w:p>
      <w:pPr>
        <w:pStyle w:val="99"/>
      </w:pPr>
      <w:r>
        <w:rPr>
          <w:rFonts w:hint="eastAsia"/>
        </w:rPr>
        <w:t>本条规定限制了跨中附加钢筋截断位置和面积占比（</w:t>
      </w:r>
      <w:r>
        <w:fldChar w:fldCharType="begin"/>
      </w:r>
      <w:r>
        <w:instrText xml:space="preserve"> </w:instrText>
      </w:r>
      <w:r>
        <w:rPr>
          <w:rFonts w:hint="eastAsia"/>
        </w:rPr>
        <w:instrText xml:space="preserve">REF _Ref191631974 \h</w:instrText>
      </w:r>
      <w:r>
        <w:instrText xml:space="preserve"> </w:instrText>
      </w:r>
      <w:r>
        <w:fldChar w:fldCharType="separate"/>
      </w:r>
      <w:r>
        <w:rPr>
          <w:rFonts w:hint="eastAsia"/>
        </w:rPr>
        <w:t>图</w:t>
      </w:r>
      <w:r>
        <w:t>11</w:t>
      </w:r>
      <w:r>
        <w:fldChar w:fldCharType="end"/>
      </w:r>
      <w:r>
        <w:rPr>
          <w:rFonts w:hint="eastAsia"/>
        </w:rPr>
        <w:t>），以避免梁底纵筋截断位置可能引发的裂缝开展蔓延引起的失效。计算跨中纵向受拉钢筋总面积时，可将跨中预应力钢绞线按有效预应力等代为同承载力的普通钢筋面积计算。</w:t>
      </w:r>
      <w:bookmarkEnd w:id="658"/>
    </w:p>
    <w:p>
      <w:pPr>
        <w:pStyle w:val="111"/>
      </w:pPr>
      <w:r>
        <w:drawing>
          <wp:inline distT="0" distB="0" distL="0" distR="0">
            <wp:extent cx="4635500" cy="1727200"/>
            <wp:effectExtent l="0" t="0" r="0" b="635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noChangeArrowheads="true"/>
                    </pic:cNvPicPr>
                  </pic:nvPicPr>
                  <pic:blipFill>
                    <a:blip r:embed="rId64">
                      <a:extLst>
                        <a:ext uri="{28A0092B-C50C-407E-A947-70E740481C1C}">
                          <a14:useLocalDpi xmlns:a14="http://schemas.microsoft.com/office/drawing/2010/main" val="false"/>
                        </a:ext>
                      </a:extLst>
                    </a:blip>
                    <a:srcRect/>
                    <a:stretch>
                      <a:fillRect/>
                    </a:stretch>
                  </pic:blipFill>
                  <pic:spPr>
                    <a:xfrm>
                      <a:off x="0" y="0"/>
                      <a:ext cx="4635500" cy="1727200"/>
                    </a:xfrm>
                    <a:prstGeom prst="rect">
                      <a:avLst/>
                    </a:prstGeom>
                    <a:noFill/>
                    <a:ln>
                      <a:noFill/>
                    </a:ln>
                  </pic:spPr>
                </pic:pic>
              </a:graphicData>
            </a:graphic>
          </wp:inline>
        </w:drawing>
      </w:r>
    </w:p>
    <w:p>
      <w:pPr>
        <w:pStyle w:val="111"/>
      </w:pPr>
      <w:bookmarkStart w:id="659" w:name="_Ref19163197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bookmarkEnd w:id="659"/>
      <w:r>
        <w:t xml:space="preserve">  预制梁下部纵向</w:t>
      </w:r>
      <w:r>
        <w:rPr>
          <w:rFonts w:hint="eastAsia"/>
        </w:rPr>
        <w:t>受力</w:t>
      </w:r>
      <w:r>
        <w:t>钢筋</w:t>
      </w:r>
      <w:r>
        <w:rPr>
          <w:rFonts w:hint="eastAsia"/>
        </w:rPr>
        <w:t>配置</w:t>
      </w:r>
      <w:r>
        <w:t>构造</w:t>
      </w:r>
    </w:p>
    <w:p>
      <w:pPr>
        <w:pStyle w:val="111"/>
      </w:pPr>
      <w:r>
        <w:t>1—</w:t>
      </w:r>
      <w:r>
        <w:rPr>
          <w:rFonts w:hint="eastAsia"/>
        </w:rPr>
        <w:t>预制</w:t>
      </w:r>
      <w:r>
        <w:t>梁下部通长</w:t>
      </w:r>
      <w:r>
        <w:rPr>
          <w:rFonts w:hint="eastAsia"/>
        </w:rPr>
        <w:t>纵向受力</w:t>
      </w:r>
      <w:r>
        <w:t>钢筋；2—</w:t>
      </w:r>
      <w:r>
        <w:rPr>
          <w:rFonts w:hint="eastAsia"/>
        </w:rPr>
        <w:t>预制</w:t>
      </w:r>
      <w:r>
        <w:t>梁下部</w:t>
      </w:r>
      <w:r>
        <w:rPr>
          <w:rFonts w:hint="eastAsia"/>
        </w:rPr>
        <w:t>跨中</w:t>
      </w:r>
      <w:r>
        <w:t>附加</w:t>
      </w:r>
      <w:r>
        <w:rPr>
          <w:rFonts w:hint="eastAsia"/>
        </w:rPr>
        <w:t>纵向受力</w:t>
      </w:r>
      <w:r>
        <w:t>钢筋</w:t>
      </w:r>
    </w:p>
    <w:p>
      <w:pPr>
        <w:pStyle w:val="98"/>
      </w:pPr>
      <w:r>
        <w:rPr>
          <w:b/>
          <w:bCs w:val="0"/>
        </w:rPr>
        <w:fldChar w:fldCharType="begin"/>
      </w:r>
      <w:r>
        <w:rPr>
          <w:b/>
          <w:bCs w:val="0"/>
        </w:rPr>
        <w:instrText xml:space="preserve"> REF _Ref88644254 \r \h  \* MERGEFORMAT </w:instrText>
      </w:r>
      <w:r>
        <w:rPr>
          <w:b/>
          <w:bCs w:val="0"/>
        </w:rPr>
        <w:fldChar w:fldCharType="separate"/>
      </w:r>
      <w:r>
        <w:rPr>
          <w:b/>
          <w:bCs w:val="0"/>
        </w:rPr>
        <w:t>5. 3. 5</w:t>
      </w:r>
      <w:r>
        <w:rPr>
          <w:b/>
          <w:bCs w:val="0"/>
        </w:rPr>
        <w:fldChar w:fldCharType="end"/>
      </w:r>
      <w:r>
        <w:tab/>
      </w:r>
      <w:r>
        <w:rPr>
          <w:rFonts w:hint="eastAsia"/>
        </w:rPr>
        <w:t>梁柱节点抗震试验表明，与现浇混凝土梁柱节点不同，压接装配梁柱节点的震后损伤主要集中在梁柱结合面周边区域，因此其箍筋加密区长度较现浇混凝土梁短。</w:t>
      </w:r>
    </w:p>
    <w:p>
      <w:pPr>
        <w:pStyle w:val="99"/>
      </w:pPr>
      <w:r>
        <w:rPr>
          <w:rFonts w:hint="eastAsia"/>
        </w:rPr>
        <w:t>压接装配梁柱节点抗震试验表明，梁柱节点的震后损伤主要集中在梁柱结合面周边区域，因此梁端箍筋的局部加密对提高节点延性有一定作用。</w:t>
      </w:r>
    </w:p>
    <w:p>
      <w:pPr>
        <w:pStyle w:val="99"/>
      </w:pPr>
      <w:r>
        <w:rPr>
          <w:rFonts w:hint="eastAsia"/>
        </w:rPr>
        <w:t>采用梁板柱复合梁柱节点的压接装配框架梁预制部分可采用与现浇梁同样的封闭箍筋，以提高制作和施工效率。同时，为了方便叠合梁端上部纵筋的现场施工，宜在预制梁制作时，将封闭箍筋弯钩设于预制梁内。</w:t>
      </w:r>
    </w:p>
    <w:p>
      <w:pPr>
        <w:pStyle w:val="98"/>
      </w:pPr>
      <w:r>
        <w:rPr>
          <w:b/>
          <w:bCs w:val="0"/>
        </w:rPr>
        <w:fldChar w:fldCharType="begin"/>
      </w:r>
      <w:r>
        <w:rPr>
          <w:b/>
          <w:bCs w:val="0"/>
        </w:rPr>
        <w:instrText xml:space="preserve"> REF _Ref81317778 \r \h  \* MERGEFORMAT </w:instrText>
      </w:r>
      <w:r>
        <w:rPr>
          <w:b/>
          <w:bCs w:val="0"/>
        </w:rPr>
        <w:fldChar w:fldCharType="separate"/>
      </w:r>
      <w:r>
        <w:rPr>
          <w:b/>
          <w:bCs w:val="0"/>
        </w:rPr>
        <w:t>5. 3. 6</w:t>
      </w:r>
      <w:r>
        <w:rPr>
          <w:b/>
          <w:bCs w:val="0"/>
        </w:rPr>
        <w:fldChar w:fldCharType="end"/>
      </w:r>
      <w:r>
        <w:tab/>
      </w:r>
      <w:r>
        <w:rPr>
          <w:rFonts w:hint="eastAsia"/>
        </w:rPr>
        <w:t>梁跨度大于10m时，曲线布置的预应力钢绞线弧度较为平缓，钢绞线穿线施工仍然便利，且能够提高梁跨中承载力，节约钢材（</w:t>
      </w:r>
      <w:r>
        <w:fldChar w:fldCharType="begin"/>
      </w:r>
      <w:r>
        <w:instrText xml:space="preserve"> </w:instrText>
      </w:r>
      <w:r>
        <w:rPr>
          <w:rFonts w:hint="eastAsia"/>
        </w:rPr>
        <w:instrText xml:space="preserve">REF _Ref167267012 \h</w:instrText>
      </w:r>
      <w:r>
        <w:instrText xml:space="preserve"> </w:instrText>
      </w:r>
      <w:r>
        <w:fldChar w:fldCharType="separate"/>
      </w:r>
      <w:r>
        <w:rPr>
          <w:rFonts w:hint="eastAsia"/>
        </w:rPr>
        <w:t>图</w:t>
      </w:r>
      <w:r>
        <w:t>12</w:t>
      </w:r>
      <w:r>
        <w:fldChar w:fldCharType="end"/>
      </w:r>
      <w:r>
        <w:rPr>
          <w:rFonts w:hint="eastAsia"/>
        </w:rPr>
        <w:t>）。预应力筋曲线布置适用梁柱板复合梁柱节点和自复位梁柱节点。</w:t>
      </w:r>
    </w:p>
    <w:p>
      <w:pPr>
        <w:pStyle w:val="111"/>
      </w:pPr>
      <w:r>
        <w:drawing>
          <wp:inline distT="0" distB="0" distL="0" distR="0">
            <wp:extent cx="4070350" cy="1602740"/>
            <wp:effectExtent l="0" t="0" r="6350" b="0"/>
            <wp:docPr id="51" name="图形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形 51"/>
                    <pic:cNvPicPr>
                      <a:picLocks noChangeAspect="true"/>
                    </pic:cNvPicPr>
                  </pic:nvPicPr>
                  <pic:blipFill>
                    <a:blip r:embed="rId65">
                      <a:extLst>
                        <a:ext uri="{96DAC541-7B7A-43D3-8B79-37D633B846F1}">
                          <asvg:svgBlip xmlns:asvg="http://schemas.microsoft.com/office/drawing/2016/SVG/main" r:embed="rId66"/>
                        </a:ext>
                      </a:extLst>
                    </a:blip>
                    <a:stretch>
                      <a:fillRect/>
                    </a:stretch>
                  </pic:blipFill>
                  <pic:spPr>
                    <a:xfrm>
                      <a:off x="0" y="0"/>
                      <a:ext cx="4098022" cy="1614026"/>
                    </a:xfrm>
                    <a:prstGeom prst="rect">
                      <a:avLst/>
                    </a:prstGeom>
                  </pic:spPr>
                </pic:pic>
              </a:graphicData>
            </a:graphic>
          </wp:inline>
        </w:drawing>
      </w:r>
    </w:p>
    <w:p>
      <w:pPr>
        <w:pStyle w:val="111"/>
      </w:pPr>
      <w:bookmarkStart w:id="660" w:name="_Ref167267012"/>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12</w:t>
      </w:r>
      <w:r>
        <w:fldChar w:fldCharType="end"/>
      </w:r>
      <w:bookmarkEnd w:id="660"/>
      <w:r>
        <w:t xml:space="preserve"> 预应力</w:t>
      </w:r>
      <w:r>
        <w:rPr>
          <w:rFonts w:hint="eastAsia"/>
        </w:rPr>
        <w:t>筋</w:t>
      </w:r>
      <w:r>
        <w:t>曲线布置</w:t>
      </w:r>
      <w:r>
        <w:rPr>
          <w:rFonts w:hint="eastAsia"/>
        </w:rPr>
        <w:t>（耗能钢筋未示出）</w:t>
      </w:r>
    </w:p>
    <w:p>
      <w:pPr>
        <w:pStyle w:val="111"/>
      </w:pPr>
      <w:r>
        <w:t>1—预制柱；2—大跨预制梁；3—梁内曲线预应力钢绞线</w:t>
      </w:r>
      <w:r>
        <w:rPr>
          <w:rFonts w:hint="eastAsia"/>
        </w:rPr>
        <w:t>有粘结段</w:t>
      </w:r>
    </w:p>
    <w:p>
      <w:pPr>
        <w:pStyle w:val="98"/>
      </w:pPr>
      <w:r>
        <w:rPr>
          <w:b/>
          <w:bCs w:val="0"/>
        </w:rPr>
        <w:fldChar w:fldCharType="begin"/>
      </w:r>
      <w:r>
        <w:rPr>
          <w:b/>
          <w:bCs w:val="0"/>
        </w:rPr>
        <w:instrText xml:space="preserve"> REF _Ref198037971 \r \h  \* MERGEFORMAT </w:instrText>
      </w:r>
      <w:r>
        <w:rPr>
          <w:b/>
          <w:bCs w:val="0"/>
        </w:rPr>
        <w:fldChar w:fldCharType="separate"/>
      </w:r>
      <w:r>
        <w:rPr>
          <w:b/>
          <w:bCs w:val="0"/>
        </w:rPr>
        <w:t>5. 3. 7</w:t>
      </w:r>
      <w:r>
        <w:rPr>
          <w:b/>
          <w:bCs w:val="0"/>
        </w:rPr>
        <w:fldChar w:fldCharType="end"/>
      </w:r>
      <w:r>
        <w:tab/>
      </w:r>
      <w:r>
        <w:rPr>
          <w:rFonts w:hint="eastAsia"/>
        </w:rPr>
        <w:t>多根锚固于金属波纹管内的钢绞线锚固失效面为孔道灌浆料与金属波纹管之间或金属波纹管与预制混凝土梁之间，因此锚固承载力较单根钢绞线更高，需要的锚固长度更短。因此采用单根预应力钢绞线基本锚固长度作为粘结段长度是安全的。同时考虑到位移极限状态下压接装配框架中的预应力钢绞线的应力控制在</w:t>
      </w:r>
      <m:oMath>
        <m:r>
          <m:rPr>
            <m:sty m:val="p"/>
          </m:rPr>
          <w:rPr>
            <w:rFonts w:hint="eastAsia" w:ascii="Cambria Math" w:hAnsi="Cambria Math"/>
          </w:rPr>
          <m:t>0.95</m:t>
        </m:r>
        <m:sSub>
          <m:sSubPr>
            <m:ctrlPr>
              <w:rPr>
                <w:rFonts w:ascii="Cambria Math" w:hAnsi="Cambria Math"/>
              </w:rPr>
            </m:ctrlPr>
          </m:sSubPr>
          <m:e>
            <m:r>
              <m:rPr>
                <m:sty m:val="p"/>
              </m:rPr>
              <w:rPr>
                <w:rFonts w:ascii="Cambria Math" w:hAnsi="Cambria Math"/>
              </w:rPr>
              <m:t>f</m:t>
            </m:r>
            <m:ctrlPr>
              <w:rPr>
                <w:rFonts w:ascii="Cambria Math" w:hAnsi="Cambria Math"/>
              </w:rPr>
            </m:ctrlPr>
          </m:e>
          <m:sub>
            <m:r>
              <m:rPr>
                <m:sty m:val="p"/>
              </m:rPr>
              <w:rPr>
                <w:rFonts w:ascii="Cambria Math" w:hAnsi="Cambria Math"/>
              </w:rPr>
              <m:t>ptk</m:t>
            </m:r>
            <m:ctrlPr>
              <w:rPr>
                <w:rFonts w:ascii="Cambria Math" w:hAnsi="Cambria Math"/>
              </w:rPr>
            </m:ctrlPr>
          </m:sub>
        </m:sSub>
      </m:oMath>
      <w:r>
        <w:rPr>
          <w:rFonts w:hint="eastAsia"/>
        </w:rPr>
        <w:t>以内，不会拉断。综合以上因素，预应力钢绞线有粘结段长度取为0.8倍单根预应力钢绞线基本锚固长度。单根预应力钢绞线基本锚固长度采用了现行行业标准《预应力混凝土结构设计规范》JGJ 369的规定。</w:t>
      </w:r>
    </w:p>
    <w:p>
      <w:pPr>
        <w:pStyle w:val="98"/>
      </w:pPr>
      <w:r>
        <w:rPr>
          <w:b/>
          <w:bCs w:val="0"/>
        </w:rPr>
        <w:fldChar w:fldCharType="begin"/>
      </w:r>
      <w:r>
        <w:rPr>
          <w:b/>
          <w:bCs w:val="0"/>
        </w:rPr>
        <w:instrText xml:space="preserve"> REF _Ref86136861 \r \h  \* MERGEFORMAT </w:instrText>
      </w:r>
      <w:r>
        <w:rPr>
          <w:b/>
          <w:bCs w:val="0"/>
        </w:rPr>
        <w:fldChar w:fldCharType="separate"/>
      </w:r>
      <w:r>
        <w:rPr>
          <w:b/>
          <w:bCs w:val="0"/>
        </w:rPr>
        <w:t>5. 3. 8</w:t>
      </w:r>
      <w:r>
        <w:rPr>
          <w:b/>
          <w:bCs w:val="0"/>
        </w:rPr>
        <w:fldChar w:fldCharType="end"/>
      </w:r>
      <w:r>
        <w:tab/>
      </w:r>
      <w:r>
        <w:rPr>
          <w:rFonts w:hint="eastAsia"/>
        </w:rPr>
        <w:t>对于带叠合层的预应力空心楼板，当翼缘有效宽度范围内空心板采取灌实措施时，梁翼缘厚度可取楼板总厚度；对于现浇楼板或普通钢筋桁架叠合板，翼缘厚度取实际板厚。</w:t>
      </w:r>
    </w:p>
    <w:p>
      <w:pPr>
        <w:pStyle w:val="98"/>
      </w:pPr>
      <w:r>
        <w:rPr>
          <w:b/>
          <w:bCs w:val="0"/>
        </w:rPr>
        <w:fldChar w:fldCharType="begin"/>
      </w:r>
      <w:r>
        <w:rPr>
          <w:b/>
          <w:bCs w:val="0"/>
        </w:rPr>
        <w:instrText xml:space="preserve"> REF _Ref198038113 \r \h  \* MERGEFORMAT </w:instrText>
      </w:r>
      <w:r>
        <w:rPr>
          <w:b/>
          <w:bCs w:val="0"/>
        </w:rPr>
        <w:fldChar w:fldCharType="separate"/>
      </w:r>
      <w:r>
        <w:rPr>
          <w:b/>
          <w:bCs w:val="0"/>
        </w:rPr>
        <w:t>5. 3. 9</w:t>
      </w:r>
      <w:r>
        <w:rPr>
          <w:b/>
          <w:bCs w:val="0"/>
        </w:rPr>
        <w:fldChar w:fldCharType="end"/>
      </w:r>
      <w:r>
        <w:tab/>
      </w:r>
      <w:r>
        <w:rPr>
          <w:rFonts w:hint="eastAsia"/>
        </w:rPr>
        <w:t>考虑到采用梁板柱复合梁柱节点的压接装配框架梁的跨中预应力筋距梁底位置较远，使用阶段条件下，适当比例的普通钢筋可有效阻止梁底混凝土裂缝开展。</w:t>
      </w:r>
    </w:p>
    <w:p>
      <w:pPr>
        <w:pStyle w:val="98"/>
      </w:pPr>
      <w:r>
        <w:rPr>
          <w:b/>
          <w:bCs w:val="0"/>
        </w:rPr>
        <w:fldChar w:fldCharType="begin"/>
      </w:r>
      <w:r>
        <w:rPr>
          <w:b/>
          <w:bCs w:val="0"/>
        </w:rPr>
        <w:instrText xml:space="preserve"> REF _Ref198038175 \r \h  \* MERGEFORMAT </w:instrText>
      </w:r>
      <w:r>
        <w:rPr>
          <w:b/>
          <w:bCs w:val="0"/>
        </w:rPr>
        <w:fldChar w:fldCharType="separate"/>
      </w:r>
      <w:r>
        <w:rPr>
          <w:b/>
          <w:bCs w:val="0"/>
        </w:rPr>
        <w:t>5. 3. 10</w:t>
      </w:r>
      <w:r>
        <w:rPr>
          <w:b/>
          <w:bCs w:val="0"/>
        </w:rPr>
        <w:fldChar w:fldCharType="end"/>
      </w:r>
      <w:r>
        <w:tab/>
      </w:r>
      <w:r>
        <w:rPr>
          <w:rFonts w:hint="eastAsia"/>
        </w:rPr>
        <w:t>梁端耗能钢筋在柱中锚固长度不足时应采取措施提高锚固能力。</w:t>
      </w:r>
    </w:p>
    <w:p>
      <w:pPr>
        <w:pStyle w:val="98"/>
      </w:pPr>
      <w:r>
        <w:rPr>
          <w:b/>
          <w:bCs w:val="0"/>
        </w:rPr>
        <w:fldChar w:fldCharType="begin"/>
      </w:r>
      <w:r>
        <w:rPr>
          <w:b/>
          <w:bCs w:val="0"/>
        </w:rPr>
        <w:instrText xml:space="preserve"> REF _Ref81321352 \r \h  \* MERGEFORMAT </w:instrText>
      </w:r>
      <w:r>
        <w:rPr>
          <w:b/>
          <w:bCs w:val="0"/>
        </w:rPr>
        <w:fldChar w:fldCharType="separate"/>
      </w:r>
      <w:r>
        <w:rPr>
          <w:b/>
          <w:bCs w:val="0"/>
        </w:rPr>
        <w:t>5. 3. 11</w:t>
      </w:r>
      <w:r>
        <w:rPr>
          <w:b/>
          <w:bCs w:val="0"/>
        </w:rPr>
        <w:fldChar w:fldCharType="end"/>
      </w:r>
      <w:r>
        <w:tab/>
      </w:r>
      <w:r>
        <w:rPr>
          <w:rFonts w:hint="eastAsia"/>
        </w:rPr>
        <w:t>柱纵筋采用大直径钢筋集中布置可有效减少钢筋接头数量，提高工效，本条给出了纵筋集中布置后构造钢筋的设计建议（</w:t>
      </w:r>
      <w:r>
        <w:fldChar w:fldCharType="begin"/>
      </w:r>
      <w:r>
        <w:instrText xml:space="preserve"> </w:instrText>
      </w:r>
      <w:r>
        <w:rPr>
          <w:rFonts w:hint="eastAsia"/>
        </w:rPr>
        <w:instrText xml:space="preserve">REF _Ref191632273 \h</w:instrText>
      </w:r>
      <w:r>
        <w:instrText xml:space="preserve"> </w:instrText>
      </w:r>
      <w:r>
        <w:fldChar w:fldCharType="separate"/>
      </w:r>
      <w:r>
        <w:rPr>
          <w:rFonts w:hint="eastAsia"/>
        </w:rPr>
        <w:t>图</w:t>
      </w:r>
      <w:r>
        <w:t>13</w:t>
      </w:r>
      <w:r>
        <w:fldChar w:fldCharType="end"/>
      </w:r>
      <w:r>
        <w:rPr>
          <w:rFonts w:hint="eastAsia"/>
        </w:rPr>
        <w:t>）。</w:t>
      </w:r>
    </w:p>
    <w:p>
      <w:pPr>
        <w:pStyle w:val="111"/>
      </w:pPr>
      <w:bookmarkStart w:id="661" w:name="_Ref64551714"/>
      <w:r>
        <w:drawing>
          <wp:inline distT="0" distB="0" distL="0" distR="0">
            <wp:extent cx="3409950" cy="1727200"/>
            <wp:effectExtent l="0" t="0" r="0" b="635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noChangeArrowheads="true"/>
                    </pic:cNvPicPr>
                  </pic:nvPicPr>
                  <pic:blipFill>
                    <a:blip r:embed="rId67">
                      <a:extLst>
                        <a:ext uri="{28A0092B-C50C-407E-A947-70E740481C1C}">
                          <a14:useLocalDpi xmlns:a14="http://schemas.microsoft.com/office/drawing/2010/main" val="false"/>
                        </a:ext>
                      </a:extLst>
                    </a:blip>
                    <a:srcRect/>
                    <a:stretch>
                      <a:fillRect/>
                    </a:stretch>
                  </pic:blipFill>
                  <pic:spPr>
                    <a:xfrm>
                      <a:off x="0" y="0"/>
                      <a:ext cx="3409950" cy="1727200"/>
                    </a:xfrm>
                    <a:prstGeom prst="rect">
                      <a:avLst/>
                    </a:prstGeom>
                    <a:noFill/>
                    <a:ln>
                      <a:noFill/>
                    </a:ln>
                  </pic:spPr>
                </pic:pic>
              </a:graphicData>
            </a:graphic>
          </wp:inline>
        </w:drawing>
      </w:r>
    </w:p>
    <w:bookmarkEnd w:id="661"/>
    <w:p>
      <w:pPr>
        <w:pStyle w:val="111"/>
      </w:pPr>
      <w:bookmarkStart w:id="662" w:name="_Ref191632273"/>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13</w:t>
      </w:r>
      <w:r>
        <w:fldChar w:fldCharType="end"/>
      </w:r>
      <w:bookmarkEnd w:id="662"/>
      <w:r>
        <w:rPr>
          <w:rFonts w:hint="eastAsia"/>
        </w:rPr>
        <w:t xml:space="preserve"> </w:t>
      </w:r>
      <w:r>
        <w:t xml:space="preserve"> 框架柱纵筋构造</w:t>
      </w:r>
    </w:p>
    <w:p>
      <w:pPr>
        <w:pStyle w:val="111"/>
      </w:pPr>
      <w:r>
        <w:t>1—</w:t>
      </w:r>
      <w:r>
        <w:rPr>
          <w:rFonts w:hint="eastAsia"/>
        </w:rPr>
        <w:t>框架</w:t>
      </w:r>
      <w:r>
        <w:t>柱；2—</w:t>
      </w:r>
      <w:r>
        <w:rPr>
          <w:rFonts w:hint="eastAsia"/>
        </w:rPr>
        <w:t>框架</w:t>
      </w:r>
      <w:r>
        <w:t>梁；3—纵向</w:t>
      </w:r>
      <w:r>
        <w:rPr>
          <w:rFonts w:hint="eastAsia"/>
        </w:rPr>
        <w:t>构造</w:t>
      </w:r>
      <w:r>
        <w:t>钢筋；4—纵向受力钢筋；5—钢筋灌浆连接套筒</w:t>
      </w:r>
    </w:p>
    <w:p>
      <w:pPr>
        <w:pStyle w:val="98"/>
      </w:pPr>
      <w:r>
        <w:rPr>
          <w:b/>
          <w:bCs w:val="0"/>
        </w:rPr>
        <w:fldChar w:fldCharType="begin"/>
      </w:r>
      <w:r>
        <w:rPr>
          <w:b/>
          <w:bCs w:val="0"/>
        </w:rPr>
        <w:instrText xml:space="preserve"> REF _Ref91606798 \r \h  \* MERGEFORMAT </w:instrText>
      </w:r>
      <w:r>
        <w:rPr>
          <w:b/>
          <w:bCs w:val="0"/>
        </w:rPr>
        <w:fldChar w:fldCharType="separate"/>
      </w:r>
      <w:r>
        <w:rPr>
          <w:b/>
          <w:bCs w:val="0"/>
        </w:rPr>
        <w:t>5. 3. 12</w:t>
      </w:r>
      <w:r>
        <w:rPr>
          <w:b/>
          <w:bCs w:val="0"/>
        </w:rPr>
        <w:fldChar w:fldCharType="end"/>
      </w:r>
      <w:r>
        <w:tab/>
      </w:r>
      <w:r>
        <w:rPr>
          <w:rFonts w:hint="eastAsia"/>
        </w:rPr>
        <w:t>正常设计的梁柱截面，正常使用状态下压接装配框架梁的裂缝和挠度一般能够满足设计要求，不需要验算。压接装配框架梁端底部在正常使用状态下受压，不会开裂，无需验算裂缝宽度。压接装配框架梁跨中底部裂缝与挠度的验算也可参考国内外对带叠合层的预应力空心板的挠度和裂缝计算的相关研究成果与规定。</w:t>
      </w:r>
    </w:p>
    <w:p/>
    <w:p>
      <w:pPr>
        <w:pStyle w:val="100"/>
      </w:pPr>
      <w:bookmarkStart w:id="663" w:name="_Toc202345862"/>
      <w:r>
        <w:rPr>
          <w:rFonts w:hint="eastAsia"/>
        </w:rPr>
        <w:t>5</w:t>
      </w:r>
      <w:r>
        <w:t>.4  楼板设计</w:t>
      </w:r>
      <w:bookmarkEnd w:id="663"/>
    </w:p>
    <w:p>
      <w:pPr>
        <w:pStyle w:val="98"/>
      </w:pPr>
      <w:r>
        <w:rPr>
          <w:b/>
          <w:bCs w:val="0"/>
        </w:rPr>
        <w:fldChar w:fldCharType="begin"/>
      </w:r>
      <w:r>
        <w:rPr>
          <w:b/>
          <w:bCs w:val="0"/>
        </w:rPr>
        <w:instrText xml:space="preserve"> REF _Ref198038352 \r \h  \* MERGEFORMAT </w:instrText>
      </w:r>
      <w:r>
        <w:rPr>
          <w:b/>
          <w:bCs w:val="0"/>
        </w:rPr>
        <w:fldChar w:fldCharType="separate"/>
      </w:r>
      <w:r>
        <w:rPr>
          <w:b/>
          <w:bCs w:val="0"/>
        </w:rPr>
        <w:t>5. 4. 1</w:t>
      </w:r>
      <w:r>
        <w:rPr>
          <w:b/>
          <w:bCs w:val="0"/>
        </w:rPr>
        <w:fldChar w:fldCharType="end"/>
      </w:r>
      <w:r>
        <w:tab/>
      </w:r>
      <w:r>
        <w:rPr>
          <w:rFonts w:hint="eastAsia"/>
        </w:rPr>
        <w:t>带叠合层的楼板对于结构整体性和防水性能有益，在条件允许的情况下优先采用。对于自复位梁柱节点组成的框架，楼板设置叠合层会降低框架的自复位性能，建议采取措施使框架梁端部与楼板形成弱连接。</w:t>
      </w:r>
    </w:p>
    <w:p>
      <w:pPr>
        <w:pStyle w:val="98"/>
      </w:pPr>
      <w:r>
        <w:rPr>
          <w:b/>
          <w:bCs w:val="0"/>
        </w:rPr>
        <w:fldChar w:fldCharType="begin"/>
      </w:r>
      <w:r>
        <w:rPr>
          <w:b/>
          <w:bCs w:val="0"/>
        </w:rPr>
        <w:instrText xml:space="preserve"> REF _Ref198038386 \r \h  \* MERGEFORMAT </w:instrText>
      </w:r>
      <w:r>
        <w:rPr>
          <w:b/>
          <w:bCs w:val="0"/>
        </w:rPr>
        <w:fldChar w:fldCharType="separate"/>
      </w:r>
      <w:r>
        <w:rPr>
          <w:b/>
          <w:bCs w:val="0"/>
        </w:rPr>
        <w:t>5. 4. 2</w:t>
      </w:r>
      <w:r>
        <w:rPr>
          <w:b/>
          <w:bCs w:val="0"/>
        </w:rPr>
        <w:fldChar w:fldCharType="end"/>
      </w:r>
      <w:r>
        <w:tab/>
      </w:r>
      <w:r>
        <w:rPr>
          <w:rFonts w:hint="eastAsia"/>
        </w:rPr>
        <w:t>带叠合层的预应力空心板和预应力双T板具有少次梁、少施工支撑、施工速度快和成本经济的优点。两者一般按单向板设计，设计时应考虑现浇叠合层的作用。由于叠合层的作用，楼板实际受力状态一般介于单向受力和双向受力之间，因此在设计与楼板主受力方向平行的框架梁时，宜适当考虑楼板荷载向梁上分配。</w:t>
      </w:r>
    </w:p>
    <w:p>
      <w:pPr>
        <w:pStyle w:val="98"/>
      </w:pPr>
      <w:r>
        <w:rPr>
          <w:b/>
          <w:bCs w:val="0"/>
        </w:rPr>
        <w:fldChar w:fldCharType="begin"/>
      </w:r>
      <w:r>
        <w:rPr>
          <w:b/>
          <w:bCs w:val="0"/>
        </w:rPr>
        <w:instrText xml:space="preserve"> REF _Ref86138219 \r \h  \* MERGEFORMAT </w:instrText>
      </w:r>
      <w:r>
        <w:rPr>
          <w:b/>
          <w:bCs w:val="0"/>
        </w:rPr>
        <w:fldChar w:fldCharType="separate"/>
      </w:r>
      <w:r>
        <w:rPr>
          <w:b/>
          <w:bCs w:val="0"/>
        </w:rPr>
        <w:t>5. 4. 3</w:t>
      </w:r>
      <w:r>
        <w:rPr>
          <w:b/>
          <w:bCs w:val="0"/>
        </w:rPr>
        <w:fldChar w:fldCharType="end"/>
      </w:r>
      <w:r>
        <w:tab/>
      </w:r>
      <w:r>
        <w:rPr>
          <w:rFonts w:hint="eastAsia"/>
        </w:rPr>
        <w:t>预应力空心板施工阶段支撑少，甚至无支撑，设计时应进行施工阶段验算，以确保安全。</w:t>
      </w:r>
    </w:p>
    <w:p/>
    <w:p>
      <w:pPr>
        <w:pStyle w:val="100"/>
      </w:pPr>
      <w:bookmarkStart w:id="664" w:name="_Toc202345863"/>
      <w:r>
        <w:rPr>
          <w:rFonts w:hint="eastAsia"/>
        </w:rPr>
        <w:t>5</w:t>
      </w:r>
      <w:r>
        <w:t xml:space="preserve">.5  </w:t>
      </w:r>
      <w:r>
        <w:rPr>
          <w:rFonts w:hint="eastAsia"/>
        </w:rPr>
        <w:t>梁柱连接设计</w:t>
      </w:r>
      <w:bookmarkEnd w:id="664"/>
    </w:p>
    <w:p>
      <w:pPr>
        <w:pStyle w:val="98"/>
      </w:pPr>
      <w:r>
        <w:rPr>
          <w:b/>
          <w:bCs w:val="0"/>
        </w:rPr>
        <w:fldChar w:fldCharType="begin"/>
      </w:r>
      <w:r>
        <w:rPr>
          <w:b/>
          <w:bCs w:val="0"/>
        </w:rPr>
        <w:instrText xml:space="preserve"> REF _Ref86675141 \r \h  \* MERGEFORMAT </w:instrText>
      </w:r>
      <w:r>
        <w:rPr>
          <w:b/>
          <w:bCs w:val="0"/>
        </w:rPr>
        <w:fldChar w:fldCharType="separate"/>
      </w:r>
      <w:r>
        <w:rPr>
          <w:b/>
          <w:bCs w:val="0"/>
        </w:rPr>
        <w:t>5. 5. 1</w:t>
      </w:r>
      <w:r>
        <w:rPr>
          <w:b/>
          <w:bCs w:val="0"/>
        </w:rPr>
        <w:fldChar w:fldCharType="end"/>
      </w:r>
      <w:r>
        <w:tab/>
      </w:r>
      <w:bookmarkStart w:id="665" w:name="_Hlk175152354"/>
      <w:r>
        <w:rPr>
          <w:rFonts w:hint="eastAsia"/>
        </w:rPr>
        <w:t>本条用于持久设计状况和多遇地震设计状况下梁板柱复合梁柱节点的梁柱结合面处受弯承载力的设计计算。梁板柱复合梁柱节点的梁柱结合面配筋不对称，本条区分了梁端负弯矩作用和梁端正弯矩作用两种情况。</w:t>
      </w:r>
    </w:p>
    <w:p>
      <w:pPr>
        <w:pStyle w:val="99"/>
      </w:pPr>
      <w:r>
        <w:rPr>
          <w:rFonts w:hint="eastAsia"/>
        </w:rPr>
        <w:t>梁端负弯矩作用下，中性轴位置距预应力钢绞线位置较近，假定梁端负弯矩承载力极限状态下钢绞线应力保持</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pe</m:t>
            </m:r>
            <m:ctrlPr>
              <w:rPr>
                <w:rFonts w:ascii="Cambria Math" w:hAnsi="Cambria Math"/>
              </w:rPr>
            </m:ctrlPr>
          </m:sub>
        </m:sSub>
      </m:oMath>
      <w:r>
        <w:rPr>
          <w:rFonts w:hint="eastAsia"/>
        </w:rPr>
        <w:t>，根据截面力平衡条件得到梁端负弯矩承载力计算公式。</w:t>
      </w:r>
    </w:p>
    <w:p>
      <w:pPr>
        <w:pStyle w:val="99"/>
      </w:pPr>
      <w:r>
        <w:rPr>
          <w:rFonts w:hint="eastAsia"/>
        </w:rPr>
        <w:t>梁端正弯矩作用下，考虑到压接装配框架采用叠合梁和叠合板，梁端正弯矩作用下的受弯承载力可考虑楼板混凝土作用按T形截面计算。由于梁端负弯矩耗能钢筋配筋量一般均较大，梁上部混凝土受压区高度一般小于翼缘高度，本条仅给出了按宽度为</w:t>
      </w:r>
      <m:oMath>
        <m:sSubSup>
          <m:sSubSupPr>
            <m:ctrlPr>
              <w:rPr>
                <w:rFonts w:ascii="Cambria Math" w:hAnsi="Cambria Math"/>
              </w:rPr>
            </m:ctrlPr>
          </m:sSubSupPr>
          <m:e>
            <m:r>
              <m:rPr>
                <m:sty m:val="p"/>
              </m:rPr>
              <w:rPr>
                <w:rFonts w:ascii="Cambria Math" w:hAnsi="Cambria Math"/>
              </w:rPr>
              <m:t>b</m:t>
            </m:r>
            <m:ctrlPr>
              <w:rPr>
                <w:rFonts w:ascii="Cambria Math" w:hAnsi="Cambria Math"/>
              </w:rPr>
            </m:ctrlPr>
          </m:e>
          <m:sub>
            <m:r>
              <m:rPr>
                <m:sty m:val="p"/>
              </m:rPr>
              <w:rPr>
                <w:rFonts w:ascii="Cambria Math" w:hAnsi="Cambria Math"/>
              </w:rPr>
              <m:t>f</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rPr>
          <w:rFonts w:hint="eastAsia"/>
        </w:rPr>
        <w:t>的矩形截面计算公式，受压区高度超过翼缘高度时，可参照现行国家标准《混凝土结构设计标准》GB</w:t>
      </w:r>
      <w:r>
        <w:t>/T</w:t>
      </w:r>
      <w:r>
        <w:rPr>
          <w:rFonts w:hint="eastAsia"/>
        </w:rPr>
        <w:t xml:space="preserve"> 50010的有关规定执行；和现行国家标准《混凝土结构设计标准》GB</w:t>
      </w:r>
      <w:r>
        <w:t>/T</w:t>
      </w:r>
      <w:r>
        <w:rPr>
          <w:rFonts w:hint="eastAsia"/>
        </w:rPr>
        <w:t xml:space="preserve"> 50010的规定一致，当计入普通受压钢筋求得的受压区高度过小时，受压区高度取最小值。</w:t>
      </w:r>
      <w:bookmarkEnd w:id="665"/>
      <w:r>
        <w:rPr>
          <w:rFonts w:hint="eastAsia"/>
        </w:rPr>
        <w:t>设防地震下节点接触面张开，耗能钢筋进入塑性，预应力筋应力偏于保守取为0.7</w:t>
      </w:r>
      <m:oMath>
        <m:sSub>
          <m:sSubPr>
            <m:ctrlPr>
              <w:rPr>
                <w:rFonts w:hint="eastAsia" w:ascii="Cambria Math" w:hAnsi="Cambria Math"/>
              </w:rPr>
            </m:ctrlPr>
          </m:sSubPr>
          <m:e>
            <m:r>
              <m:rPr>
                <m:sty m:val="p"/>
              </m:rPr>
              <w:rPr>
                <w:rFonts w:hint="eastAsia" w:ascii="Cambria Math" w:hAnsi="Cambria Math"/>
              </w:rPr>
              <m:t>f</m:t>
            </m:r>
            <m:ctrlPr>
              <w:rPr>
                <w:rFonts w:hint="eastAsia" w:ascii="Cambria Math" w:hAnsi="Cambria Math"/>
              </w:rPr>
            </m:ctrlPr>
          </m:e>
          <m:sub>
            <m:r>
              <m:rPr>
                <m:sty m:val="p"/>
              </m:rPr>
              <w:rPr>
                <w:rFonts w:hint="eastAsia" w:ascii="Cambria Math" w:hAnsi="Cambria Math"/>
              </w:rPr>
              <m:t>ptk</m:t>
            </m:r>
            <m:ctrlPr>
              <w:rPr>
                <w:rFonts w:hint="eastAsia" w:ascii="Cambria Math" w:hAnsi="Cambria Math"/>
              </w:rPr>
            </m:ctrlPr>
          </m:sub>
        </m:sSub>
      </m:oMath>
      <w:r>
        <w:rPr>
          <w:rFonts w:hint="eastAsia"/>
        </w:rPr>
        <w:t>。</w:t>
      </w:r>
    </w:p>
    <w:p>
      <w:pPr>
        <w:pStyle w:val="98"/>
      </w:pPr>
      <w:r>
        <w:rPr>
          <w:b/>
          <w:bCs w:val="0"/>
        </w:rPr>
        <w:fldChar w:fldCharType="begin"/>
      </w:r>
      <w:r>
        <w:rPr>
          <w:b/>
          <w:bCs w:val="0"/>
        </w:rPr>
        <w:instrText xml:space="preserve"> REF _Ref175687652 \r \h  \* MERGEFORMAT </w:instrText>
      </w:r>
      <w:r>
        <w:rPr>
          <w:b/>
          <w:bCs w:val="0"/>
        </w:rPr>
        <w:fldChar w:fldCharType="separate"/>
      </w:r>
      <w:r>
        <w:rPr>
          <w:b/>
          <w:bCs w:val="0"/>
        </w:rPr>
        <w:t>5. 5. 2</w:t>
      </w:r>
      <w:r>
        <w:rPr>
          <w:b/>
          <w:bCs w:val="0"/>
        </w:rPr>
        <w:fldChar w:fldCharType="end"/>
      </w:r>
      <w:r>
        <w:tab/>
      </w:r>
      <w:r>
        <w:rPr>
          <w:rFonts w:hint="eastAsia"/>
        </w:rPr>
        <w:t>本条参照《预应力混凝土结构抗震设计标准》JGJ/T 140制定。</w:t>
      </w:r>
    </w:p>
    <w:p>
      <w:pPr>
        <w:pStyle w:val="98"/>
      </w:pPr>
      <w:r>
        <w:rPr>
          <w:b/>
          <w:bCs w:val="0"/>
        </w:rPr>
        <w:fldChar w:fldCharType="begin"/>
      </w:r>
      <w:r>
        <w:rPr>
          <w:b/>
          <w:bCs w:val="0"/>
        </w:rPr>
        <w:instrText xml:space="preserve"> REF _Ref167182077 \r \h  \* MERGEFORMAT </w:instrText>
      </w:r>
      <w:r>
        <w:rPr>
          <w:b/>
          <w:bCs w:val="0"/>
        </w:rPr>
        <w:fldChar w:fldCharType="separate"/>
      </w:r>
      <w:r>
        <w:rPr>
          <w:b/>
          <w:bCs w:val="0"/>
        </w:rPr>
        <w:t>5. 5. 3</w:t>
      </w:r>
      <w:r>
        <w:rPr>
          <w:b/>
          <w:bCs w:val="0"/>
        </w:rPr>
        <w:fldChar w:fldCharType="end"/>
      </w:r>
      <w:r>
        <w:tab/>
      </w:r>
      <w:r>
        <w:rPr>
          <w:rFonts w:hint="eastAsia"/>
        </w:rPr>
        <w:t>自复位梁柱节点的优点是可提供较好的震后自复位能力，其自复位能力是通过后张拉预应力筋施加轴向压力实现的，在设计阶段，应通过选择适当的弯矩比值来保证框架的自复位能力。本条参照《预应力混凝土结构抗震设计标准》JGJ/T 140和美国规范，规定在反复荷载作用下，耗能钢筋承担的截面弯矩应小于截面总弯矩的一半。</w:t>
      </w:r>
      <w:r>
        <w:rPr>
          <w:rFonts w:hint="eastAsia"/>
          <w:lang w:eastAsia="zh"/>
        </w:rPr>
        <w:t>本规程为方便设计，将两者比值用标准值之比表达。</w:t>
      </w:r>
    </w:p>
    <w:p>
      <w:pPr>
        <w:pStyle w:val="98"/>
      </w:pPr>
      <w:r>
        <w:rPr>
          <w:b/>
          <w:bCs w:val="0"/>
        </w:rPr>
        <w:fldChar w:fldCharType="begin"/>
      </w:r>
      <w:r>
        <w:rPr>
          <w:b/>
          <w:bCs w:val="0"/>
        </w:rPr>
        <w:instrText xml:space="preserve"> REF _Ref86136317 \r \h  \* MERGEFORMAT </w:instrText>
      </w:r>
      <w:r>
        <w:rPr>
          <w:b/>
          <w:bCs w:val="0"/>
        </w:rPr>
        <w:fldChar w:fldCharType="separate"/>
      </w:r>
      <w:r>
        <w:rPr>
          <w:b/>
          <w:bCs w:val="0"/>
        </w:rPr>
        <w:t>5. 5. 4</w:t>
      </w:r>
      <w:r>
        <w:rPr>
          <w:b/>
          <w:bCs w:val="0"/>
        </w:rPr>
        <w:fldChar w:fldCharType="end"/>
      </w:r>
      <w:r>
        <w:tab/>
      </w:r>
      <w:r>
        <w:rPr>
          <w:rFonts w:hint="eastAsia"/>
        </w:rPr>
        <w:t>梁端受剪承载力试验表明，预应力压接节点梁端抗剪一般由斜截面受剪承载力控制。满足本规程第</w:t>
      </w:r>
      <w:r>
        <w:rPr>
          <w:lang w:eastAsia="zh"/>
        </w:rPr>
        <w:fldChar w:fldCharType="begin"/>
      </w:r>
      <w:r>
        <w:instrText xml:space="preserve"> </w:instrText>
      </w:r>
      <w:r>
        <w:rPr>
          <w:rFonts w:hint="eastAsia"/>
        </w:rPr>
        <w:instrText xml:space="preserve">REF _Ref88040346 \r \h</w:instrText>
      </w:r>
      <w:r>
        <w:instrText xml:space="preserve"> </w:instrText>
      </w:r>
      <w:r>
        <w:rPr>
          <w:lang w:eastAsia="zh"/>
        </w:rPr>
        <w:fldChar w:fldCharType="separate"/>
      </w:r>
      <w:r>
        <w:t>5. 5. 5</w:t>
      </w:r>
      <w:r>
        <w:rPr>
          <w:lang w:eastAsia="zh"/>
        </w:rPr>
        <w:fldChar w:fldCharType="end"/>
      </w:r>
      <w:r>
        <w:rPr>
          <w:rFonts w:hint="eastAsia"/>
        </w:rPr>
        <w:t>条和第</w:t>
      </w:r>
      <w:r>
        <w:rPr>
          <w:lang w:eastAsia="zh"/>
        </w:rPr>
        <w:fldChar w:fldCharType="begin"/>
      </w:r>
      <w:r>
        <w:rPr>
          <w:lang w:eastAsia="zh"/>
        </w:rPr>
        <w:instrText xml:space="preserve"> </w:instrText>
      </w:r>
      <w:r>
        <w:rPr>
          <w:rFonts w:hint="eastAsia"/>
          <w:lang w:eastAsia="zh"/>
        </w:rPr>
        <w:instrText xml:space="preserve">REF _Ref86671219 \r \h</w:instrText>
      </w:r>
      <w:r>
        <w:rPr>
          <w:lang w:eastAsia="zh"/>
        </w:rPr>
        <w:instrText xml:space="preserve"> </w:instrText>
      </w:r>
      <w:r>
        <w:rPr>
          <w:lang w:eastAsia="zh"/>
        </w:rPr>
        <w:fldChar w:fldCharType="separate"/>
      </w:r>
      <w:r>
        <w:rPr>
          <w:lang w:eastAsia="zh"/>
        </w:rPr>
        <w:t>5. 5. 6</w:t>
      </w:r>
      <w:r>
        <w:rPr>
          <w:lang w:eastAsia="zh"/>
        </w:rPr>
        <w:fldChar w:fldCharType="end"/>
      </w:r>
      <w:r>
        <w:rPr>
          <w:rFonts w:hint="eastAsia"/>
        </w:rPr>
        <w:t>条的规定情况下，预应力荷载、持久竖向荷载、风荷载、地震作用状况下的梁端竖向结合面抗剪承载力一般均满足本条。当不满足本条规定时，应在梁柱接触面增加附加抗剪钢筋面积或设置永久牛腿。</w:t>
      </w:r>
    </w:p>
    <w:p>
      <w:pPr>
        <w:pStyle w:val="99"/>
      </w:pPr>
      <w:r>
        <w:rPr>
          <w:rFonts w:hint="eastAsia"/>
        </w:rPr>
        <w:t>预应力荷载、持久竖向荷载、风荷载及多遇地震作用状况，梁端竖向结合面抗剪承载力由预制梁混凝土压接摩擦抗剪承载力、后浇叠合层混凝土抗剪承载力和耗能钢筋与抗剪附加钢筋的抗剪承载力共同承担，本规程参考相关标准对各项作用系数进行了折减。</w:t>
      </w:r>
    </w:p>
    <w:p>
      <w:pPr>
        <w:pStyle w:val="99"/>
      </w:pPr>
      <w:r>
        <w:rPr>
          <w:rFonts w:hint="eastAsia"/>
        </w:rPr>
        <w:t>罕遇地震作用下，梁端上部叠合层部分混凝土一般破坏较为严重，不考虑该部分混凝土对抗剪承载力贡献。梁柱结合面混凝土界面的净压力</w:t>
      </w:r>
      <m:oMath>
        <m:sSub>
          <m:sSubPr>
            <m:ctrlPr>
              <w:rPr>
                <w:rFonts w:ascii="XITS Math" w:hAnsi="XITS Math" w:cs="XITS Math"/>
                <w:i/>
              </w:rPr>
            </m:ctrlPr>
          </m:sSubPr>
          <m:e>
            <m:r>
              <m:rPr/>
              <w:rPr>
                <w:rFonts w:ascii="XITS Math" w:hAnsi="XITS Math" w:cs="XITS Math"/>
              </w:rPr>
              <m:t>F</m:t>
            </m:r>
            <m:ctrlPr>
              <w:rPr>
                <w:rFonts w:ascii="XITS Math" w:hAnsi="XITS Math" w:cs="XITS Math"/>
                <w:i/>
              </w:rPr>
            </m:ctrlPr>
          </m:e>
          <m:sub>
            <m:r>
              <m:rPr/>
              <w:rPr>
                <w:rFonts w:ascii="XITS Math" w:hAnsi="XITS Math" w:cs="XITS Math"/>
              </w:rPr>
              <m:t>c</m:t>
            </m:r>
            <m:ctrlPr>
              <w:rPr>
                <w:rFonts w:ascii="XITS Math" w:hAnsi="XITS Math" w:cs="XITS Math"/>
                <w:i/>
              </w:rPr>
            </m:ctrlPr>
          </m:sub>
        </m:sSub>
      </m:oMath>
      <w:r>
        <w:rPr>
          <w:rFonts w:hint="eastAsia"/>
        </w:rPr>
        <w:t>按实际混凝土接触面的净压力计算。梁端负弯矩作用下，不考虑受拉耗能钢筋抗剪作用。正弯矩作用下，耗能钢筋受压，考虑其抗剪作用。罕遇地震设计作用下梁端抗剪承载力计算公式用于验算罕遇地震弹塑性时程分析中得到的梁端剪力是否超标，因此，其承载能力计算公式中的</w:t>
      </w:r>
      <m:oMath>
        <m:sSub>
          <m:sSubPr>
            <m:ctrlPr>
              <w:rPr>
                <w:rFonts w:ascii="XITS Math" w:hAnsi="XITS Math" w:cs="XITS Math"/>
              </w:rPr>
            </m:ctrlPr>
          </m:sSubPr>
          <m:e>
            <m:r>
              <m:rPr>
                <m:sty m:val="p"/>
              </m:rPr>
              <w:rPr>
                <w:rFonts w:ascii="XITS Math" w:hAnsi="XITS Math" w:cs="XITS Math"/>
              </w:rPr>
              <m:t>σ</m:t>
            </m:r>
            <m:ctrlPr>
              <w:rPr>
                <w:rFonts w:ascii="XITS Math" w:hAnsi="XITS Math" w:cs="XITS Math"/>
              </w:rPr>
            </m:ctrlPr>
          </m:e>
          <m:sub>
            <m:r>
              <m:rPr>
                <m:sty m:val="p"/>
              </m:rPr>
              <w:rPr>
                <w:rFonts w:ascii="XITS Math" w:hAnsi="XITS Math" w:cs="XITS Math"/>
              </w:rPr>
              <m:t>p</m:t>
            </m:r>
            <m:ctrlPr>
              <w:rPr>
                <w:rFonts w:ascii="XITS Math" w:hAnsi="XITS Math" w:cs="XITS Math"/>
              </w:rPr>
            </m:ctrlPr>
          </m:sub>
        </m:sSub>
      </m:oMath>
      <w:r>
        <w:rPr>
          <w:rFonts w:hint="eastAsia"/>
        </w:rPr>
        <w:t>可取弹塑性时程分析得到的梁端剪力对应的钢绞线的计算应力。附加抗剪钢筋由于锚固长度较短，在罕遇地震作用下与混凝土脱粘，可以考虑其抗剪贡献。梁端负弯矩作用下考虑附加抗剪钢筋可能会存在较小的拉应力，其抗剪能力较受压状态下乘以0.8倍附加折减系数。</w:t>
      </w:r>
    </w:p>
    <w:p>
      <w:pPr>
        <w:pStyle w:val="98"/>
      </w:pPr>
      <w:r>
        <w:rPr>
          <w:b/>
          <w:bCs w:val="0"/>
        </w:rPr>
        <w:fldChar w:fldCharType="begin"/>
      </w:r>
      <w:r>
        <w:rPr>
          <w:b/>
          <w:bCs w:val="0"/>
        </w:rPr>
        <w:instrText xml:space="preserve"> REF _Ref88040346 \r \h  \* MERGEFORMAT </w:instrText>
      </w:r>
      <w:r>
        <w:rPr>
          <w:b/>
          <w:bCs w:val="0"/>
        </w:rPr>
        <w:fldChar w:fldCharType="separate"/>
      </w:r>
      <w:r>
        <w:rPr>
          <w:b/>
          <w:bCs w:val="0"/>
        </w:rPr>
        <w:t>5. 5. 5</w:t>
      </w:r>
      <w:r>
        <w:rPr>
          <w:b/>
          <w:bCs w:val="0"/>
        </w:rPr>
        <w:fldChar w:fldCharType="end"/>
      </w:r>
      <w:r>
        <w:tab/>
      </w:r>
      <w:r>
        <w:rPr>
          <w:rFonts w:hint="eastAsia"/>
        </w:rPr>
        <w:t>当框架中个别梁端剪力比较大时，可在梁端附加抗剪钢筋。此构造规定出于提高结构抗连续倒塌能力考虑，预应力钢绞线恰好在梁柱接缝处意外断裂情况下，单纯依靠梁端耗能钢筋和抗剪钢筋保证梁不会脱落。此处抗剪折减系数取0.85，钢材抗剪强度与抗拉强度的比值约为0.58，两者乘积为0.49。</w:t>
      </w:r>
    </w:p>
    <w:p>
      <w:pPr>
        <w:pStyle w:val="98"/>
      </w:pPr>
      <w:r>
        <w:rPr>
          <w:b/>
          <w:bCs w:val="0"/>
        </w:rPr>
        <w:fldChar w:fldCharType="begin"/>
      </w:r>
      <w:r>
        <w:rPr>
          <w:b/>
          <w:bCs w:val="0"/>
        </w:rPr>
        <w:instrText xml:space="preserve"> REF _Ref86671219 \r \h  \* MERGEFORMAT </w:instrText>
      </w:r>
      <w:r>
        <w:rPr>
          <w:b/>
          <w:bCs w:val="0"/>
        </w:rPr>
        <w:fldChar w:fldCharType="separate"/>
      </w:r>
      <w:r>
        <w:rPr>
          <w:b/>
          <w:bCs w:val="0"/>
        </w:rPr>
        <w:t>5. 5. 6</w:t>
      </w:r>
      <w:r>
        <w:rPr>
          <w:b/>
          <w:bCs w:val="0"/>
        </w:rPr>
        <w:fldChar w:fldCharType="end"/>
      </w:r>
      <w:r>
        <w:tab/>
      </w:r>
      <m:oMath>
        <m:r>
          <m:rPr/>
          <w:rPr>
            <w:rFonts w:hint="eastAsia" w:ascii="Cambria Math" w:hAnsi="Cambria Math"/>
          </w:rPr>
          <m:t>Ω</m:t>
        </m:r>
      </m:oMath>
      <w:r>
        <w:rPr>
          <w:rFonts w:hint="eastAsia" w:hAnsi="Cambria Math"/>
        </w:rPr>
        <w:t>取较大值</w:t>
      </w:r>
      <w:r>
        <w:rPr>
          <w:rFonts w:hint="eastAsia"/>
        </w:rPr>
        <w:t>能够提高结构在地震作用下的自复位能力。</w:t>
      </w:r>
      <m:oMath>
        <m:r>
          <m:rPr/>
          <w:rPr>
            <w:rFonts w:hint="eastAsia" w:ascii="Cambria Math" w:hAnsi="Cambria Math"/>
          </w:rPr>
          <m:t>Ω</m:t>
        </m:r>
      </m:oMath>
      <w:r>
        <w:rPr>
          <w:rFonts w:hint="eastAsia" w:hAnsi="Cambria Math"/>
        </w:rPr>
        <w:t>小于1时结构在设防地震或罕遇地震作用下自复位能力很弱，</w:t>
      </w:r>
      <w:r>
        <w:rPr>
          <w:rFonts w:hint="eastAsia"/>
        </w:rPr>
        <w:t>对于希望充分发挥压接装配式框架自复位低损伤能力的情况，</w:t>
      </w:r>
      <m:oMath>
        <m:r>
          <m:rPr/>
          <w:rPr>
            <w:rFonts w:hint="eastAsia" w:ascii="Cambria Math" w:hAnsi="Cambria Math"/>
          </w:rPr>
          <m:t>Ω</m:t>
        </m:r>
      </m:oMath>
      <w:r>
        <w:rPr>
          <w:rFonts w:hint="eastAsia" w:hAnsi="Cambria Math"/>
        </w:rPr>
        <w:t>值宜适当增大。</w:t>
      </w:r>
      <w:r>
        <w:t>经验上，混凝土梁平均有效压应力可控制在3MPa~5MPa，不宜超过混凝土抗压强度设计值的0.5倍，预应力钢绞线配筋率</w:t>
      </w:r>
      <w:r>
        <w:rPr>
          <w:rFonts w:hint="eastAsia"/>
        </w:rPr>
        <w:t>一般</w:t>
      </w:r>
      <w:r>
        <w:t>为0.25%~0.4%。</w:t>
      </w:r>
    </w:p>
    <w:p>
      <w:pPr>
        <w:pStyle w:val="98"/>
      </w:pPr>
      <w:r>
        <w:rPr>
          <w:b/>
          <w:bCs w:val="0"/>
        </w:rPr>
        <w:fldChar w:fldCharType="begin"/>
      </w:r>
      <w:r>
        <w:rPr>
          <w:b/>
          <w:bCs w:val="0"/>
        </w:rPr>
        <w:instrText xml:space="preserve"> REF _Ref198039186 \r \h  \* MERGEFORMAT </w:instrText>
      </w:r>
      <w:r>
        <w:rPr>
          <w:b/>
          <w:bCs w:val="0"/>
        </w:rPr>
        <w:fldChar w:fldCharType="separate"/>
      </w:r>
      <w:r>
        <w:rPr>
          <w:b/>
          <w:bCs w:val="0"/>
        </w:rPr>
        <w:t>5. 5. 7</w:t>
      </w:r>
      <w:r>
        <w:rPr>
          <w:b/>
          <w:bCs w:val="0"/>
        </w:rPr>
        <w:fldChar w:fldCharType="end"/>
      </w:r>
      <w:r>
        <w:tab/>
      </w:r>
      <w:r>
        <w:rPr>
          <w:rFonts w:hint="eastAsia"/>
        </w:rPr>
        <w:t>本条针对采用梁板柱复合节点的压接框架中与角柱相连接的梁端附加抗剪钢筋（或附加拉结钢筋，两者不同时设置）的最小数量做出规定。双向地震作用下，与压接框架角柱相连的梁端有可能出现耗能钢筋残余变形较大，梁柱混凝土接触面附近混凝土压溃，梁端抵抗向上的抗剪能力削弱严重，有向上滑移的趋势，规定附加抗剪钢筋（或附加拉结钢筋）最小数量可避免罕遇地震作用下梁端可能的向上滑移。当设置永久牛腿时，梁端可设置与牛腿的附加拉结钢筋代替附加抗剪钢筋。与框架柱边节点和中节点相连的梁较多，其梁端整体抵抗向上滑移的能力较强，满足本规程第</w:t>
      </w:r>
      <w:r>
        <w:fldChar w:fldCharType="begin"/>
      </w:r>
      <w:r>
        <w:instrText xml:space="preserve"> </w:instrText>
      </w:r>
      <w:r>
        <w:rPr>
          <w:rFonts w:hint="eastAsia"/>
        </w:rPr>
        <w:instrText xml:space="preserve">REF _Ref86136317 \r \h</w:instrText>
      </w:r>
      <w:r>
        <w:instrText xml:space="preserve"> </w:instrText>
      </w:r>
      <w:r>
        <w:fldChar w:fldCharType="separate"/>
      </w:r>
      <w:r>
        <w:t>5. 5. 4</w:t>
      </w:r>
      <w:r>
        <w:fldChar w:fldCharType="end"/>
      </w:r>
      <w:r>
        <w:rPr>
          <w:rFonts w:hint="eastAsia"/>
        </w:rPr>
        <w:t>条、第</w:t>
      </w:r>
      <w:r>
        <w:fldChar w:fldCharType="begin"/>
      </w:r>
      <w:r>
        <w:instrText xml:space="preserve"> </w:instrText>
      </w:r>
      <w:r>
        <w:rPr>
          <w:rFonts w:hint="eastAsia"/>
        </w:rPr>
        <w:instrText xml:space="preserve">REF _Ref86136308 \r \h</w:instrText>
      </w:r>
      <w:r>
        <w:instrText xml:space="preserve"> </w:instrText>
      </w:r>
      <w:r>
        <w:fldChar w:fldCharType="separate"/>
      </w:r>
      <w:r>
        <w:t>5. 5. 5</w:t>
      </w:r>
      <w:r>
        <w:fldChar w:fldCharType="end"/>
      </w:r>
      <w:r>
        <w:rPr>
          <w:rFonts w:hint="eastAsia"/>
        </w:rPr>
        <w:t>条和第</w:t>
      </w:r>
      <w:r>
        <w:fldChar w:fldCharType="begin"/>
      </w:r>
      <w:r>
        <w:instrText xml:space="preserve"> </w:instrText>
      </w:r>
      <w:r>
        <w:rPr>
          <w:rFonts w:hint="eastAsia"/>
        </w:rPr>
        <w:instrText xml:space="preserve">REF _Ref86671219 \r \h</w:instrText>
      </w:r>
      <w:r>
        <w:instrText xml:space="preserve"> </w:instrText>
      </w:r>
      <w:r>
        <w:fldChar w:fldCharType="separate"/>
      </w:r>
      <w:r>
        <w:t>5. 5. 6</w:t>
      </w:r>
      <w:r>
        <w:fldChar w:fldCharType="end"/>
      </w:r>
      <w:r>
        <w:rPr>
          <w:rFonts w:hint="eastAsia"/>
        </w:rPr>
        <w:t>条的要求后，可不设置附加抗剪钢筋。</w:t>
      </w:r>
    </w:p>
    <w:p>
      <w:pPr>
        <w:pStyle w:val="98"/>
      </w:pPr>
      <w:r>
        <w:rPr>
          <w:b/>
          <w:bCs w:val="0"/>
        </w:rPr>
        <w:fldChar w:fldCharType="begin"/>
      </w:r>
      <w:r>
        <w:rPr>
          <w:b/>
          <w:bCs w:val="0"/>
        </w:rPr>
        <w:instrText xml:space="preserve"> REF _Ref172206957 \r \h  \* MERGEFORMAT </w:instrText>
      </w:r>
      <w:r>
        <w:rPr>
          <w:b/>
          <w:bCs w:val="0"/>
        </w:rPr>
        <w:fldChar w:fldCharType="separate"/>
      </w:r>
      <w:r>
        <w:rPr>
          <w:b/>
          <w:bCs w:val="0"/>
        </w:rPr>
        <w:t>5. 5. 8</w:t>
      </w:r>
      <w:r>
        <w:rPr>
          <w:b/>
          <w:bCs w:val="0"/>
        </w:rPr>
        <w:fldChar w:fldCharType="end"/>
      </w:r>
      <w:r>
        <w:tab/>
      </w:r>
      <w:r>
        <w:rPr>
          <w:rFonts w:hint="eastAsia"/>
        </w:rPr>
        <w:t>参照梁板柱复合梁柱节点梁端结合面竖向受剪承载力的设计方法，本条给出了自复位梁柱节点梁端结合面在非地震作用组合、多遇地震作用组合和罕遇地震作用组合状况下的竖向受剪承载力计算公式。</w:t>
      </w:r>
    </w:p>
    <w:p>
      <w:pPr>
        <w:pStyle w:val="99"/>
      </w:pPr>
      <w:r>
        <w:rPr>
          <w:rFonts w:hint="eastAsia"/>
        </w:rPr>
        <w:t>由于自复位梁柱节点没有梁端叠合层和抗剪钢筋，非地震作用组合、多遇地震作用组合状况下，梁端竖向结合面抗剪承载力主要由预制梁混凝土压接摩擦抗剪承载力和耗能钢筋的抗剪承载力共同承担，本规程参考相关标准对各项作用系数进行了折减。</w:t>
      </w:r>
    </w:p>
    <w:p>
      <w:pPr>
        <w:pStyle w:val="99"/>
      </w:pPr>
      <w:r>
        <w:rPr>
          <w:rFonts w:hint="eastAsia"/>
        </w:rPr>
        <w:t>罕遇地震作用组合状况下，梁柱结合面混凝土界面的净压力按实际混凝土接触面的净压力计算，不考虑受拉耗能钢筋抗剪作用，仅考虑受压耗能钢筋抗剪作用。罕遇地震作用下梁端抗剪承载力计算公式用于验算罕遇地震弹塑性时程分析中得到的梁端剪力是否超标，因此，其承载能力计算公式中的</w:t>
      </w:r>
      <m:oMath>
        <m:sSub>
          <m:sSubPr>
            <m:ctrlPr>
              <w:rPr>
                <w:rFonts w:ascii="XITS Math" w:hAnsi="XITS Math" w:cs="XITS Math"/>
              </w:rPr>
            </m:ctrlPr>
          </m:sSubPr>
          <m:e>
            <m:r>
              <m:rPr>
                <m:sty m:val="p"/>
              </m:rPr>
              <w:rPr>
                <w:rFonts w:ascii="XITS Math" w:hAnsi="XITS Math" w:cs="XITS Math"/>
              </w:rPr>
              <m:t>σ</m:t>
            </m:r>
            <m:ctrlPr>
              <w:rPr>
                <w:rFonts w:ascii="XITS Math" w:hAnsi="XITS Math" w:cs="XITS Math"/>
              </w:rPr>
            </m:ctrlPr>
          </m:e>
          <m:sub>
            <m:r>
              <m:rPr>
                <m:sty m:val="p"/>
              </m:rPr>
              <w:rPr>
                <w:rFonts w:ascii="XITS Math" w:hAnsi="XITS Math" w:cs="XITS Math"/>
              </w:rPr>
              <m:t>p</m:t>
            </m:r>
            <m:ctrlPr>
              <w:rPr>
                <w:rFonts w:ascii="XITS Math" w:hAnsi="XITS Math" w:cs="XITS Math"/>
              </w:rPr>
            </m:ctrlPr>
          </m:sub>
        </m:sSub>
      </m:oMath>
      <w:r>
        <w:rPr>
          <w:rFonts w:hint="eastAsia"/>
        </w:rPr>
        <w:t>可取弹塑性时程分析得到的梁端剪力对应的钢绞线的计算应力。</w:t>
      </w:r>
    </w:p>
    <w:p>
      <w:pPr>
        <w:pStyle w:val="98"/>
      </w:pPr>
      <w:r>
        <w:rPr>
          <w:b/>
          <w:bCs w:val="0"/>
        </w:rPr>
        <w:fldChar w:fldCharType="begin"/>
      </w:r>
      <w:r>
        <w:rPr>
          <w:b/>
          <w:bCs w:val="0"/>
        </w:rPr>
        <w:instrText xml:space="preserve"> REF _Ref167194327 \r \h  \* MERGEFORMAT </w:instrText>
      </w:r>
      <w:r>
        <w:rPr>
          <w:b/>
          <w:bCs w:val="0"/>
        </w:rPr>
        <w:fldChar w:fldCharType="separate"/>
      </w:r>
      <w:r>
        <w:rPr>
          <w:b/>
          <w:bCs w:val="0"/>
        </w:rPr>
        <w:t>5. 5. 9</w:t>
      </w:r>
      <w:r>
        <w:rPr>
          <w:b/>
          <w:bCs w:val="0"/>
        </w:rPr>
        <w:fldChar w:fldCharType="end"/>
      </w:r>
      <w:r>
        <w:tab/>
      </w:r>
      <w:r>
        <w:rPr>
          <w:rFonts w:hint="eastAsia"/>
        </w:rPr>
        <w:t>本条出于提高结构抗连续倒塌能力考虑给出，耗能钢筋穿过结合面分别锚固在柱内和梁上，若发生地震或其他原因导致后张预应力筋断裂等小概率事件时，耗能钢筋可以承受预制梁上的竖向荷载。耗能钢筋受剪折减系数参照美国混凝土协会标准《B</w:t>
      </w:r>
      <w:r>
        <w:t>uilding Code Requirements for Structural Concrete</w:t>
      </w:r>
      <w:r>
        <w:rPr>
          <w:rFonts w:hint="eastAsia"/>
        </w:rPr>
        <w:t>》A</w:t>
      </w:r>
      <w:r>
        <w:t>CI 318</w:t>
      </w:r>
      <w:r>
        <w:rPr>
          <w:rFonts w:hint="eastAsia"/>
        </w:rPr>
        <w:t>的规定取0.85，钢材抗剪强度与抗拉强度的比值约为0.58，两者乘积为0.49。本条公式与《预应力混凝土结构抗震设计标准》JGJ/T 140–2019式6</w:t>
      </w:r>
      <w:r>
        <w:t>.3.8</w:t>
      </w:r>
      <w:r>
        <w:rPr>
          <w:rFonts w:hint="eastAsia"/>
        </w:rPr>
        <w:t>相当。</w:t>
      </w:r>
    </w:p>
    <w:p>
      <w:pPr>
        <w:pStyle w:val="98"/>
      </w:pPr>
      <w:r>
        <w:rPr>
          <w:b/>
          <w:bCs w:val="0"/>
        </w:rPr>
        <w:fldChar w:fldCharType="begin"/>
      </w:r>
      <w:r>
        <w:rPr>
          <w:b/>
          <w:bCs w:val="0"/>
        </w:rPr>
        <w:instrText xml:space="preserve"> REF _Ref198039448 \r \h  \* MERGEFORMAT </w:instrText>
      </w:r>
      <w:r>
        <w:rPr>
          <w:b/>
          <w:bCs w:val="0"/>
        </w:rPr>
        <w:fldChar w:fldCharType="separate"/>
      </w:r>
      <w:r>
        <w:rPr>
          <w:b/>
          <w:bCs w:val="0"/>
        </w:rPr>
        <w:t>5. 5. 10</w:t>
      </w:r>
      <w:r>
        <w:rPr>
          <w:b/>
          <w:bCs w:val="0"/>
        </w:rPr>
        <w:fldChar w:fldCharType="end"/>
      </w:r>
      <w:r>
        <w:tab/>
      </w:r>
      <w:r>
        <w:rPr>
          <w:rFonts w:hint="eastAsia"/>
        </w:rPr>
        <w:t>耗能钢筋梁内部分与柱内预埋部分采用钢筋直螺纹套筒连接，连接成本低，施工效率高。考虑到中大震作用下该部位反复拉压为重要耗能部位，且随着梁端的开合，直螺纹套筒连接接头同时承受拉压作用和受弯作用，受力较为不利，因此在接头相邻部位钢筋上设置削弱段（</w:t>
      </w:r>
      <w:r>
        <w:fldChar w:fldCharType="begin"/>
      </w:r>
      <w:r>
        <w:instrText xml:space="preserve"> </w:instrText>
      </w:r>
      <w:r>
        <w:rPr>
          <w:rFonts w:hint="eastAsia"/>
        </w:rPr>
        <w:instrText xml:space="preserve">REF _Ref191632579 \h</w:instrText>
      </w:r>
      <w:r>
        <w:instrText xml:space="preserve"> </w:instrText>
      </w:r>
      <w:r>
        <w:fldChar w:fldCharType="separate"/>
      </w:r>
      <w:r>
        <w:rPr>
          <w:rFonts w:hint="eastAsia"/>
        </w:rPr>
        <w:t>图</w:t>
      </w:r>
      <w:r>
        <w:t>14</w:t>
      </w:r>
      <w:r>
        <w:fldChar w:fldCharType="end"/>
      </w:r>
      <w:r>
        <w:rPr>
          <w:rFonts w:hint="eastAsia"/>
        </w:rPr>
        <w:t>），以保护中大震作用下不发生钢筋直螺纹连接接头的突然破坏，延性损伤发生于钢筋削弱部位。</w:t>
      </w:r>
    </w:p>
    <w:p>
      <w:pPr>
        <w:pStyle w:val="111"/>
        <w:rPr>
          <w:highlight w:val="yellow"/>
        </w:rPr>
      </w:pPr>
      <w:r>
        <w:drawing>
          <wp:inline distT="0" distB="0" distL="0" distR="0">
            <wp:extent cx="2520950" cy="1263650"/>
            <wp:effectExtent l="0" t="0" r="12700" b="1270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noChangeArrowheads="true"/>
                    </pic:cNvPicPr>
                  </pic:nvPicPr>
                  <pic:blipFill>
                    <a:blip r:embed="rId68">
                      <a:extLst>
                        <a:ext uri="{28A0092B-C50C-407E-A947-70E740481C1C}">
                          <a14:useLocalDpi xmlns:a14="http://schemas.microsoft.com/office/drawing/2010/main" val="false"/>
                        </a:ext>
                      </a:extLst>
                    </a:blip>
                    <a:srcRect/>
                    <a:stretch>
                      <a:fillRect/>
                    </a:stretch>
                  </pic:blipFill>
                  <pic:spPr>
                    <a:xfrm>
                      <a:off x="0" y="0"/>
                      <a:ext cx="2520950" cy="1263650"/>
                    </a:xfrm>
                    <a:prstGeom prst="rect">
                      <a:avLst/>
                    </a:prstGeom>
                    <a:noFill/>
                    <a:ln>
                      <a:noFill/>
                    </a:ln>
                  </pic:spPr>
                </pic:pic>
              </a:graphicData>
            </a:graphic>
          </wp:inline>
        </w:drawing>
      </w:r>
    </w:p>
    <w:p>
      <w:pPr>
        <w:pStyle w:val="111"/>
      </w:pPr>
      <w:bookmarkStart w:id="666" w:name="_Ref191632579"/>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14</w:t>
      </w:r>
      <w:r>
        <w:fldChar w:fldCharType="end"/>
      </w:r>
      <w:bookmarkEnd w:id="666"/>
      <w:r>
        <w:t xml:space="preserve">  梁端</w:t>
      </w:r>
      <w:r>
        <w:rPr>
          <w:rFonts w:hint="eastAsia"/>
        </w:rPr>
        <w:t>耗能</w:t>
      </w:r>
      <w:r>
        <w:t>钢筋削弱</w:t>
      </w:r>
      <w:r>
        <w:rPr>
          <w:rFonts w:hint="eastAsia"/>
        </w:rPr>
        <w:t>段</w:t>
      </w:r>
    </w:p>
    <w:p>
      <w:pPr>
        <w:pStyle w:val="111"/>
      </w:pPr>
      <w:r>
        <w:t>1—耗能钢筋；2—螺纹；3—无</w:t>
      </w:r>
      <w:r>
        <w:rPr>
          <w:rFonts w:hint="eastAsia"/>
        </w:rPr>
        <w:t>粘结</w:t>
      </w:r>
      <w:r>
        <w:t>削弱段</w:t>
      </w:r>
    </w:p>
    <w:p>
      <w:pPr>
        <w:pStyle w:val="99"/>
      </w:pPr>
      <w:r>
        <w:rPr>
          <w:rFonts w:hint="eastAsia"/>
        </w:rPr>
        <w:t>梁内设置双束预应力筋的构造可参考</w:t>
      </w:r>
      <w:r>
        <w:fldChar w:fldCharType="begin"/>
      </w:r>
      <w:r>
        <w:instrText xml:space="preserve"> </w:instrText>
      </w:r>
      <w:r>
        <w:rPr>
          <w:rFonts w:hint="eastAsia"/>
        </w:rPr>
        <w:instrText xml:space="preserve">REF _Ref191632504 \h</w:instrText>
      </w:r>
      <w:r>
        <w:instrText xml:space="preserve"> </w:instrText>
      </w:r>
      <w:r>
        <w:fldChar w:fldCharType="separate"/>
      </w:r>
      <w:r>
        <w:rPr>
          <w:rFonts w:hint="eastAsia"/>
        </w:rPr>
        <w:t>图</w:t>
      </w:r>
      <w:r>
        <w:t>15</w:t>
      </w:r>
      <w:r>
        <w:fldChar w:fldCharType="end"/>
      </w:r>
      <w:r>
        <w:rPr>
          <w:rFonts w:hint="eastAsia"/>
        </w:rPr>
        <w:t>。</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pStyle w:val="111"/>
              <w:rPr>
                <w:rFonts w:hint="eastAsia" w:ascii="MS Sans Serif" w:hAnsi="MS Sans Serif"/>
              </w:rPr>
            </w:pPr>
            <w:r>
              <w:rPr>
                <w:rFonts w:ascii="MS Sans Serif" w:hAnsi="MS Sans Serif"/>
              </w:rPr>
              <w:drawing>
                <wp:inline distT="0" distB="0" distL="0" distR="0">
                  <wp:extent cx="4970780" cy="1723390"/>
                  <wp:effectExtent l="0" t="0" r="1270" b="1016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69">
                            <a:extLst>
                              <a:ext uri="{28A0092B-C50C-407E-A947-70E740481C1C}">
                                <a14:useLocalDpi xmlns:a14="http://schemas.microsoft.com/office/drawing/2010/main" val="false"/>
                              </a:ext>
                            </a:extLst>
                          </a:blip>
                          <a:srcRect/>
                          <a:stretch>
                            <a:fillRect/>
                          </a:stretch>
                        </pic:blipFill>
                        <pic:spPr>
                          <a:xfrm>
                            <a:off x="0" y="0"/>
                            <a:ext cx="4970780" cy="17233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pStyle w:val="111"/>
              <w:rPr>
                <w:rFonts w:hint="eastAsia" w:ascii="MS Sans Serif" w:hAnsi="MS Sans Serif"/>
              </w:rPr>
            </w:pPr>
            <w:r>
              <w:rPr>
                <w:rFonts w:hint="eastAsia" w:ascii="MS Sans Serif" w:hAnsi="MS Sans Serif"/>
              </w:rPr>
              <w:t>（a）板端支撑梁剖面</w:t>
            </w:r>
          </w:p>
        </w:tc>
        <w:tc>
          <w:tcPr>
            <w:tcW w:w="4148" w:type="dxa"/>
          </w:tcPr>
          <w:p>
            <w:pPr>
              <w:pStyle w:val="111"/>
              <w:rPr>
                <w:rFonts w:hint="eastAsia" w:ascii="MS Sans Serif" w:hAnsi="MS Sans Serif"/>
              </w:rPr>
            </w:pPr>
            <w:r>
              <w:rPr>
                <w:rFonts w:hint="eastAsia" w:ascii="MS Sans Serif" w:hAnsi="MS Sans Serif"/>
              </w:rPr>
              <w:t>（b）板侧梁剖面</w:t>
            </w:r>
          </w:p>
        </w:tc>
      </w:tr>
    </w:tbl>
    <w:p>
      <w:pPr>
        <w:pStyle w:val="111"/>
      </w:pPr>
      <w:bookmarkStart w:id="667" w:name="_Ref19163250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15</w:t>
      </w:r>
      <w:r>
        <w:fldChar w:fldCharType="end"/>
      </w:r>
      <w:bookmarkEnd w:id="667"/>
      <w:r>
        <w:t xml:space="preserve">  双束预应力钢绞线</w:t>
      </w:r>
    </w:p>
    <w:p>
      <w:pPr>
        <w:pStyle w:val="111"/>
      </w:pPr>
      <w:r>
        <w:t>1—预制梁；2—预应力钢绞线</w:t>
      </w:r>
    </w:p>
    <w:p>
      <w:pPr>
        <w:pStyle w:val="98"/>
      </w:pPr>
      <w:r>
        <w:rPr>
          <w:b/>
          <w:bCs w:val="0"/>
        </w:rPr>
        <w:fldChar w:fldCharType="begin"/>
      </w:r>
      <w:r>
        <w:rPr>
          <w:b/>
          <w:bCs w:val="0"/>
        </w:rPr>
        <w:instrText xml:space="preserve"> REF _Ref172278257 \r \h  \* MERGEFORMAT </w:instrText>
      </w:r>
      <w:r>
        <w:rPr>
          <w:b/>
          <w:bCs w:val="0"/>
        </w:rPr>
        <w:fldChar w:fldCharType="separate"/>
      </w:r>
      <w:r>
        <w:rPr>
          <w:b/>
          <w:bCs w:val="0"/>
        </w:rPr>
        <w:t>5. 5. 11</w:t>
      </w:r>
      <w:r>
        <w:rPr>
          <w:b/>
          <w:bCs w:val="0"/>
        </w:rPr>
        <w:fldChar w:fldCharType="end"/>
      </w:r>
      <w:r>
        <w:tab/>
      </w:r>
      <w:r>
        <w:rPr>
          <w:rFonts w:hint="eastAsia"/>
        </w:rPr>
        <w:t>出于现场安装便利性考虑，本规程自复位梁柱节点的耗能钢筋建议采用预设孔道的后注浆方式连接，耗能钢筋宜整根穿过梁柱节点区，避免接头（</w:t>
      </w:r>
      <w:r>
        <w:fldChar w:fldCharType="begin"/>
      </w:r>
      <w:r>
        <w:instrText xml:space="preserve"> </w:instrText>
      </w:r>
      <w:r>
        <w:rPr>
          <w:rFonts w:hint="eastAsia"/>
        </w:rPr>
        <w:instrText xml:space="preserve">REF _Ref191632744 \h</w:instrText>
      </w:r>
      <w:r>
        <w:instrText xml:space="preserve"> </w:instrText>
      </w:r>
      <w:r>
        <w:fldChar w:fldCharType="separate"/>
      </w:r>
      <w:r>
        <w:rPr>
          <w:rFonts w:hint="eastAsia"/>
        </w:rPr>
        <w:t>图</w:t>
      </w:r>
      <w:r>
        <w:t>16</w:t>
      </w:r>
      <w:r>
        <w:fldChar w:fldCharType="end"/>
      </w:r>
      <w:r>
        <w:rPr>
          <w:rFonts w:hint="eastAsia"/>
        </w:rPr>
        <w:t>）。耗能钢筋从预制梁端面开始设置一定长度的无粘接段，可有效降低梁柱结合面开合时耗能钢筋的应变不至过早断裂，保证节点的能量耗散性能。</w:t>
      </w:r>
    </w:p>
    <w:p>
      <w:pPr>
        <w:pStyle w:val="111"/>
      </w:pPr>
      <w:r>
        <w:drawing>
          <wp:inline distT="0" distB="0" distL="0" distR="0">
            <wp:extent cx="3350895" cy="172466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noChangeArrowheads="true"/>
                    </pic:cNvPicPr>
                  </pic:nvPicPr>
                  <pic:blipFill>
                    <a:blip r:embed="rId70">
                      <a:extLst>
                        <a:ext uri="{28A0092B-C50C-407E-A947-70E740481C1C}">
                          <a14:useLocalDpi xmlns:a14="http://schemas.microsoft.com/office/drawing/2010/main" val="false"/>
                        </a:ext>
                      </a:extLst>
                    </a:blip>
                    <a:srcRect/>
                    <a:stretch>
                      <a:fillRect/>
                    </a:stretch>
                  </pic:blipFill>
                  <pic:spPr>
                    <a:xfrm>
                      <a:off x="0" y="0"/>
                      <a:ext cx="3350895" cy="1724660"/>
                    </a:xfrm>
                    <a:prstGeom prst="rect">
                      <a:avLst/>
                    </a:prstGeom>
                    <a:noFill/>
                    <a:ln>
                      <a:noFill/>
                    </a:ln>
                  </pic:spPr>
                </pic:pic>
              </a:graphicData>
            </a:graphic>
          </wp:inline>
        </w:drawing>
      </w:r>
    </w:p>
    <w:p>
      <w:pPr>
        <w:pStyle w:val="111"/>
      </w:pPr>
      <w:bookmarkStart w:id="668" w:name="_Ref19163274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16</w:t>
      </w:r>
      <w:r>
        <w:fldChar w:fldCharType="end"/>
      </w:r>
      <w:bookmarkEnd w:id="668"/>
      <w:r>
        <w:t xml:space="preserve">  </w:t>
      </w:r>
      <w:r>
        <w:rPr>
          <w:rFonts w:hint="eastAsia"/>
        </w:rPr>
        <w:t>自复位梁柱节点构造示意</w:t>
      </w:r>
    </w:p>
    <w:p>
      <w:pPr>
        <w:pStyle w:val="111"/>
      </w:pPr>
      <w:r>
        <w:t>1—预制</w:t>
      </w:r>
      <w:r>
        <w:rPr>
          <w:rFonts w:hint="eastAsia"/>
        </w:rPr>
        <w:t>柱</w:t>
      </w:r>
      <w:r>
        <w:t>；2—</w:t>
      </w:r>
      <w:r>
        <w:rPr>
          <w:rFonts w:hint="eastAsia"/>
        </w:rPr>
        <w:t>预制梁；</w:t>
      </w:r>
      <w:r>
        <w:t>3—</w:t>
      </w:r>
      <w:r>
        <w:rPr>
          <w:rFonts w:hint="eastAsia"/>
        </w:rPr>
        <w:t>无粘接预应力筋；</w:t>
      </w:r>
      <w:r>
        <w:t>4—</w:t>
      </w:r>
      <w:r>
        <w:rPr>
          <w:rFonts w:hint="eastAsia"/>
        </w:rPr>
        <w:t>耗能钢筋；</w:t>
      </w:r>
    </w:p>
    <w:p>
      <w:pPr>
        <w:pStyle w:val="111"/>
      </w:pPr>
      <w:r>
        <w:t>5—</w:t>
      </w:r>
      <w:r>
        <w:rPr>
          <w:rFonts w:hint="eastAsia"/>
        </w:rPr>
        <w:t>耗能钢筋无粘接段</w:t>
      </w:r>
    </w:p>
    <w:p>
      <w:pPr>
        <w:pStyle w:val="99"/>
      </w:pPr>
      <w:r>
        <w:rPr>
          <w:rFonts w:hint="eastAsia"/>
        </w:rPr>
        <w:t>为了保证梁内耗能钢筋与灌浆料具有足够的粘结性能，控制其净距不小于其直径。根据国家标准《混凝土结构设计标准》GB</w:t>
      </w:r>
      <w:r>
        <w:t>/T</w:t>
      </w:r>
      <w:r>
        <w:rPr>
          <w:rFonts w:hint="eastAsia"/>
        </w:rPr>
        <w:t xml:space="preserve"> 50010的规定，当耗能钢筋采用并筋形式时，并筋按单根等效钢筋进行计算，单根等效钢筋的等效直径应按截面面积相等的原则换算确定。</w:t>
      </w:r>
    </w:p>
    <w:p>
      <w:pPr>
        <w:pStyle w:val="98"/>
      </w:pPr>
      <w:r>
        <w:rPr>
          <w:b/>
          <w:bCs w:val="0"/>
        </w:rPr>
        <w:fldChar w:fldCharType="begin"/>
      </w:r>
      <w:r>
        <w:rPr>
          <w:b/>
          <w:bCs w:val="0"/>
        </w:rPr>
        <w:instrText xml:space="preserve"> REF _Ref198039617 \r \h  \* MERGEFORMAT </w:instrText>
      </w:r>
      <w:r>
        <w:rPr>
          <w:b/>
          <w:bCs w:val="0"/>
        </w:rPr>
        <w:fldChar w:fldCharType="separate"/>
      </w:r>
      <w:r>
        <w:rPr>
          <w:b/>
          <w:bCs w:val="0"/>
        </w:rPr>
        <w:t>5. 5. 12</w:t>
      </w:r>
      <w:r>
        <w:rPr>
          <w:b/>
          <w:bCs w:val="0"/>
        </w:rPr>
        <w:fldChar w:fldCharType="end"/>
      </w:r>
      <w:r>
        <w:tab/>
      </w:r>
      <w:r>
        <w:rPr>
          <w:rFonts w:hint="eastAsia"/>
        </w:rPr>
        <w:t>本条给出了采用预制混凝土空心柱时的构造规定。预制混凝土空心柱可采用离心法或多次浇筑成型法制作，截面形状可为方形或圆形。当柱截面较大、层高较高时，采用预制空心柱可有效降低预制柱重量，便于现场吊装。预制空心柱与所连接的预制梁安装完成后，应在空心部位浇灌自密实混凝土或浇筑普通混凝土并振捣密实。</w:t>
      </w:r>
    </w:p>
    <w:p>
      <w:pPr>
        <w:pStyle w:val="98"/>
      </w:pPr>
      <w:r>
        <w:rPr>
          <w:b/>
          <w:bCs w:val="0"/>
        </w:rPr>
        <w:fldChar w:fldCharType="begin"/>
      </w:r>
      <w:r>
        <w:rPr>
          <w:b/>
          <w:bCs w:val="0"/>
        </w:rPr>
        <w:instrText xml:space="preserve"> REF _Ref198039664 \r \h  \* MERGEFORMAT </w:instrText>
      </w:r>
      <w:r>
        <w:rPr>
          <w:b/>
          <w:bCs w:val="0"/>
        </w:rPr>
        <w:fldChar w:fldCharType="separate"/>
      </w:r>
      <w:r>
        <w:rPr>
          <w:b/>
          <w:bCs w:val="0"/>
        </w:rPr>
        <w:t>5. 5. 13</w:t>
      </w:r>
      <w:r>
        <w:rPr>
          <w:b/>
          <w:bCs w:val="0"/>
        </w:rPr>
        <w:fldChar w:fldCharType="end"/>
      </w:r>
      <w:r>
        <w:tab/>
      </w:r>
      <w:r>
        <w:rPr>
          <w:rFonts w:hint="eastAsia"/>
        </w:rPr>
        <w:t>本条给出了采用钢管混凝土柱时的构造规定。当柱截面较大、层高较高时，采用钢管混凝土柱可有效降低预制柱重量，便于现场吊装。钢管混凝土柱可2层~3层一段，现场浇筑柱内混凝土，柱间拼接安装也较为方便。</w:t>
      </w:r>
    </w:p>
    <w:p>
      <w:pPr>
        <w:pStyle w:val="99"/>
      </w:pPr>
      <w:r>
        <w:rPr>
          <w:rFonts w:hint="eastAsia"/>
        </w:rPr>
        <w:t>预制梁底与预制柱永久钢牛腿之间应设置支承垫板条（</w:t>
      </w:r>
      <w:r>
        <w:fldChar w:fldCharType="begin"/>
      </w:r>
      <w:r>
        <w:instrText xml:space="preserve"> </w:instrText>
      </w:r>
      <w:r>
        <w:rPr>
          <w:rFonts w:hint="eastAsia"/>
        </w:rPr>
        <w:instrText xml:space="preserve">REF _Ref191632859 \h</w:instrText>
      </w:r>
      <w:r>
        <w:instrText xml:space="preserve"> </w:instrText>
      </w:r>
      <w:r>
        <w:fldChar w:fldCharType="separate"/>
      </w:r>
      <w:r>
        <w:rPr>
          <w:rFonts w:hint="eastAsia"/>
        </w:rPr>
        <w:t>图</w:t>
      </w:r>
      <w:r>
        <w:t>17</w:t>
      </w:r>
      <w:r>
        <w:fldChar w:fldCharType="end"/>
      </w:r>
      <w:r>
        <w:rPr>
          <w:rFonts w:hint="eastAsia"/>
        </w:rPr>
        <w:t>），以减少钢牛腿对梁端的嵌固作用，使梁端转动过程中不受钢牛腿的约束。支承垫板条相应位置的预制梁混凝土应进行局部承载力验算。</w:t>
      </w:r>
    </w:p>
    <w:p>
      <w:pPr>
        <w:pStyle w:val="111"/>
      </w:pPr>
      <w:r>
        <w:drawing>
          <wp:inline distT="0" distB="0" distL="0" distR="0">
            <wp:extent cx="2103120" cy="1492250"/>
            <wp:effectExtent l="0" t="0" r="11430" b="12700"/>
            <wp:docPr id="80"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true" noChangeArrowheads="true"/>
                    </pic:cNvPicPr>
                  </pic:nvPicPr>
                  <pic:blipFill>
                    <a:blip r:embed="rId71">
                      <a:extLst>
                        <a:ext uri="{28A0092B-C50C-407E-A947-70E740481C1C}">
                          <a14:useLocalDpi xmlns:a14="http://schemas.microsoft.com/office/drawing/2010/main" val="false"/>
                        </a:ext>
                      </a:extLst>
                    </a:blip>
                    <a:srcRect/>
                    <a:stretch>
                      <a:fillRect/>
                    </a:stretch>
                  </pic:blipFill>
                  <pic:spPr>
                    <a:xfrm>
                      <a:off x="0" y="0"/>
                      <a:ext cx="2122172" cy="1506057"/>
                    </a:xfrm>
                    <a:prstGeom prst="rect">
                      <a:avLst/>
                    </a:prstGeom>
                    <a:noFill/>
                    <a:ln>
                      <a:noFill/>
                    </a:ln>
                  </pic:spPr>
                </pic:pic>
              </a:graphicData>
            </a:graphic>
          </wp:inline>
        </w:drawing>
      </w:r>
    </w:p>
    <w:p>
      <w:pPr>
        <w:pStyle w:val="111"/>
      </w:pPr>
      <w:bookmarkStart w:id="669" w:name="_Ref191632859"/>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17</w:t>
      </w:r>
      <w:r>
        <w:fldChar w:fldCharType="end"/>
      </w:r>
      <w:bookmarkEnd w:id="669"/>
      <w:r>
        <w:t xml:space="preserve">  钢管混凝土柱钢牛腿</w:t>
      </w:r>
      <w:r>
        <w:rPr>
          <w:rFonts w:hint="eastAsia"/>
        </w:rPr>
        <w:t>连接</w:t>
      </w:r>
    </w:p>
    <w:p>
      <w:pPr>
        <w:pStyle w:val="111"/>
      </w:pPr>
      <w:r>
        <w:t>1—钢管混凝土柱；2—预制梁；3—永久钢牛腿</w:t>
      </w:r>
      <w:r>
        <w:rPr>
          <w:rFonts w:hint="eastAsia"/>
        </w:rPr>
        <w:t>；</w:t>
      </w:r>
      <w:r>
        <w:t>4—</w:t>
      </w:r>
      <w:r>
        <w:rPr>
          <w:rFonts w:hint="eastAsia"/>
        </w:rPr>
        <w:t>支承垫板条</w:t>
      </w:r>
    </w:p>
    <w:p>
      <w:pPr>
        <w:pStyle w:val="98"/>
      </w:pPr>
      <w:r>
        <w:rPr>
          <w:b/>
          <w:bCs w:val="0"/>
        </w:rPr>
        <w:fldChar w:fldCharType="begin"/>
      </w:r>
      <w:r>
        <w:rPr>
          <w:b/>
          <w:bCs w:val="0"/>
        </w:rPr>
        <w:instrText xml:space="preserve"> REF _Ref178151468 \r \h  \* MERGEFORMAT </w:instrText>
      </w:r>
      <w:r>
        <w:rPr>
          <w:b/>
          <w:bCs w:val="0"/>
        </w:rPr>
        <w:fldChar w:fldCharType="separate"/>
      </w:r>
      <w:r>
        <w:rPr>
          <w:b/>
          <w:bCs w:val="0"/>
        </w:rPr>
        <w:t>5. 5. 15</w:t>
      </w:r>
      <w:r>
        <w:rPr>
          <w:b/>
          <w:bCs w:val="0"/>
        </w:rPr>
        <w:fldChar w:fldCharType="end"/>
      </w:r>
      <w:r>
        <w:tab/>
      </w:r>
      <w:r>
        <w:rPr>
          <w:rFonts w:hint="eastAsia"/>
        </w:rPr>
        <w:t>本条给出了梁柱节点铰接的连接构造（</w:t>
      </w:r>
      <w:r>
        <w:fldChar w:fldCharType="begin"/>
      </w:r>
      <w:r>
        <w:instrText xml:space="preserve"> </w:instrText>
      </w:r>
      <w:r>
        <w:rPr>
          <w:rFonts w:hint="eastAsia"/>
        </w:rPr>
        <w:instrText xml:space="preserve">REF _Ref191633017 \h</w:instrText>
      </w:r>
      <w:r>
        <w:instrText xml:space="preserve"> </w:instrText>
      </w:r>
      <w:r>
        <w:fldChar w:fldCharType="separate"/>
      </w:r>
      <w:r>
        <w:rPr>
          <w:rFonts w:hint="eastAsia"/>
        </w:rPr>
        <w:t>图</w:t>
      </w:r>
      <w:r>
        <w:t>18</w:t>
      </w:r>
      <w:r>
        <w:fldChar w:fldCharType="end"/>
      </w:r>
      <w:r>
        <w:rPr>
          <w:rFonts w:hint="eastAsia"/>
        </w:rPr>
        <w:t>）。局部设置带牛腿的铰接连接节点，可使压接装配框架的结构布置更加灵活，降低预应力钢绞线的用量。</w:t>
      </w:r>
    </w:p>
    <w:p>
      <w:pPr>
        <w:pStyle w:val="99"/>
      </w:pPr>
      <w:r>
        <w:rPr>
          <w:rFonts w:hint="eastAsia"/>
        </w:rPr>
        <w:t>梁柱铰接节点设计时，柱侧牛腿和预制企口梁端配筋应满足实际施工阶段梁端支座支反力需求，正常使用阶段梁端抗剪承载力设计时可同时考虑柱侧牛腿和叠合层内纵向构造钢筋的销栓作用。</w:t>
      </w:r>
    </w:p>
    <w:p>
      <w:pPr>
        <w:pStyle w:val="111"/>
      </w:pPr>
      <w:r>
        <w:drawing>
          <wp:inline distT="0" distB="0" distL="0" distR="0">
            <wp:extent cx="2519680" cy="1727200"/>
            <wp:effectExtent l="0" t="0" r="13970" b="6350"/>
            <wp:docPr id="83"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true" noChangeArrowheads="true"/>
                    </pic:cNvPicPr>
                  </pic:nvPicPr>
                  <pic:blipFill>
                    <a:blip r:embed="rId72">
                      <a:extLst>
                        <a:ext uri="{28A0092B-C50C-407E-A947-70E740481C1C}">
                          <a14:useLocalDpi xmlns:a14="http://schemas.microsoft.com/office/drawing/2010/main" val="false"/>
                        </a:ext>
                      </a:extLst>
                    </a:blip>
                    <a:srcRect/>
                    <a:stretch>
                      <a:fillRect/>
                    </a:stretch>
                  </pic:blipFill>
                  <pic:spPr>
                    <a:xfrm>
                      <a:off x="0" y="0"/>
                      <a:ext cx="2519680" cy="1727200"/>
                    </a:xfrm>
                    <a:prstGeom prst="rect">
                      <a:avLst/>
                    </a:prstGeom>
                    <a:noFill/>
                    <a:ln>
                      <a:noFill/>
                    </a:ln>
                  </pic:spPr>
                </pic:pic>
              </a:graphicData>
            </a:graphic>
          </wp:inline>
        </w:drawing>
      </w:r>
    </w:p>
    <w:p>
      <w:pPr>
        <w:pStyle w:val="111"/>
      </w:pPr>
      <w:bookmarkStart w:id="670" w:name="_Ref19163301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18</w:t>
      </w:r>
      <w:r>
        <w:fldChar w:fldCharType="end"/>
      </w:r>
      <w:bookmarkEnd w:id="670"/>
      <w:r>
        <w:t xml:space="preserve">  </w:t>
      </w:r>
      <w:r>
        <w:rPr>
          <w:rFonts w:hint="eastAsia"/>
        </w:rPr>
        <w:t>梁柱节点</w:t>
      </w:r>
      <w:r>
        <w:t>铰接构造</w:t>
      </w:r>
    </w:p>
    <w:p>
      <w:pPr>
        <w:pStyle w:val="111"/>
      </w:pPr>
      <w:r>
        <w:t>1—预制柱；2—柱侧牛腿；3—预制梁；4—梁端预留孔道；5—梁内</w:t>
      </w:r>
      <w:r>
        <w:rPr>
          <w:rFonts w:hint="eastAsia"/>
        </w:rPr>
        <w:t>纵向</w:t>
      </w:r>
      <w:r>
        <w:t>构造钢筋；6—预埋锚</w:t>
      </w:r>
      <w:r>
        <w:rPr>
          <w:rFonts w:hint="eastAsia"/>
        </w:rPr>
        <w:t>筋</w:t>
      </w:r>
    </w:p>
    <w:p>
      <w:pPr>
        <w:pStyle w:val="98"/>
      </w:pPr>
      <w:r>
        <w:rPr>
          <w:b/>
          <w:bCs w:val="0"/>
        </w:rPr>
        <w:fldChar w:fldCharType="begin"/>
      </w:r>
      <w:r>
        <w:rPr>
          <w:b/>
          <w:bCs w:val="0"/>
        </w:rPr>
        <w:instrText xml:space="preserve"> REF _Ref86671357 \r \h  \* MERGEFORMAT </w:instrText>
      </w:r>
      <w:r>
        <w:rPr>
          <w:b/>
          <w:bCs w:val="0"/>
        </w:rPr>
        <w:fldChar w:fldCharType="separate"/>
      </w:r>
      <w:r>
        <w:rPr>
          <w:b/>
          <w:bCs w:val="0"/>
        </w:rPr>
        <w:t>5. 5. 17</w:t>
      </w:r>
      <w:r>
        <w:rPr>
          <w:b/>
          <w:bCs w:val="0"/>
        </w:rPr>
        <w:fldChar w:fldCharType="end"/>
      </w:r>
      <w:r>
        <w:tab/>
      </w:r>
      <w:r>
        <w:rPr>
          <w:rFonts w:hint="eastAsia"/>
        </w:rPr>
        <w:t>附加抗剪钢筋的作用主要为提高梁柱接缝处的抗剪承载力。其位置宜尽量靠近梁截面中部，以减少其承担弯矩作用（</w:t>
      </w:r>
      <w:r>
        <w:fldChar w:fldCharType="begin"/>
      </w:r>
      <w:r>
        <w:instrText xml:space="preserve"> </w:instrText>
      </w:r>
      <w:r>
        <w:rPr>
          <w:rFonts w:hint="eastAsia"/>
        </w:rPr>
        <w:instrText xml:space="preserve">REF _Ref191632948 \h</w:instrText>
      </w:r>
      <w:r>
        <w:instrText xml:space="preserve"> </w:instrText>
      </w:r>
      <w:r>
        <w:fldChar w:fldCharType="separate"/>
      </w:r>
      <w:r>
        <w:rPr>
          <w:rFonts w:hint="eastAsia"/>
        </w:rPr>
        <w:t>图</w:t>
      </w:r>
      <w:r>
        <w:t>19</w:t>
      </w:r>
      <w:r>
        <w:fldChar w:fldCharType="end"/>
      </w:r>
      <w:r>
        <w:rPr>
          <w:rFonts w:hint="eastAsia"/>
        </w:rPr>
        <w:t>）。采用高强度钢筋可有效减少钢筋用量，为现场安装带来便利。附加抗剪钢筋与预制梁顶部净距不宜过小，以方便施工。</w:t>
      </w:r>
    </w:p>
    <w:p>
      <w:pPr>
        <w:pStyle w:val="111"/>
      </w:pPr>
      <w:r>
        <w:drawing>
          <wp:inline distT="0" distB="0" distL="0" distR="0">
            <wp:extent cx="2519680" cy="1727200"/>
            <wp:effectExtent l="0" t="0" r="13970" b="6350"/>
            <wp:docPr id="84" name="图片 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true" noChangeArrowheads="true"/>
                    </pic:cNvPicPr>
                  </pic:nvPicPr>
                  <pic:blipFill>
                    <a:blip r:embed="rId73">
                      <a:extLst>
                        <a:ext uri="{28A0092B-C50C-407E-A947-70E740481C1C}">
                          <a14:useLocalDpi xmlns:a14="http://schemas.microsoft.com/office/drawing/2010/main" val="false"/>
                        </a:ext>
                      </a:extLst>
                    </a:blip>
                    <a:srcRect/>
                    <a:stretch>
                      <a:fillRect/>
                    </a:stretch>
                  </pic:blipFill>
                  <pic:spPr>
                    <a:xfrm>
                      <a:off x="0" y="0"/>
                      <a:ext cx="2519680" cy="1727200"/>
                    </a:xfrm>
                    <a:prstGeom prst="rect">
                      <a:avLst/>
                    </a:prstGeom>
                    <a:noFill/>
                    <a:ln>
                      <a:noFill/>
                    </a:ln>
                  </pic:spPr>
                </pic:pic>
              </a:graphicData>
            </a:graphic>
          </wp:inline>
        </w:drawing>
      </w:r>
    </w:p>
    <w:p>
      <w:pPr>
        <w:pStyle w:val="111"/>
      </w:pPr>
      <w:bookmarkStart w:id="671" w:name="_Ref19163294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19</w:t>
      </w:r>
      <w:r>
        <w:fldChar w:fldCharType="end"/>
      </w:r>
      <w:bookmarkEnd w:id="671"/>
      <w:r>
        <w:t xml:space="preserve">  </w:t>
      </w:r>
      <w:r>
        <w:rPr>
          <w:rFonts w:hint="eastAsia"/>
        </w:rPr>
        <w:t>梁端叠合层内</w:t>
      </w:r>
      <w:r>
        <w:t>抗剪钢筋</w:t>
      </w:r>
      <w:r>
        <w:rPr>
          <w:rFonts w:hint="eastAsia"/>
        </w:rPr>
        <w:t>构造</w:t>
      </w:r>
    </w:p>
    <w:p>
      <w:pPr>
        <w:pStyle w:val="111"/>
      </w:pPr>
      <w:r>
        <w:t>1—附加抗剪钢筋；2—梁端耗能钢筋；3—预应力钢绞线</w:t>
      </w:r>
    </w:p>
    <w:p/>
    <w:p>
      <w:pPr>
        <w:pStyle w:val="100"/>
      </w:pPr>
      <w:bookmarkStart w:id="672" w:name="_Toc202345864"/>
      <w:r>
        <w:rPr>
          <w:rFonts w:hint="eastAsia"/>
        </w:rPr>
        <w:t>5</w:t>
      </w:r>
      <w:r>
        <w:t>.7  其他</w:t>
      </w:r>
      <w:r>
        <w:rPr>
          <w:rFonts w:hint="eastAsia"/>
        </w:rPr>
        <w:t>连接设计</w:t>
      </w:r>
      <w:bookmarkEnd w:id="672"/>
    </w:p>
    <w:p>
      <w:pPr>
        <w:pStyle w:val="98"/>
      </w:pPr>
      <w:r>
        <w:rPr>
          <w:b/>
          <w:bCs w:val="0"/>
        </w:rPr>
        <w:fldChar w:fldCharType="begin"/>
      </w:r>
      <w:r>
        <w:rPr>
          <w:b/>
          <w:bCs w:val="0"/>
        </w:rPr>
        <w:instrText xml:space="preserve"> REF _Ref198039879 \r \h  \* MERGEFORMAT </w:instrText>
      </w:r>
      <w:r>
        <w:rPr>
          <w:b/>
          <w:bCs w:val="0"/>
        </w:rPr>
        <w:fldChar w:fldCharType="separate"/>
      </w:r>
      <w:r>
        <w:rPr>
          <w:b/>
          <w:bCs w:val="0"/>
        </w:rPr>
        <w:t>5. 7. 1</w:t>
      </w:r>
      <w:r>
        <w:rPr>
          <w:b/>
          <w:bCs w:val="0"/>
        </w:rPr>
        <w:fldChar w:fldCharType="end"/>
      </w:r>
      <w:r>
        <w:tab/>
      </w:r>
      <w:r>
        <w:rPr>
          <w:rFonts w:hint="eastAsia"/>
        </w:rPr>
        <w:t>与螺纹连接的半灌浆套筒相比，全灌浆套筒的施工质量更容易保证。</w:t>
      </w:r>
    </w:p>
    <w:p>
      <w:pPr>
        <w:pStyle w:val="98"/>
      </w:pPr>
      <w:r>
        <w:rPr>
          <w:b/>
          <w:bCs w:val="0"/>
        </w:rPr>
        <w:fldChar w:fldCharType="begin"/>
      </w:r>
      <w:r>
        <w:rPr>
          <w:b/>
          <w:bCs w:val="0"/>
        </w:rPr>
        <w:instrText xml:space="preserve"> REF _Ref198039944 \r \h  \* MERGEFORMAT </w:instrText>
      </w:r>
      <w:r>
        <w:rPr>
          <w:b/>
          <w:bCs w:val="0"/>
        </w:rPr>
        <w:fldChar w:fldCharType="separate"/>
      </w:r>
      <w:r>
        <w:rPr>
          <w:b/>
          <w:bCs w:val="0"/>
        </w:rPr>
        <w:t>5. 7. 2</w:t>
      </w:r>
      <w:r>
        <w:rPr>
          <w:b/>
          <w:bCs w:val="0"/>
        </w:rPr>
        <w:fldChar w:fldCharType="end"/>
      </w:r>
      <w:r>
        <w:tab/>
      </w:r>
      <w:r>
        <w:rPr>
          <w:rFonts w:hint="eastAsia"/>
        </w:rPr>
        <w:t>预制上下柱等强连接构造见</w:t>
      </w:r>
      <w:r>
        <w:fldChar w:fldCharType="begin"/>
      </w:r>
      <w:r>
        <w:instrText xml:space="preserve"> </w:instrText>
      </w:r>
      <w:r>
        <w:rPr>
          <w:rFonts w:hint="eastAsia"/>
        </w:rPr>
        <w:instrText xml:space="preserve">REF _Ref191633337 \h</w:instrText>
      </w:r>
      <w:r>
        <w:instrText xml:space="preserve"> </w:instrText>
      </w:r>
      <w:r>
        <w:fldChar w:fldCharType="separate"/>
      </w:r>
      <w:r>
        <w:rPr>
          <w:rFonts w:hint="eastAsia"/>
        </w:rPr>
        <w:t>图</w:t>
      </w:r>
      <w:r>
        <w:t>20</w:t>
      </w:r>
      <w:r>
        <w:fldChar w:fldCharType="end"/>
      </w:r>
      <w:r>
        <w:rPr>
          <w:rFonts w:hint="eastAsia"/>
        </w:rPr>
        <w:t>和</w:t>
      </w:r>
      <w:r>
        <w:fldChar w:fldCharType="begin"/>
      </w:r>
      <w:r>
        <w:instrText xml:space="preserve"> REF _Ref191633340 \h </w:instrText>
      </w:r>
      <w:r>
        <w:fldChar w:fldCharType="separate"/>
      </w:r>
      <w:r>
        <w:rPr>
          <w:rFonts w:hint="eastAsia"/>
        </w:rPr>
        <w:t>图</w:t>
      </w:r>
      <w:r>
        <w:t>21</w:t>
      </w:r>
      <w:r>
        <w:fldChar w:fldCharType="end"/>
      </w:r>
      <w:r>
        <w:rPr>
          <w:rFonts w:hint="eastAsia"/>
        </w:rPr>
        <w:t>，不等强连接构造见</w:t>
      </w:r>
      <w:r>
        <w:fldChar w:fldCharType="begin"/>
      </w:r>
      <w:r>
        <w:instrText xml:space="preserve"> </w:instrText>
      </w:r>
      <w:r>
        <w:rPr>
          <w:rFonts w:hint="eastAsia"/>
        </w:rPr>
        <w:instrText xml:space="preserve">REF _Ref191633346 \h</w:instrText>
      </w:r>
      <w:r>
        <w:instrText xml:space="preserve"> </w:instrText>
      </w:r>
      <w:r>
        <w:fldChar w:fldCharType="separate"/>
      </w:r>
      <w:r>
        <w:rPr>
          <w:rFonts w:hint="eastAsia"/>
        </w:rPr>
        <w:t>图</w:t>
      </w:r>
      <w:r>
        <w:t>22</w:t>
      </w:r>
      <w:r>
        <w:fldChar w:fldCharType="end"/>
      </w:r>
      <w:r>
        <w:rPr>
          <w:rFonts w:hint="eastAsia"/>
        </w:rPr>
        <w:t>。已有工程实践经验表明，上下柱段间接缝高出楼面标高便于叠合层混凝土浇筑找平，同时给接缝四周封仓和套筒灌浆作业带来操作空间。下柱超出楼面过高，不利于预制柱施工安装过程中的临时固定，安装风险高。</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4"/>
        <w:gridCol w:w="4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154" w:type="dxa"/>
            <w:tcBorders>
              <w:tl2br w:val="nil"/>
              <w:tr2bl w:val="nil"/>
            </w:tcBorders>
          </w:tcPr>
          <w:p>
            <w:pPr>
              <w:pStyle w:val="111"/>
              <w:rPr>
                <w:rFonts w:hint="eastAsia" w:ascii="MS Sans Serif" w:hAnsi="MS Sans Serif"/>
              </w:rPr>
            </w:pPr>
            <w:r>
              <w:rPr>
                <w:rFonts w:ascii="MS Sans Serif" w:hAnsi="MS Sans Serif"/>
              </w:rPr>
              <w:drawing>
                <wp:inline distT="0" distB="0" distL="0" distR="0">
                  <wp:extent cx="2519680" cy="1724025"/>
                  <wp:effectExtent l="0" t="0" r="0" b="9525"/>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74">
                            <a:extLst>
                              <a:ext uri="{28A0092B-C50C-407E-A947-70E740481C1C}">
                                <a14:useLocalDpi xmlns:a14="http://schemas.microsoft.com/office/drawing/2010/main" val="false"/>
                              </a:ext>
                            </a:extLst>
                          </a:blip>
                          <a:srcRect/>
                          <a:stretch>
                            <a:fillRect/>
                          </a:stretch>
                        </pic:blipFill>
                        <pic:spPr>
                          <a:xfrm>
                            <a:off x="0" y="0"/>
                            <a:ext cx="2520000" cy="1724400"/>
                          </a:xfrm>
                          <a:prstGeom prst="rect">
                            <a:avLst/>
                          </a:prstGeom>
                          <a:noFill/>
                          <a:ln>
                            <a:noFill/>
                          </a:ln>
                        </pic:spPr>
                      </pic:pic>
                    </a:graphicData>
                  </a:graphic>
                </wp:inline>
              </w:drawing>
            </w:r>
          </w:p>
        </w:tc>
        <w:tc>
          <w:tcPr>
            <w:tcW w:w="4152" w:type="dxa"/>
            <w:tcBorders>
              <w:tl2br w:val="nil"/>
              <w:tr2bl w:val="nil"/>
            </w:tcBorders>
          </w:tcPr>
          <w:p>
            <w:pPr>
              <w:pStyle w:val="111"/>
              <w:rPr>
                <w:rFonts w:hint="eastAsia" w:ascii="MS Sans Serif" w:hAnsi="MS Sans Serif"/>
              </w:rPr>
            </w:pPr>
            <w:r>
              <w:rPr>
                <w:rFonts w:ascii="MS Sans Serif" w:hAnsi="MS Sans Serif"/>
              </w:rPr>
              <w:drawing>
                <wp:inline distT="0" distB="0" distL="0" distR="0">
                  <wp:extent cx="2518410" cy="1723390"/>
                  <wp:effectExtent l="0" t="0" r="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75">
                            <a:extLst>
                              <a:ext uri="{28A0092B-C50C-407E-A947-70E740481C1C}">
                                <a14:useLocalDpi xmlns:a14="http://schemas.microsoft.com/office/drawing/2010/main" val="false"/>
                              </a:ext>
                            </a:extLst>
                          </a:blip>
                          <a:srcRect/>
                          <a:stretch>
                            <a:fillRect/>
                          </a:stretch>
                        </pic:blipFill>
                        <pic:spPr>
                          <a:xfrm>
                            <a:off x="0" y="0"/>
                            <a:ext cx="2518410" cy="17233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4" w:type="dxa"/>
            <w:tcBorders>
              <w:tl2br w:val="nil"/>
              <w:tr2bl w:val="nil"/>
            </w:tcBorders>
          </w:tcPr>
          <w:p>
            <w:pPr>
              <w:pStyle w:val="111"/>
              <w:rPr>
                <w:rFonts w:hint="eastAsia" w:ascii="MS Sans Serif" w:hAnsi="MS Sans Serif"/>
              </w:rPr>
            </w:pPr>
            <w:r>
              <w:rPr>
                <w:rFonts w:ascii="MS Sans Serif" w:hAnsi="MS Sans Serif"/>
              </w:rPr>
              <w:t>(</w:t>
            </w:r>
            <w:r>
              <w:rPr>
                <w:rFonts w:hint="eastAsia" w:ascii="MS Sans Serif" w:hAnsi="MS Sans Serif"/>
              </w:rPr>
              <w:t>a</w:t>
            </w:r>
            <w:r>
              <w:rPr>
                <w:rFonts w:ascii="MS Sans Serif" w:hAnsi="MS Sans Serif"/>
              </w:rPr>
              <w:t xml:space="preserve">) </w:t>
            </w:r>
          </w:p>
        </w:tc>
        <w:tc>
          <w:tcPr>
            <w:tcW w:w="4152" w:type="dxa"/>
            <w:tcBorders>
              <w:tl2br w:val="nil"/>
              <w:tr2bl w:val="nil"/>
            </w:tcBorders>
          </w:tcPr>
          <w:p>
            <w:pPr>
              <w:pStyle w:val="111"/>
              <w:rPr>
                <w:rFonts w:hint="eastAsia" w:ascii="MS Sans Serif" w:hAnsi="MS Sans Serif"/>
                <w:b/>
                <w:bCs/>
              </w:rPr>
            </w:pPr>
            <w:r>
              <w:rPr>
                <w:rFonts w:ascii="MS Sans Serif" w:hAnsi="MS Sans Serif"/>
              </w:rPr>
              <w:t>(b)</w:t>
            </w:r>
          </w:p>
        </w:tc>
      </w:tr>
    </w:tbl>
    <w:p>
      <w:pPr>
        <w:pStyle w:val="111"/>
      </w:pPr>
      <w:bookmarkStart w:id="673" w:name="_Ref19163333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20</w:t>
      </w:r>
      <w:r>
        <w:fldChar w:fldCharType="end"/>
      </w:r>
      <w:bookmarkEnd w:id="673"/>
      <w:r>
        <w:t xml:space="preserve">  </w:t>
      </w:r>
      <w:r>
        <w:rPr>
          <w:rFonts w:hint="eastAsia"/>
        </w:rPr>
        <w:t>预制混凝土</w:t>
      </w:r>
      <w:r>
        <w:t>柱</w:t>
      </w:r>
      <w:r>
        <w:rPr>
          <w:rFonts w:hint="eastAsia"/>
        </w:rPr>
        <w:t>等强连接</w:t>
      </w:r>
      <w:r>
        <w:t>构造</w:t>
      </w:r>
    </w:p>
    <w:p>
      <w:pPr>
        <w:pStyle w:val="111"/>
      </w:pPr>
      <w:r>
        <w:t>1—下层柱；2—上层柱；3—预制柱间接缝；4—钢筋套筒灌浆连接；</w:t>
      </w:r>
    </w:p>
    <w:p>
      <w:pPr>
        <w:pStyle w:val="111"/>
      </w:pPr>
      <w:r>
        <w:t>5—柱底箍筋加密区</w:t>
      </w:r>
      <w:r>
        <w:rPr>
          <w:rFonts w:hint="eastAsia"/>
        </w:rPr>
        <w:t>；</w:t>
      </w:r>
      <w:r>
        <w:t>6—</w:t>
      </w:r>
      <w:r>
        <w:rPr>
          <w:rFonts w:hint="eastAsia"/>
        </w:rPr>
        <w:t>叠合层先浇区（混凝土强度同预制柱）</w:t>
      </w:r>
      <w:r>
        <w:t xml:space="preserve"> </w:t>
      </w:r>
    </w:p>
    <w:p>
      <w:pPr>
        <w:pStyle w:val="111"/>
        <w:rPr>
          <w:color w:val="0000FF"/>
          <w:highlight w:val="yellow"/>
        </w:rPr>
      </w:pPr>
      <w:r>
        <w:drawing>
          <wp:inline distT="0" distB="0" distL="0" distR="0">
            <wp:extent cx="1559560" cy="1788160"/>
            <wp:effectExtent l="0" t="0" r="2540" b="2540"/>
            <wp:docPr id="86"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true" noChangeArrowheads="true"/>
                    </pic:cNvPicPr>
                  </pic:nvPicPr>
                  <pic:blipFill>
                    <a:blip r:embed="rId76">
                      <a:extLst>
                        <a:ext uri="{28A0092B-C50C-407E-A947-70E740481C1C}">
                          <a14:useLocalDpi xmlns:a14="http://schemas.microsoft.com/office/drawing/2010/main" val="false"/>
                        </a:ext>
                      </a:extLst>
                    </a:blip>
                    <a:srcRect/>
                    <a:stretch>
                      <a:fillRect/>
                    </a:stretch>
                  </pic:blipFill>
                  <pic:spPr>
                    <a:xfrm>
                      <a:off x="0" y="0"/>
                      <a:ext cx="1559560" cy="1788160"/>
                    </a:xfrm>
                    <a:prstGeom prst="rect">
                      <a:avLst/>
                    </a:prstGeom>
                    <a:noFill/>
                    <a:ln>
                      <a:noFill/>
                    </a:ln>
                  </pic:spPr>
                </pic:pic>
              </a:graphicData>
            </a:graphic>
          </wp:inline>
        </w:drawing>
      </w:r>
    </w:p>
    <w:p>
      <w:pPr>
        <w:pStyle w:val="111"/>
      </w:pPr>
      <w:bookmarkStart w:id="674" w:name="_Ref191633340"/>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21</w:t>
      </w:r>
      <w:r>
        <w:fldChar w:fldCharType="end"/>
      </w:r>
      <w:bookmarkEnd w:id="674"/>
      <w:r>
        <w:t xml:space="preserve">  </w:t>
      </w:r>
      <w:r>
        <w:rPr>
          <w:rFonts w:hint="eastAsia"/>
        </w:rPr>
        <w:t>钢管混凝土柱等强连接构造</w:t>
      </w:r>
    </w:p>
    <w:p>
      <w:pPr>
        <w:pStyle w:val="111"/>
      </w:pPr>
      <w:r>
        <w:t>1—下段钢管混凝土柱；</w:t>
      </w:r>
      <w:r>
        <w:rPr>
          <w:rFonts w:hint="eastAsia"/>
        </w:rPr>
        <w:t>2</w:t>
      </w:r>
      <w:r>
        <w:t>—上段钢管混凝土柱；3—安装用连接耳板</w:t>
      </w:r>
    </w:p>
    <w:p>
      <w:pPr>
        <w:pStyle w:val="111"/>
      </w:pPr>
      <w:r>
        <w:drawing>
          <wp:inline distT="0" distB="0" distL="0" distR="0">
            <wp:extent cx="1559560" cy="1788160"/>
            <wp:effectExtent l="0" t="0" r="2540" b="2540"/>
            <wp:docPr id="87"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true" noChangeArrowheads="true"/>
                    </pic:cNvPicPr>
                  </pic:nvPicPr>
                  <pic:blipFill>
                    <a:blip r:embed="rId77">
                      <a:extLst>
                        <a:ext uri="{28A0092B-C50C-407E-A947-70E740481C1C}">
                          <a14:useLocalDpi xmlns:a14="http://schemas.microsoft.com/office/drawing/2010/main" val="false"/>
                        </a:ext>
                      </a:extLst>
                    </a:blip>
                    <a:srcRect/>
                    <a:stretch>
                      <a:fillRect/>
                    </a:stretch>
                  </pic:blipFill>
                  <pic:spPr>
                    <a:xfrm>
                      <a:off x="0" y="0"/>
                      <a:ext cx="1559560" cy="1788160"/>
                    </a:xfrm>
                    <a:prstGeom prst="rect">
                      <a:avLst/>
                    </a:prstGeom>
                    <a:noFill/>
                    <a:ln>
                      <a:noFill/>
                    </a:ln>
                  </pic:spPr>
                </pic:pic>
              </a:graphicData>
            </a:graphic>
          </wp:inline>
        </w:drawing>
      </w:r>
    </w:p>
    <w:p>
      <w:pPr>
        <w:pStyle w:val="111"/>
      </w:pPr>
      <w:bookmarkStart w:id="675" w:name="_Ref191633346"/>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22</w:t>
      </w:r>
      <w:r>
        <w:fldChar w:fldCharType="end"/>
      </w:r>
      <w:bookmarkEnd w:id="675"/>
      <w:r>
        <w:t xml:space="preserve">  </w:t>
      </w:r>
      <w:r>
        <w:rPr>
          <w:rFonts w:hint="eastAsia"/>
        </w:rPr>
        <w:t>预制混凝土空心</w:t>
      </w:r>
      <w:r>
        <w:t>柱</w:t>
      </w:r>
      <w:r>
        <w:rPr>
          <w:rFonts w:hint="eastAsia"/>
        </w:rPr>
        <w:t>不等强连接</w:t>
      </w:r>
      <w:r>
        <w:t>构造</w:t>
      </w:r>
    </w:p>
    <w:p>
      <w:r>
        <w:rPr>
          <w:rFonts w:hint="eastAsia"/>
        </w:rPr>
        <w:t>1—下段预制空心柱；</w:t>
      </w:r>
      <w:r>
        <w:t>2</w:t>
      </w:r>
      <w:r>
        <w:rPr>
          <w:rFonts w:hint="eastAsia"/>
        </w:rPr>
        <w:t>—上段预制空心柱；</w:t>
      </w:r>
      <w:r>
        <w:t>3</w:t>
      </w:r>
      <w:r>
        <w:rPr>
          <w:rFonts w:hint="eastAsia"/>
        </w:rPr>
        <w:t>—预埋柱靴；</w:t>
      </w:r>
      <w:r>
        <w:t>4</w:t>
      </w:r>
      <w:r>
        <w:rPr>
          <w:rFonts w:hint="eastAsia"/>
        </w:rPr>
        <w:t>—柱搭接钢筋笼</w:t>
      </w:r>
    </w:p>
    <w:p/>
    <w:p>
      <w:pPr>
        <w:pStyle w:val="98"/>
      </w:pPr>
      <w:r>
        <w:rPr>
          <w:b/>
          <w:bCs w:val="0"/>
        </w:rPr>
        <w:fldChar w:fldCharType="begin"/>
      </w:r>
      <w:r>
        <w:rPr>
          <w:b/>
          <w:bCs w:val="0"/>
        </w:rPr>
        <w:instrText xml:space="preserve"> REF _Ref91595203 \r \h  \* MERGEFORMAT </w:instrText>
      </w:r>
      <w:r>
        <w:rPr>
          <w:b/>
          <w:bCs w:val="0"/>
        </w:rPr>
        <w:fldChar w:fldCharType="separate"/>
      </w:r>
      <w:r>
        <w:rPr>
          <w:b/>
          <w:bCs w:val="0"/>
        </w:rPr>
        <w:t>5. 7. 3</w:t>
      </w:r>
      <w:r>
        <w:rPr>
          <w:b/>
          <w:bCs w:val="0"/>
        </w:rPr>
        <w:fldChar w:fldCharType="end"/>
      </w:r>
      <w:r>
        <w:tab/>
      </w:r>
      <w:r>
        <w:rPr>
          <w:rFonts w:hint="eastAsia"/>
        </w:rPr>
        <w:t>柱底施工灌浆时，气体将沿着柱底斜面通过排气管排出，因此预制柱底斜面不应设置粗糙面，以免粗糙面内气泡驻留，降低柱底承载力（</w:t>
      </w:r>
      <w:r>
        <w:fldChar w:fldCharType="begin"/>
      </w:r>
      <w:r>
        <w:instrText xml:space="preserve"> </w:instrText>
      </w:r>
      <w:r>
        <w:rPr>
          <w:rFonts w:hint="eastAsia"/>
        </w:rPr>
        <w:instrText xml:space="preserve">REF _Ref191633490 \h</w:instrText>
      </w:r>
      <w:r>
        <w:instrText xml:space="preserve"> </w:instrText>
      </w:r>
      <w:r>
        <w:fldChar w:fldCharType="separate"/>
      </w:r>
      <w:r>
        <w:rPr>
          <w:rFonts w:hint="eastAsia"/>
        </w:rPr>
        <w:t>图</w:t>
      </w:r>
      <w:r>
        <w:t>23</w:t>
      </w:r>
      <w:r>
        <w:fldChar w:fldCharType="end"/>
      </w:r>
      <w:r>
        <w:rPr>
          <w:rFonts w:hint="eastAsia"/>
        </w:rPr>
        <w:t>）。</w:t>
      </w:r>
    </w:p>
    <w:p>
      <w:pPr>
        <w:pStyle w:val="111"/>
      </w:pPr>
      <w:r>
        <w:drawing>
          <wp:inline distT="0" distB="0" distL="0" distR="0">
            <wp:extent cx="3642360" cy="1631315"/>
            <wp:effectExtent l="0" t="0" r="0" b="6985"/>
            <wp:docPr id="88"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true" noChangeArrowheads="true"/>
                    </pic:cNvPicPr>
                  </pic:nvPicPr>
                  <pic:blipFill>
                    <a:blip r:embed="rId78">
                      <a:extLst>
                        <a:ext uri="{28A0092B-C50C-407E-A947-70E740481C1C}">
                          <a14:useLocalDpi xmlns:a14="http://schemas.microsoft.com/office/drawing/2010/main" val="false"/>
                        </a:ext>
                      </a:extLst>
                    </a:blip>
                    <a:srcRect/>
                    <a:stretch>
                      <a:fillRect/>
                    </a:stretch>
                  </pic:blipFill>
                  <pic:spPr>
                    <a:xfrm>
                      <a:off x="0" y="0"/>
                      <a:ext cx="3648752" cy="1634488"/>
                    </a:xfrm>
                    <a:prstGeom prst="rect">
                      <a:avLst/>
                    </a:prstGeom>
                    <a:noFill/>
                    <a:ln>
                      <a:noFill/>
                    </a:ln>
                  </pic:spPr>
                </pic:pic>
              </a:graphicData>
            </a:graphic>
          </wp:inline>
        </w:drawing>
      </w:r>
    </w:p>
    <w:p>
      <w:pPr>
        <w:pStyle w:val="111"/>
      </w:pPr>
      <w:bookmarkStart w:id="676" w:name="_Ref191633490"/>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23</w:t>
      </w:r>
      <w:r>
        <w:fldChar w:fldCharType="end"/>
      </w:r>
      <w:bookmarkEnd w:id="676"/>
      <w:r>
        <w:t xml:space="preserve">  柱底</w:t>
      </w:r>
      <w:r>
        <w:rPr>
          <w:rFonts w:hint="eastAsia"/>
        </w:rPr>
        <w:t>抗剪凹</w:t>
      </w:r>
      <w:r>
        <w:t>槽</w:t>
      </w:r>
      <w:r>
        <w:rPr>
          <w:rFonts w:hint="eastAsia"/>
        </w:rPr>
        <w:t>和</w:t>
      </w:r>
      <w:r>
        <w:t>排气孔构造</w:t>
      </w:r>
    </w:p>
    <w:p>
      <w:pPr>
        <w:pStyle w:val="111"/>
      </w:pPr>
      <w:r>
        <w:t>1—预制柱；2—排气孔</w:t>
      </w:r>
    </w:p>
    <w:p>
      <w:pPr>
        <w:pStyle w:val="98"/>
      </w:pPr>
      <w:r>
        <w:rPr>
          <w:b/>
          <w:bCs w:val="0"/>
        </w:rPr>
        <w:fldChar w:fldCharType="begin"/>
      </w:r>
      <w:r>
        <w:rPr>
          <w:b/>
          <w:bCs w:val="0"/>
        </w:rPr>
        <w:instrText xml:space="preserve"> REF _Ref175686561 \r \h  \* MERGEFORMAT </w:instrText>
      </w:r>
      <w:r>
        <w:rPr>
          <w:b/>
          <w:bCs w:val="0"/>
        </w:rPr>
        <w:fldChar w:fldCharType="separate"/>
      </w:r>
      <w:r>
        <w:rPr>
          <w:b/>
          <w:bCs w:val="0"/>
        </w:rPr>
        <w:t>5. 7. 5</w:t>
      </w:r>
      <w:r>
        <w:rPr>
          <w:b/>
          <w:bCs w:val="0"/>
        </w:rPr>
        <w:fldChar w:fldCharType="end"/>
      </w:r>
      <w:r>
        <w:tab/>
      </w:r>
      <w:bookmarkStart w:id="677" w:name="_Hlk175219662"/>
      <w:r>
        <w:rPr>
          <w:rFonts w:hint="eastAsia"/>
        </w:rPr>
        <w:t>高轴压低周往复加载对比试验表明，柱端钢筋耗能型节点和柱端外包钢板低损伤节点比现浇柱脚节点及等同现浇装配式柱脚节点具有更好的延性和低损伤特性。柱端钢筋耗能型节点适用于中高烈度区建造的高层框架结构，切削段与未切削段应设置不小于1:4的平滑过渡，以避免应力集中（</w:t>
      </w:r>
      <w:r>
        <w:fldChar w:fldCharType="begin"/>
      </w:r>
      <w:r>
        <w:instrText xml:space="preserve"> </w:instrText>
      </w:r>
      <w:r>
        <w:rPr>
          <w:rFonts w:hint="eastAsia"/>
        </w:rPr>
        <w:instrText xml:space="preserve">REF _Ref191633606 \h</w:instrText>
      </w:r>
      <w:r>
        <w:instrText xml:space="preserve"> </w:instrText>
      </w:r>
      <w:r>
        <w:fldChar w:fldCharType="separate"/>
      </w:r>
      <w:r>
        <w:rPr>
          <w:rFonts w:hint="eastAsia"/>
        </w:rPr>
        <w:t>图</w:t>
      </w:r>
      <w:r>
        <w:t>24</w:t>
      </w:r>
      <w:r>
        <w:fldChar w:fldCharType="end"/>
      </w:r>
      <w:r>
        <w:rPr>
          <w:rFonts w:hint="eastAsia"/>
        </w:rPr>
        <w:t>）。切削后的截面应尽快用塑料胶带密封，防止锈蚀并兼顾与混凝土的粘结隔离。外包钢板低损伤节点延性最好，适用于高轴压比且有低损伤性能要求的高层框架结构。</w:t>
      </w:r>
    </w:p>
    <w:p>
      <w:pPr>
        <w:pStyle w:val="111"/>
        <w:rPr>
          <w:color w:val="0000FF"/>
        </w:rPr>
      </w:pPr>
      <w:r>
        <w:drawing>
          <wp:inline distT="0" distB="0" distL="0" distR="0">
            <wp:extent cx="2519680" cy="1788160"/>
            <wp:effectExtent l="0" t="0" r="0" b="254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noChangeArrowheads="true"/>
                    </pic:cNvPicPr>
                  </pic:nvPicPr>
                  <pic:blipFill>
                    <a:blip r:embed="rId79">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p>
      <w:pPr>
        <w:pStyle w:val="111"/>
      </w:pPr>
      <w:bookmarkStart w:id="678" w:name="_Ref191633606"/>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24</w:t>
      </w:r>
      <w:r>
        <w:fldChar w:fldCharType="end"/>
      </w:r>
      <w:bookmarkEnd w:id="678"/>
      <w:r>
        <w:t xml:space="preserve">  柱底插筋</w:t>
      </w:r>
    </w:p>
    <w:p>
      <w:pPr>
        <w:pStyle w:val="111"/>
      </w:pPr>
      <w:r>
        <w:t>1—预留插筋；2—钢筋削弱无粘</w:t>
      </w:r>
      <w:r>
        <w:rPr>
          <w:rFonts w:hint="eastAsia"/>
        </w:rPr>
        <w:t>结</w:t>
      </w:r>
      <w:r>
        <w:t>段</w:t>
      </w:r>
    </w:p>
    <w:p>
      <w:pPr>
        <w:pStyle w:val="99"/>
      </w:pPr>
      <w:r>
        <w:rPr>
          <w:rFonts w:hint="eastAsia"/>
        </w:rPr>
        <w:t>柱脚连接节点在罕遇地震作用下一般较梁柱节点更早进入塑性，增大柱脚截面的抗弯钢筋数量对提升其延性的效果并不显著。编制组完成的对比试验研究表明，配置同样纵筋的情况下，柱端钢筋耗能型节点和柱端外包钢板低损伤节点较通常等同现浇节点延性更好，损伤更小，极限承载力基本一致。但是按标准承载力计算公式计算，由于柱端钢筋耗能型节点和柱端外包钢板低损伤节点对纵筋进行了约20%局部削弱，其名义计算承载力更低，与实验结果不符。因此，本规程通过降低柱脚地震弯矩增大系数的方法进行调整，使采用柱端钢筋耗能型节点和柱端外包钢板低损伤节点的纵筋不至于较等同现浇节点增大过多。考虑到柱端外包钢板低损伤节点其抗震性能较柱端钢筋耗能型节点更优一些,,因此弯矩增大系数适当降低。</w:t>
      </w:r>
    </w:p>
    <w:bookmarkEnd w:id="677"/>
    <w:p>
      <w:pPr>
        <w:pStyle w:val="98"/>
      </w:pPr>
      <w:r>
        <w:rPr>
          <w:b/>
          <w:bCs w:val="0"/>
        </w:rPr>
        <w:fldChar w:fldCharType="begin"/>
      </w:r>
      <w:r>
        <w:rPr>
          <w:b/>
          <w:bCs w:val="0"/>
        </w:rPr>
        <w:instrText xml:space="preserve"> REF _Ref88815581 \r \h  \* MERGEFORMAT </w:instrText>
      </w:r>
      <w:r>
        <w:rPr>
          <w:b/>
          <w:bCs w:val="0"/>
        </w:rPr>
        <w:fldChar w:fldCharType="separate"/>
      </w:r>
      <w:r>
        <w:rPr>
          <w:b/>
          <w:bCs w:val="0"/>
        </w:rPr>
        <w:t>5. 7. 7</w:t>
      </w:r>
      <w:r>
        <w:rPr>
          <w:b/>
          <w:bCs w:val="0"/>
        </w:rPr>
        <w:fldChar w:fldCharType="end"/>
      </w:r>
      <w:r>
        <w:tab/>
      </w:r>
      <w:r>
        <w:rPr>
          <w:rFonts w:hint="eastAsia"/>
        </w:rPr>
        <w:t>框架与剪力墙铰接连接构造可参考</w:t>
      </w:r>
      <w:r>
        <w:fldChar w:fldCharType="begin"/>
      </w:r>
      <w:r>
        <w:instrText xml:space="preserve"> </w:instrText>
      </w:r>
      <w:r>
        <w:rPr>
          <w:rFonts w:hint="eastAsia"/>
        </w:rPr>
        <w:instrText xml:space="preserve">REF _Ref191633727 \h</w:instrText>
      </w:r>
      <w:r>
        <w:instrText xml:space="preserve"> </w:instrText>
      </w:r>
      <w:r>
        <w:fldChar w:fldCharType="separate"/>
      </w:r>
      <w:r>
        <w:rPr>
          <w:rFonts w:hint="eastAsia"/>
        </w:rPr>
        <w:t>图</w:t>
      </w:r>
      <w:r>
        <w:t>25</w:t>
      </w:r>
      <w:r>
        <w:fldChar w:fldCharType="end"/>
      </w:r>
      <w:r>
        <w:rPr>
          <w:rFonts w:hint="eastAsia"/>
        </w:rPr>
        <w:t>。</w:t>
      </w:r>
    </w:p>
    <w:tbl>
      <w:tblPr>
        <w:tblStyle w:val="32"/>
        <w:tblW w:w="8795" w:type="dxa"/>
        <w:jc w:val="center"/>
        <w:tblLayout w:type="fixed"/>
        <w:tblCellMar>
          <w:top w:w="0" w:type="dxa"/>
          <w:left w:w="108" w:type="dxa"/>
          <w:bottom w:w="0" w:type="dxa"/>
          <w:right w:w="108" w:type="dxa"/>
        </w:tblCellMar>
      </w:tblPr>
      <w:tblGrid>
        <w:gridCol w:w="4595"/>
        <w:gridCol w:w="4200"/>
      </w:tblGrid>
      <w:tr>
        <w:tblPrEx>
          <w:tblCellMar>
            <w:top w:w="0" w:type="dxa"/>
            <w:left w:w="108" w:type="dxa"/>
            <w:bottom w:w="0" w:type="dxa"/>
            <w:right w:w="108" w:type="dxa"/>
          </w:tblCellMar>
        </w:tblPrEx>
        <w:trPr>
          <w:trHeight w:val="3035" w:hRule="atLeast"/>
          <w:jc w:val="center"/>
        </w:trPr>
        <w:tc>
          <w:tcPr>
            <w:tcW w:w="4595" w:type="dxa"/>
            <w:vAlign w:val="center"/>
          </w:tcPr>
          <w:p>
            <w:pPr>
              <w:pStyle w:val="111"/>
              <w:rPr>
                <w:highlight w:val="yellow"/>
              </w:rPr>
            </w:pPr>
            <w:r>
              <w:drawing>
                <wp:inline distT="0" distB="0" distL="0" distR="0">
                  <wp:extent cx="2519680" cy="2087880"/>
                  <wp:effectExtent l="0" t="0" r="0" b="762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noChangeArrowheads="true"/>
                          </pic:cNvPicPr>
                        </pic:nvPicPr>
                        <pic:blipFill>
                          <a:blip r:embed="rId80">
                            <a:extLst>
                              <a:ext uri="{28A0092B-C50C-407E-A947-70E740481C1C}">
                                <a14:useLocalDpi xmlns:a14="http://schemas.microsoft.com/office/drawing/2010/main" val="false"/>
                              </a:ext>
                            </a:extLst>
                          </a:blip>
                          <a:srcRect/>
                          <a:stretch>
                            <a:fillRect/>
                          </a:stretch>
                        </pic:blipFill>
                        <pic:spPr>
                          <a:xfrm>
                            <a:off x="0" y="0"/>
                            <a:ext cx="2519680" cy="2087880"/>
                          </a:xfrm>
                          <a:prstGeom prst="rect">
                            <a:avLst/>
                          </a:prstGeom>
                          <a:noFill/>
                          <a:ln>
                            <a:noFill/>
                          </a:ln>
                        </pic:spPr>
                      </pic:pic>
                    </a:graphicData>
                  </a:graphic>
                </wp:inline>
              </w:drawing>
            </w:r>
          </w:p>
        </w:tc>
        <w:tc>
          <w:tcPr>
            <w:tcW w:w="4200" w:type="dxa"/>
            <w:vAlign w:val="center"/>
          </w:tcPr>
          <w:p>
            <w:pPr>
              <w:pStyle w:val="111"/>
            </w:pPr>
            <w:r>
              <w:drawing>
                <wp:inline distT="0" distB="0" distL="0" distR="0">
                  <wp:extent cx="2519680" cy="2087880"/>
                  <wp:effectExtent l="0" t="0" r="0" b="7620"/>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noChangeArrowheads="true"/>
                          </pic:cNvPicPr>
                        </pic:nvPicPr>
                        <pic:blipFill>
                          <a:blip r:embed="rId81">
                            <a:extLst>
                              <a:ext uri="{28A0092B-C50C-407E-A947-70E740481C1C}">
                                <a14:useLocalDpi xmlns:a14="http://schemas.microsoft.com/office/drawing/2010/main" val="false"/>
                              </a:ext>
                            </a:extLst>
                          </a:blip>
                          <a:srcRect/>
                          <a:stretch>
                            <a:fillRect/>
                          </a:stretch>
                        </pic:blipFill>
                        <pic:spPr>
                          <a:xfrm>
                            <a:off x="0" y="0"/>
                            <a:ext cx="2519680" cy="20878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92" w:hRule="atLeast"/>
          <w:jc w:val="center"/>
        </w:trPr>
        <w:tc>
          <w:tcPr>
            <w:tcW w:w="4595" w:type="dxa"/>
            <w:vAlign w:val="center"/>
          </w:tcPr>
          <w:p>
            <w:pPr>
              <w:pStyle w:val="111"/>
              <w:rPr>
                <w:highlight w:val="yellow"/>
              </w:rPr>
            </w:pPr>
            <w:r>
              <w:rPr>
                <w:rFonts w:hint="eastAsia"/>
              </w:rPr>
              <w:t>(a</w:t>
            </w:r>
            <w:r>
              <w:t xml:space="preserve">) </w:t>
            </w:r>
            <w:r>
              <w:rPr>
                <w:rFonts w:hint="eastAsia"/>
              </w:rPr>
              <w:t>结构竖向布置</w:t>
            </w:r>
          </w:p>
        </w:tc>
        <w:tc>
          <w:tcPr>
            <w:tcW w:w="4200" w:type="dxa"/>
            <w:vAlign w:val="center"/>
          </w:tcPr>
          <w:p>
            <w:pPr>
              <w:pStyle w:val="111"/>
              <w:rPr>
                <w:highlight w:val="yellow"/>
              </w:rPr>
            </w:pPr>
            <w:r>
              <w:t>(</w:t>
            </w:r>
            <w:r>
              <w:rPr>
                <w:rFonts w:hint="eastAsia"/>
              </w:rPr>
              <w:t>b)</w:t>
            </w:r>
            <w:r>
              <w:t xml:space="preserve"> </w:t>
            </w:r>
            <w:r>
              <w:rPr>
                <w:rFonts w:hint="eastAsia"/>
              </w:rPr>
              <w:t>梁与剪力墙铰接连接</w:t>
            </w:r>
          </w:p>
        </w:tc>
      </w:tr>
    </w:tbl>
    <w:p>
      <w:pPr>
        <w:pStyle w:val="111"/>
      </w:pPr>
      <w:bookmarkStart w:id="679" w:name="_Ref19163372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25</w:t>
      </w:r>
      <w:r>
        <w:fldChar w:fldCharType="end"/>
      </w:r>
      <w:bookmarkEnd w:id="679"/>
      <w:r>
        <w:t xml:space="preserve">  </w:t>
      </w:r>
      <w:r>
        <w:rPr>
          <w:rFonts w:hint="eastAsia"/>
        </w:rPr>
        <w:t>压接装配框架与混凝土剪力墙连接</w:t>
      </w:r>
    </w:p>
    <w:p>
      <w:pPr>
        <w:pStyle w:val="69"/>
      </w:pPr>
      <w:r>
        <w:t>1—</w:t>
      </w:r>
      <w:r>
        <w:rPr>
          <w:rFonts w:hint="eastAsia"/>
        </w:rPr>
        <w:t>压接装配框架</w:t>
      </w:r>
      <w:r>
        <w:t>；</w:t>
      </w:r>
      <w:r>
        <w:rPr>
          <w:rFonts w:hint="eastAsia"/>
        </w:rPr>
        <w:t>2</w:t>
      </w:r>
      <w:r>
        <w:t>—</w:t>
      </w:r>
      <w:r>
        <w:rPr>
          <w:rFonts w:hint="eastAsia"/>
        </w:rPr>
        <w:t>混凝土剪力墙；3</w:t>
      </w:r>
      <w:r>
        <w:t>—</w:t>
      </w:r>
      <w:r>
        <w:rPr>
          <w:rFonts w:hint="eastAsia"/>
        </w:rPr>
        <w:t>两端铰接叠合梁</w:t>
      </w:r>
      <w:r>
        <w:t>；4</w:t>
      </w:r>
      <w:r>
        <w:rPr>
          <w:rFonts w:hint="eastAsia"/>
        </w:rPr>
        <w:t>—混凝土牛腿；</w:t>
      </w:r>
      <w:r>
        <w:t>5</w:t>
      </w:r>
      <w:r>
        <w:rPr>
          <w:rFonts w:hint="eastAsia"/>
        </w:rPr>
        <w:t>—构造钢筋</w:t>
      </w:r>
    </w:p>
    <w:p>
      <w:pPr>
        <w:pStyle w:val="98"/>
      </w:pPr>
      <w:r>
        <w:rPr>
          <w:b/>
          <w:bCs w:val="0"/>
        </w:rPr>
        <w:fldChar w:fldCharType="begin"/>
      </w:r>
      <w:r>
        <w:rPr>
          <w:b/>
          <w:bCs w:val="0"/>
        </w:rPr>
        <w:instrText xml:space="preserve"> REF _Ref88040875 \r \h  \* MERGEFORMAT </w:instrText>
      </w:r>
      <w:r>
        <w:rPr>
          <w:b/>
          <w:bCs w:val="0"/>
        </w:rPr>
        <w:fldChar w:fldCharType="separate"/>
      </w:r>
      <w:r>
        <w:rPr>
          <w:b/>
          <w:bCs w:val="0"/>
        </w:rPr>
        <w:t>5. 7. 8</w:t>
      </w:r>
      <w:r>
        <w:rPr>
          <w:b/>
          <w:bCs w:val="0"/>
        </w:rPr>
        <w:fldChar w:fldCharType="end"/>
      </w:r>
      <w:r>
        <w:tab/>
      </w:r>
      <w:r>
        <w:rPr>
          <w:rFonts w:hint="eastAsia"/>
        </w:rPr>
        <w:t>预应力空心板与框架梁、空心板之间的可靠拉结是保证楼板整体横隔板作用的关键，应按国家现行标准的规定在叠合层内、板缝内或板孔内设置拉结钢筋。板缝内拉结筋构造可参考</w:t>
      </w:r>
      <w:r>
        <w:fldChar w:fldCharType="begin"/>
      </w:r>
      <w:r>
        <w:instrText xml:space="preserve"> </w:instrText>
      </w:r>
      <w:r>
        <w:rPr>
          <w:rFonts w:hint="eastAsia"/>
        </w:rPr>
        <w:instrText xml:space="preserve">REF _Ref191633932 \h</w:instrText>
      </w:r>
      <w:r>
        <w:instrText xml:space="preserve"> </w:instrText>
      </w:r>
      <w:r>
        <w:fldChar w:fldCharType="separate"/>
      </w:r>
      <w:r>
        <w:rPr>
          <w:rFonts w:hint="eastAsia"/>
        </w:rPr>
        <w:t>图</w:t>
      </w:r>
      <w:r>
        <w:t>26</w:t>
      </w:r>
      <w:r>
        <w:fldChar w:fldCharType="end"/>
      </w:r>
      <w:r>
        <w:rPr>
          <w:rFonts w:hint="eastAsia"/>
        </w:rPr>
        <w:t>，板孔内拉结筋可参考</w:t>
      </w:r>
      <w:r>
        <w:fldChar w:fldCharType="begin"/>
      </w:r>
      <w:r>
        <w:instrText xml:space="preserve"> </w:instrText>
      </w:r>
      <w:r>
        <w:rPr>
          <w:rFonts w:hint="eastAsia"/>
        </w:rPr>
        <w:instrText xml:space="preserve">REF _Ref191633935 \h</w:instrText>
      </w:r>
      <w:r>
        <w:instrText xml:space="preserve"> </w:instrText>
      </w:r>
      <w:r>
        <w:fldChar w:fldCharType="separate"/>
      </w:r>
      <w:r>
        <w:rPr>
          <w:rFonts w:hint="eastAsia"/>
        </w:rPr>
        <w:t>图</w:t>
      </w:r>
      <w:r>
        <w:t>27</w:t>
      </w:r>
      <w:r>
        <w:fldChar w:fldCharType="end"/>
      </w:r>
      <w:r>
        <w:rPr>
          <w:rFonts w:hint="eastAsia"/>
        </w:rPr>
        <w:t>。</w:t>
      </w:r>
    </w:p>
    <w:p>
      <w:pPr>
        <w:pStyle w:val="111"/>
      </w:pPr>
      <w:r>
        <w:drawing>
          <wp:inline distT="0" distB="0" distL="0" distR="0">
            <wp:extent cx="2519680" cy="1788160"/>
            <wp:effectExtent l="0" t="0" r="0" b="2540"/>
            <wp:docPr id="9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true" noChangeArrowheads="true"/>
                    </pic:cNvPicPr>
                  </pic:nvPicPr>
                  <pic:blipFill>
                    <a:blip r:embed="rId82">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p>
      <w:pPr>
        <w:pStyle w:val="111"/>
      </w:pPr>
      <w:bookmarkStart w:id="680" w:name="_Ref191633932"/>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26</w:t>
      </w:r>
      <w:r>
        <w:fldChar w:fldCharType="end"/>
      </w:r>
      <w:bookmarkEnd w:id="680"/>
      <w:r>
        <w:t xml:space="preserve">   预应力空心板</w:t>
      </w:r>
      <w:r>
        <w:rPr>
          <w:rFonts w:hint="eastAsia"/>
        </w:rPr>
        <w:t>板缝</w:t>
      </w:r>
      <w:r>
        <w:t>拉结</w:t>
      </w:r>
      <w:r>
        <w:rPr>
          <w:rFonts w:hint="eastAsia"/>
        </w:rPr>
        <w:t>筋</w:t>
      </w:r>
      <w:r>
        <w:t>构造</w:t>
      </w:r>
    </w:p>
    <w:p>
      <w:pPr>
        <w:pStyle w:val="111"/>
      </w:pPr>
      <w:r>
        <w:t>1—预制梁；2—板</w:t>
      </w:r>
      <w:r>
        <w:rPr>
          <w:rFonts w:hint="eastAsia"/>
        </w:rPr>
        <w:t>缝内</w:t>
      </w:r>
      <w:r>
        <w:t>拉结钢筋；3—</w:t>
      </w:r>
      <w:r>
        <w:rPr>
          <w:rFonts w:hint="eastAsia"/>
        </w:rPr>
        <w:t>板孔堵头</w:t>
      </w:r>
      <w:r>
        <w:t>；4—叠合层板面钢筋</w:t>
      </w:r>
    </w:p>
    <w:p>
      <w:pPr>
        <w:pStyle w:val="111"/>
      </w:pPr>
      <w:r>
        <w:drawing>
          <wp:inline distT="0" distB="0" distL="0" distR="0">
            <wp:extent cx="2519680" cy="1788160"/>
            <wp:effectExtent l="0" t="0" r="0" b="2540"/>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noChangeArrowheads="true"/>
                    </pic:cNvPicPr>
                  </pic:nvPicPr>
                  <pic:blipFill>
                    <a:blip r:embed="rId83">
                      <a:extLst>
                        <a:ext uri="{28A0092B-C50C-407E-A947-70E740481C1C}">
                          <a14:useLocalDpi xmlns:a14="http://schemas.microsoft.com/office/drawing/2010/main" val="false"/>
                        </a:ext>
                      </a:extLst>
                    </a:blip>
                    <a:srcRect/>
                    <a:stretch>
                      <a:fillRect/>
                    </a:stretch>
                  </pic:blipFill>
                  <pic:spPr>
                    <a:xfrm>
                      <a:off x="0" y="0"/>
                      <a:ext cx="2519680" cy="1788160"/>
                    </a:xfrm>
                    <a:prstGeom prst="rect">
                      <a:avLst/>
                    </a:prstGeom>
                    <a:noFill/>
                    <a:ln>
                      <a:noFill/>
                    </a:ln>
                  </pic:spPr>
                </pic:pic>
              </a:graphicData>
            </a:graphic>
          </wp:inline>
        </w:drawing>
      </w:r>
    </w:p>
    <w:p>
      <w:pPr>
        <w:pStyle w:val="111"/>
      </w:pPr>
      <w:bookmarkStart w:id="681" w:name="_Ref191633935"/>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27</w:t>
      </w:r>
      <w:r>
        <w:fldChar w:fldCharType="end"/>
      </w:r>
      <w:bookmarkEnd w:id="681"/>
      <w:r>
        <w:t xml:space="preserve">   </w:t>
      </w:r>
      <w:r>
        <w:rPr>
          <w:rFonts w:hint="eastAsia"/>
        </w:rPr>
        <w:t>预应力空心板板孔内设拉结筋构造</w:t>
      </w:r>
    </w:p>
    <w:p>
      <w:pPr>
        <w:pStyle w:val="69"/>
      </w:pPr>
      <w:r>
        <w:t>1—预制梁；2—预应力空心板；3—板</w:t>
      </w:r>
      <w:r>
        <w:rPr>
          <w:rFonts w:hint="eastAsia"/>
        </w:rPr>
        <w:t>孔内</w:t>
      </w:r>
      <w:r>
        <w:t>拉结钢筋；4—叠合层板面钢筋</w:t>
      </w:r>
      <w:r>
        <w:rPr>
          <w:rFonts w:hint="eastAsia"/>
        </w:rPr>
        <w:t>；5—板局部开槽</w:t>
      </w:r>
    </w:p>
    <w:p>
      <w:pPr>
        <w:pStyle w:val="99"/>
      </w:pPr>
      <w:r>
        <w:rPr>
          <w:rFonts w:hint="eastAsia"/>
        </w:rPr>
        <w:t>预应力空心板端设置一定的搁置长度可在施工时免去设置端部支撑，框架梁叠合层箍筋内收构造既保证了空心板的搁置长度，又不会在梁侧出现影响建筑使用的花篮挑耳，具有较好的适用性。</w:t>
      </w:r>
    </w:p>
    <w:p>
      <w:pPr>
        <w:pStyle w:val="98"/>
      </w:pPr>
      <w:r>
        <w:rPr>
          <w:b/>
          <w:bCs w:val="0"/>
        </w:rPr>
        <w:fldChar w:fldCharType="begin"/>
      </w:r>
      <w:r>
        <w:rPr>
          <w:b/>
          <w:bCs w:val="0"/>
        </w:rPr>
        <w:instrText xml:space="preserve"> REF _Ref172278723 \r \h  \* MERGEFORMAT </w:instrText>
      </w:r>
      <w:r>
        <w:rPr>
          <w:b/>
          <w:bCs w:val="0"/>
        </w:rPr>
        <w:fldChar w:fldCharType="separate"/>
      </w:r>
      <w:r>
        <w:rPr>
          <w:b/>
          <w:bCs w:val="0"/>
        </w:rPr>
        <w:t>5. 7. 9</w:t>
      </w:r>
      <w:r>
        <w:rPr>
          <w:b/>
          <w:bCs w:val="0"/>
        </w:rPr>
        <w:fldChar w:fldCharType="end"/>
      </w:r>
      <w:r>
        <w:tab/>
      </w:r>
      <w:r>
        <w:rPr>
          <w:rFonts w:hint="eastAsia"/>
        </w:rPr>
        <w:t>为了降低楼板对自复位梁柱节点自复位性能的影响，自复位梁柱节点的框架梁端部与楼板的连接宜采用弱连接，可采用</w:t>
      </w:r>
      <w:r>
        <w:fldChar w:fldCharType="begin"/>
      </w:r>
      <w:r>
        <w:instrText xml:space="preserve"> </w:instrText>
      </w:r>
      <w:r>
        <w:rPr>
          <w:rFonts w:hint="eastAsia"/>
        </w:rPr>
        <w:instrText xml:space="preserve">REF _Ref191634024 \h</w:instrText>
      </w:r>
      <w:r>
        <w:instrText xml:space="preserve"> </w:instrText>
      </w:r>
      <w:r>
        <w:fldChar w:fldCharType="separate"/>
      </w:r>
      <w:r>
        <w:rPr>
          <w:rFonts w:hint="eastAsia"/>
        </w:rPr>
        <w:t>图</w:t>
      </w:r>
      <w:r>
        <w:t>28</w:t>
      </w:r>
      <w:r>
        <w:fldChar w:fldCharType="end"/>
      </w:r>
      <w:r>
        <w:rPr>
          <w:rFonts w:hint="eastAsia"/>
        </w:rPr>
        <w:t>所示做法，本条参考《PRESSS</w:t>
      </w:r>
      <w:r>
        <w:t xml:space="preserve"> Design Handbook</w:t>
      </w:r>
      <w:r>
        <w:rPr>
          <w:rFonts w:hint="eastAsia"/>
        </w:rPr>
        <w:t>》中的A</w:t>
      </w:r>
      <w:r>
        <w:t>rticulated floor system</w:t>
      </w:r>
      <w:r>
        <w:rPr>
          <w:rFonts w:hint="eastAsia"/>
        </w:rPr>
        <w:t>做法给出。</w:t>
      </w:r>
    </w:p>
    <w:p>
      <w:pPr>
        <w:pStyle w:val="111"/>
      </w:pPr>
      <w:r>
        <w:drawing>
          <wp:inline distT="0" distB="0" distL="0" distR="0">
            <wp:extent cx="3372485" cy="1786255"/>
            <wp:effectExtent l="0" t="0" r="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84">
                      <a:extLst>
                        <a:ext uri="{28A0092B-C50C-407E-A947-70E740481C1C}">
                          <a14:useLocalDpi xmlns:a14="http://schemas.microsoft.com/office/drawing/2010/main" val="false"/>
                        </a:ext>
                      </a:extLst>
                    </a:blip>
                    <a:srcRect/>
                    <a:stretch>
                      <a:fillRect/>
                    </a:stretch>
                  </pic:blipFill>
                  <pic:spPr>
                    <a:xfrm>
                      <a:off x="0" y="0"/>
                      <a:ext cx="3372485" cy="1786255"/>
                    </a:xfrm>
                    <a:prstGeom prst="rect">
                      <a:avLst/>
                    </a:prstGeom>
                    <a:noFill/>
                    <a:ln>
                      <a:noFill/>
                    </a:ln>
                  </pic:spPr>
                </pic:pic>
              </a:graphicData>
            </a:graphic>
          </wp:inline>
        </w:drawing>
      </w:r>
    </w:p>
    <w:p>
      <w:pPr>
        <w:pStyle w:val="111"/>
        <w:rPr>
          <w:highlight w:val="yellow"/>
        </w:rPr>
      </w:pPr>
      <w:bookmarkStart w:id="682" w:name="_Ref19163402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28</w:t>
      </w:r>
      <w:r>
        <w:fldChar w:fldCharType="end"/>
      </w:r>
      <w:bookmarkEnd w:id="682"/>
      <w:r>
        <w:t xml:space="preserve">  </w:t>
      </w:r>
      <w:r>
        <w:rPr>
          <w:rFonts w:hint="eastAsia"/>
        </w:rPr>
        <w:t>楼板与采用自复位梁柱节点的框架梁端连接示意</w:t>
      </w:r>
    </w:p>
    <w:p>
      <w:pPr>
        <w:pStyle w:val="111"/>
      </w:pPr>
      <w:r>
        <w:t>1—</w:t>
      </w:r>
      <w:r>
        <w:rPr>
          <w:rFonts w:hint="eastAsia"/>
        </w:rPr>
        <w:t>预制柱</w:t>
      </w:r>
      <w:r>
        <w:t>；2—</w:t>
      </w:r>
      <w:r>
        <w:rPr>
          <w:rFonts w:hint="eastAsia"/>
        </w:rPr>
        <w:t>预制梁</w:t>
      </w:r>
      <w:r>
        <w:t>；3—</w:t>
      </w:r>
      <w:r>
        <w:rPr>
          <w:rFonts w:hint="eastAsia"/>
        </w:rPr>
        <w:t>预应力空心板</w:t>
      </w:r>
      <w:r>
        <w:t>；4—</w:t>
      </w:r>
      <w:r>
        <w:rPr>
          <w:rFonts w:hint="eastAsia"/>
        </w:rPr>
        <w:t>抗剪键；5—钢板条；</w:t>
      </w:r>
      <w:r>
        <w:t>6</w:t>
      </w:r>
      <w:r>
        <w:rPr>
          <w:rFonts w:hint="eastAsia"/>
        </w:rPr>
        <w:t>—螺栓</w:t>
      </w:r>
    </w:p>
    <w:p/>
    <w:p>
      <w:r>
        <w:br w:type="page"/>
      </w:r>
    </w:p>
    <w:p>
      <w:pPr>
        <w:pStyle w:val="94"/>
      </w:pPr>
      <w:bookmarkStart w:id="683" w:name="_Toc202345865"/>
      <w:r>
        <w:rPr>
          <w:rFonts w:hint="eastAsia"/>
        </w:rPr>
        <w:t>6</w:t>
      </w:r>
      <w:r>
        <w:t xml:space="preserve">  </w:t>
      </w:r>
      <w:r>
        <w:rPr>
          <w:rFonts w:hint="eastAsia"/>
        </w:rPr>
        <w:t>构件制作与运输</w:t>
      </w:r>
      <w:bookmarkEnd w:id="683"/>
    </w:p>
    <w:p>
      <w:pPr>
        <w:pStyle w:val="100"/>
      </w:pPr>
      <w:bookmarkStart w:id="684" w:name="_Toc202345866"/>
      <w:r>
        <w:rPr>
          <w:rFonts w:hint="eastAsia"/>
        </w:rPr>
        <w:t>6.1  一般规定</w:t>
      </w:r>
      <w:bookmarkEnd w:id="684"/>
    </w:p>
    <w:p>
      <w:pPr>
        <w:pStyle w:val="98"/>
      </w:pPr>
      <w:r>
        <w:rPr>
          <w:b/>
          <w:bCs w:val="0"/>
        </w:rPr>
        <w:fldChar w:fldCharType="begin"/>
      </w:r>
      <w:r>
        <w:rPr>
          <w:b/>
          <w:bCs w:val="0"/>
        </w:rPr>
        <w:instrText xml:space="preserve"> REF _Ref198040450 \r \h  \* MERGEFORMAT </w:instrText>
      </w:r>
      <w:r>
        <w:rPr>
          <w:b/>
          <w:bCs w:val="0"/>
        </w:rPr>
        <w:fldChar w:fldCharType="separate"/>
      </w:r>
      <w:r>
        <w:rPr>
          <w:b/>
          <w:bCs w:val="0"/>
        </w:rPr>
        <w:t>6. 1. 1</w:t>
      </w:r>
      <w:r>
        <w:rPr>
          <w:b/>
          <w:bCs w:val="0"/>
        </w:rPr>
        <w:fldChar w:fldCharType="end"/>
      </w:r>
      <w:r>
        <w:tab/>
      </w:r>
      <w:r>
        <w:rPr>
          <w:rFonts w:hint="eastAsia"/>
        </w:rPr>
        <w:t>强调预制构件制作单位应具备满足条件的生产设施和技术能力以及质量管理体系制度和实验条件，是为保证预制构件的制作质量、环境和职业健康安全。采用信息化管理系统，可以实现构件从设计、制作、存放运输甚至到装配全过程的质量监控、溯源，从而对构件质量进行有效控制。预制构件制作质量管理体系和制度，以及信息化管理系统，可参见现行国家标准《装配式混凝土建筑技术标准》GB/T 51231中规定。</w:t>
      </w:r>
    </w:p>
    <w:p>
      <w:pPr>
        <w:pStyle w:val="98"/>
      </w:pPr>
      <w:r>
        <w:rPr>
          <w:b/>
          <w:bCs w:val="0"/>
        </w:rPr>
        <w:fldChar w:fldCharType="begin"/>
      </w:r>
      <w:r>
        <w:rPr>
          <w:b/>
          <w:bCs w:val="0"/>
        </w:rPr>
        <w:instrText xml:space="preserve"> REF _Ref198040487 \r \h  \* MERGEFORMAT </w:instrText>
      </w:r>
      <w:r>
        <w:rPr>
          <w:b/>
          <w:bCs w:val="0"/>
        </w:rPr>
        <w:fldChar w:fldCharType="separate"/>
      </w:r>
      <w:r>
        <w:rPr>
          <w:b/>
          <w:bCs w:val="0"/>
        </w:rPr>
        <w:t>6. 1. 3</w:t>
      </w:r>
      <w:r>
        <w:rPr>
          <w:b/>
          <w:bCs w:val="0"/>
        </w:rPr>
        <w:fldChar w:fldCharType="end"/>
      </w:r>
      <w:r>
        <w:tab/>
      </w:r>
      <w:r>
        <w:rPr>
          <w:rFonts w:hint="eastAsia"/>
        </w:rPr>
        <w:t>生产方案应包含预制构件概况、进度计划、原材料情况、生产设备仪器、模具配置计划及方案、技术工艺、质量管理和控制等，还应对预制构件脱模、吊运、堆放、翻转和运输等工况进行承载力计算分析，保证全过程安全性。北京冬季进行预制构件制作时，可参照现行行业标准《建筑工程冬期施工规程》JGJ/T 104中有关规定编制专项方案和制定措施。</w:t>
      </w:r>
    </w:p>
    <w:p>
      <w:pPr>
        <w:pStyle w:val="98"/>
      </w:pPr>
      <w:r>
        <w:rPr>
          <w:b/>
          <w:bCs w:val="0"/>
        </w:rPr>
        <w:fldChar w:fldCharType="begin"/>
      </w:r>
      <w:r>
        <w:rPr>
          <w:b/>
          <w:bCs w:val="0"/>
        </w:rPr>
        <w:instrText xml:space="preserve"> REF _Ref198040528 \r \h  \* MERGEFORMAT </w:instrText>
      </w:r>
      <w:r>
        <w:rPr>
          <w:b/>
          <w:bCs w:val="0"/>
        </w:rPr>
        <w:fldChar w:fldCharType="separate"/>
      </w:r>
      <w:r>
        <w:rPr>
          <w:b/>
          <w:bCs w:val="0"/>
        </w:rPr>
        <w:t>6. 1. 4</w:t>
      </w:r>
      <w:r>
        <w:rPr>
          <w:b/>
          <w:bCs w:val="0"/>
        </w:rPr>
        <w:fldChar w:fldCharType="end"/>
      </w:r>
      <w:r>
        <w:tab/>
      </w:r>
      <w:r>
        <w:rPr>
          <w:rFonts w:hint="eastAsia"/>
        </w:rPr>
        <w:t>本条规定了预制构件制作环节应建立首件验收制度，是确保构件质量、避免现场安装隐患的重要质量控制手段。首件验收应在构件批量生产开始前进行，或在生产过程中模具、主要材料、配合比、工艺或操作人员发生重大调整时进行。其目的是及时发现并纠正生产过程中可能存在的问题，避免批量性不合格。</w:t>
      </w:r>
    </w:p>
    <w:p>
      <w:pPr>
        <w:pStyle w:val="99"/>
      </w:pPr>
      <w:r>
        <w:rPr>
          <w:rFonts w:hint="eastAsia"/>
        </w:rPr>
        <w:t>首件验收应对照设计图纸、相关技术标准和专项施工方案进行，验收内容应全面，对于梁、柱等主要受力构件，其验收要点应至少包括：原材料检查、模具检查、钢筋骨架与预埋件检查、预应力管道（波纹管）定位、构件几何尺寸与外观质量、预应力张拉质量（如在工厂完成）、构件标识等。</w:t>
      </w:r>
    </w:p>
    <w:p>
      <w:pPr>
        <w:pStyle w:val="99"/>
      </w:pPr>
      <w:r>
        <w:rPr>
          <w:rFonts w:hint="eastAsia"/>
        </w:rPr>
        <w:t>首件构件经全面检查合格后，可进行后续构件的批量生产。生产过程中，仍需按规定的频率进行过程检验和成品检验。</w:t>
      </w:r>
    </w:p>
    <w:p>
      <w:pPr>
        <w:pStyle w:val="98"/>
      </w:pPr>
      <w:r>
        <w:rPr>
          <w:b/>
        </w:rPr>
        <w:fldChar w:fldCharType="begin"/>
      </w:r>
      <w:r>
        <w:rPr>
          <w:b/>
        </w:rPr>
        <w:instrText xml:space="preserve"> REF _Ref198040570 \r \h  \* MERGEFORMAT </w:instrText>
      </w:r>
      <w:r>
        <w:rPr>
          <w:b/>
        </w:rPr>
        <w:fldChar w:fldCharType="separate"/>
      </w:r>
      <w:r>
        <w:rPr>
          <w:b/>
        </w:rPr>
        <w:t>6. 1. 6</w:t>
      </w:r>
      <w:r>
        <w:rPr>
          <w:b/>
        </w:rPr>
        <w:fldChar w:fldCharType="end"/>
      </w:r>
      <w:r>
        <w:tab/>
      </w:r>
      <w:r>
        <w:rPr>
          <w:rFonts w:hint="eastAsia"/>
        </w:rPr>
        <w:t>规定了本标准预制构件质量检验分项项目，预应力构件还应增加预应力检验项目。构件结构性能检验应参照现行国家标准《混凝土结构工程施工质量验收规范》GB 50204、《装配式混凝土建筑技术标准》GB/T 51231中有关规定。</w:t>
      </w:r>
    </w:p>
    <w:p>
      <w:pPr>
        <w:pStyle w:val="99"/>
      </w:pPr>
      <w:r>
        <w:rPr>
          <w:rFonts w:hint="eastAsia"/>
        </w:rPr>
        <w:t>预制构件制作单位将采购的同一厂家同批次材料、配件及半成品用于不同工程的预制构件时，可统一划分检验批。</w:t>
      </w:r>
    </w:p>
    <w:p/>
    <w:p>
      <w:pPr>
        <w:pStyle w:val="100"/>
      </w:pPr>
      <w:bookmarkStart w:id="685" w:name="_Toc202345867"/>
      <w:r>
        <w:rPr>
          <w:rFonts w:hint="eastAsia"/>
        </w:rPr>
        <w:t>6.2  构件深化</w:t>
      </w:r>
      <w:bookmarkEnd w:id="685"/>
    </w:p>
    <w:p>
      <w:pPr>
        <w:pStyle w:val="98"/>
      </w:pPr>
      <w:r>
        <w:rPr>
          <w:b/>
          <w:bCs w:val="0"/>
        </w:rPr>
        <w:fldChar w:fldCharType="begin"/>
      </w:r>
      <w:r>
        <w:rPr>
          <w:b/>
          <w:bCs w:val="0"/>
        </w:rPr>
        <w:instrText xml:space="preserve"> REF _Ref198040648 \r \h  \* MERGEFORMAT </w:instrText>
      </w:r>
      <w:r>
        <w:rPr>
          <w:b/>
          <w:bCs w:val="0"/>
        </w:rPr>
        <w:fldChar w:fldCharType="separate"/>
      </w:r>
      <w:r>
        <w:rPr>
          <w:b/>
          <w:bCs w:val="0"/>
        </w:rPr>
        <w:t>6. 2. 1</w:t>
      </w:r>
      <w:r>
        <w:rPr>
          <w:b/>
          <w:bCs w:val="0"/>
        </w:rPr>
        <w:fldChar w:fldCharType="end"/>
      </w:r>
      <w:r>
        <w:tab/>
      </w:r>
      <w:r>
        <w:rPr>
          <w:rFonts w:hint="eastAsia"/>
        </w:rPr>
        <w:t>为满足建筑使用功能需求，装配式混凝土构件一般存在较多预留预埋，传统CAD等二维设计软件无法进行节点碰撞检查，为保证预留预埋的精准，建议深化设计单位采用BIM软件进行构件深化设计，模型深度应达到LOD</w:t>
      </w:r>
      <w:r>
        <w:t xml:space="preserve"> </w:t>
      </w:r>
      <w:r>
        <w:rPr>
          <w:rFonts w:hint="eastAsia"/>
        </w:rPr>
        <w:t>400以上。</w:t>
      </w:r>
    </w:p>
    <w:p>
      <w:pPr>
        <w:pStyle w:val="98"/>
      </w:pPr>
      <w:r>
        <w:rPr>
          <w:b/>
          <w:bCs w:val="0"/>
        </w:rPr>
        <w:fldChar w:fldCharType="begin"/>
      </w:r>
      <w:r>
        <w:rPr>
          <w:b/>
          <w:bCs w:val="0"/>
        </w:rPr>
        <w:instrText xml:space="preserve"> REF _Ref198040702 \r \h  \* MERGEFORMAT </w:instrText>
      </w:r>
      <w:r>
        <w:rPr>
          <w:b/>
          <w:bCs w:val="0"/>
        </w:rPr>
        <w:fldChar w:fldCharType="separate"/>
      </w:r>
      <w:r>
        <w:rPr>
          <w:b/>
          <w:bCs w:val="0"/>
        </w:rPr>
        <w:t>6. 2. 2</w:t>
      </w:r>
      <w:r>
        <w:rPr>
          <w:b/>
          <w:bCs w:val="0"/>
        </w:rPr>
        <w:fldChar w:fldCharType="end"/>
      </w:r>
      <w:r>
        <w:tab/>
      </w:r>
      <w:r>
        <w:rPr>
          <w:rFonts w:hint="eastAsia"/>
        </w:rPr>
        <w:t>预制构件编码除构件编号外，还应包括采用构件二维码等信息管理系统进行追踪的身份码。</w:t>
      </w:r>
    </w:p>
    <w:p>
      <w:pPr>
        <w:pStyle w:val="98"/>
      </w:pPr>
      <w:r>
        <w:rPr>
          <w:b/>
          <w:bCs w:val="0"/>
        </w:rPr>
        <w:fldChar w:fldCharType="begin"/>
      </w:r>
      <w:r>
        <w:rPr>
          <w:b/>
          <w:bCs w:val="0"/>
        </w:rPr>
        <w:instrText xml:space="preserve"> </w:instrText>
      </w:r>
      <w:r>
        <w:rPr>
          <w:rFonts w:hint="eastAsia"/>
          <w:b/>
          <w:bCs w:val="0"/>
        </w:rPr>
        <w:instrText xml:space="preserve">REF _Ref198040761 \r \h</w:instrText>
      </w:r>
      <w:r>
        <w:rPr>
          <w:b/>
          <w:bCs w:val="0"/>
        </w:rPr>
        <w:instrText xml:space="preserve">  \* MERGEFORMAT </w:instrText>
      </w:r>
      <w:r>
        <w:rPr>
          <w:b/>
          <w:bCs w:val="0"/>
        </w:rPr>
        <w:fldChar w:fldCharType="separate"/>
      </w:r>
      <w:r>
        <w:rPr>
          <w:b/>
          <w:bCs w:val="0"/>
        </w:rPr>
        <w:t>6. 2. 3</w:t>
      </w:r>
      <w:r>
        <w:rPr>
          <w:b/>
          <w:bCs w:val="0"/>
        </w:rPr>
        <w:fldChar w:fldCharType="end"/>
      </w:r>
      <w:r>
        <w:tab/>
      </w:r>
      <w:r>
        <w:rPr>
          <w:rFonts w:hint="eastAsia"/>
        </w:rPr>
        <w:t>预埋金属波纹管伸出端面是为保证对接时可以有效对金属波纹管进行密封处理，防止接缝处灌浆时造成金属波纹管内堵塞。伸出长度要考虑构件制作、运输和吊装的便利性，在构件制作时应预留一定长度，待吊装就位前根据现场条件统一切割至5mm-10mm。</w:t>
      </w:r>
    </w:p>
    <w:p>
      <w:pPr>
        <w:pStyle w:val="98"/>
      </w:pPr>
      <w:r>
        <w:rPr>
          <w:b/>
          <w:bCs w:val="0"/>
        </w:rPr>
        <w:fldChar w:fldCharType="begin"/>
      </w:r>
      <w:r>
        <w:rPr>
          <w:b/>
          <w:bCs w:val="0"/>
        </w:rPr>
        <w:instrText xml:space="preserve"> REF _Ref86139392 \r \h  \* MERGEFORMAT </w:instrText>
      </w:r>
      <w:r>
        <w:rPr>
          <w:b/>
          <w:bCs w:val="0"/>
        </w:rPr>
        <w:fldChar w:fldCharType="separate"/>
      </w:r>
      <w:r>
        <w:rPr>
          <w:b/>
          <w:bCs w:val="0"/>
        </w:rPr>
        <w:t>6. 2. 4</w:t>
      </w:r>
      <w:r>
        <w:rPr>
          <w:b/>
          <w:bCs w:val="0"/>
        </w:rPr>
        <w:fldChar w:fldCharType="end"/>
      </w:r>
      <w:r>
        <w:tab/>
      </w:r>
      <w:r>
        <w:rPr>
          <w:rFonts w:hint="eastAsia"/>
        </w:rPr>
        <w:t xml:space="preserve">梁端与预制柱的接触面是预应力压接摩擦抗剪的保证，为了避免工厂生产时水洗粗糙面工艺对环境和成本的影响，故要求梁端宜优先设置键槽，该措施经过工程实践验证，安全可靠。 </w:t>
      </w:r>
    </w:p>
    <w:p>
      <w:pPr>
        <w:pStyle w:val="99"/>
      </w:pPr>
      <w:r>
        <w:rPr>
          <w:rFonts w:hint="eastAsia"/>
        </w:rPr>
        <w:t>自复位梁柱节点区耗能钢筋和梁底筋通过预留孔道后穿筋灌浆实现连接，要求预留孔道平直且应大于钢筋公称直径，为方便施工穿筋，要求预制柱内预留孔道直径不小于2倍钢筋直径，方便穿筋和灌浆施工。</w:t>
      </w:r>
    </w:p>
    <w:p>
      <w:pPr>
        <w:pStyle w:val="98"/>
      </w:pPr>
      <w:r>
        <w:rPr>
          <w:b/>
          <w:bCs w:val="0"/>
        </w:rPr>
        <w:fldChar w:fldCharType="begin"/>
      </w:r>
      <w:r>
        <w:rPr>
          <w:b/>
          <w:bCs w:val="0"/>
        </w:rPr>
        <w:instrText xml:space="preserve"> REF _Ref173418548 \r \h  \* MERGEFORMAT </w:instrText>
      </w:r>
      <w:r>
        <w:rPr>
          <w:b/>
          <w:bCs w:val="0"/>
        </w:rPr>
        <w:fldChar w:fldCharType="separate"/>
      </w:r>
      <w:r>
        <w:rPr>
          <w:b/>
          <w:bCs w:val="0"/>
        </w:rPr>
        <w:t>6. 2. 6</w:t>
      </w:r>
      <w:r>
        <w:rPr>
          <w:b/>
          <w:bCs w:val="0"/>
        </w:rPr>
        <w:fldChar w:fldCharType="end"/>
      </w:r>
      <w:r>
        <w:tab/>
      </w:r>
      <w:r>
        <w:rPr>
          <w:rFonts w:hint="eastAsia"/>
        </w:rPr>
        <w:t>压接装配板柱结构采用拼板时，采用垫块保证预应力张拉时各拼板间可以紧密贴合。当采用预制垫块时，垫块混凝土强度应不低于预制楼板混凝土强度。压接装配板柱结构的压接节点是同预制柱一起预制的，为保证节点区预留预埋，同时预制柱上下层连接节点的施工，明确上下层预制柱连接位置选在板面以上0.2m-0.8m，太高则上层预制柱安装不便。</w:t>
      </w:r>
    </w:p>
    <w:p/>
    <w:p>
      <w:pPr>
        <w:pStyle w:val="100"/>
      </w:pPr>
      <w:bookmarkStart w:id="686" w:name="_Toc202345868"/>
      <w:r>
        <w:rPr>
          <w:rFonts w:hint="eastAsia"/>
        </w:rPr>
        <w:t>6.3  构件制作</w:t>
      </w:r>
      <w:bookmarkEnd w:id="686"/>
    </w:p>
    <w:p>
      <w:pPr>
        <w:pStyle w:val="98"/>
      </w:pPr>
      <w:r>
        <w:rPr>
          <w:rFonts w:hint="eastAsia"/>
          <w:b/>
          <w:bCs w:val="0"/>
        </w:rPr>
        <w:t>6.3.2~6.3.3</w:t>
      </w:r>
      <w:r>
        <w:tab/>
      </w:r>
      <w:r>
        <w:rPr>
          <w:rFonts w:hint="eastAsia"/>
        </w:rPr>
        <w:t>模具设计应综合考虑构件质量和操作便利性、经济性，以标准化设计、组合式拼装、通用化使用为目标，应尽量减轻模具重量，方便拆装。</w:t>
      </w:r>
    </w:p>
    <w:p>
      <w:pPr>
        <w:pStyle w:val="99"/>
      </w:pPr>
      <w:r>
        <w:rPr>
          <w:rFonts w:hint="eastAsia"/>
        </w:rPr>
        <w:t>成组预制梁柱模具（</w:t>
      </w:r>
      <w:r>
        <w:fldChar w:fldCharType="begin"/>
      </w:r>
      <w:r>
        <w:instrText xml:space="preserve"> </w:instrText>
      </w:r>
      <w:r>
        <w:rPr>
          <w:rFonts w:hint="eastAsia"/>
        </w:rPr>
        <w:instrText xml:space="preserve">REF _Ref197525987 \h</w:instrText>
      </w:r>
      <w:r>
        <w:instrText xml:space="preserve"> </w:instrText>
      </w:r>
      <w:r>
        <w:fldChar w:fldCharType="separate"/>
      </w:r>
      <w:r>
        <w:rPr>
          <w:rFonts w:hint="eastAsia"/>
        </w:rPr>
        <w:t>图</w:t>
      </w:r>
      <w:r>
        <w:t>29</w:t>
      </w:r>
      <w:r>
        <w:fldChar w:fldCharType="end"/>
      </w:r>
      <w:r>
        <w:rPr>
          <w:rFonts w:hint="eastAsia"/>
        </w:rPr>
        <w:t>a）：一组模具可同时用于两个构件制作，共用中间模（固定），节省一个边模；通过液压系统中液压缸的拉力作用对两侧边模实施拆模；成组模具中构件数量可根据实际状况进行设计。</w:t>
      </w:r>
    </w:p>
    <w:p>
      <w:pPr>
        <w:pStyle w:val="99"/>
      </w:pPr>
      <w:r>
        <w:rPr>
          <w:rFonts w:hint="eastAsia"/>
        </w:rPr>
        <w:t>单个预制梁模具（</w:t>
      </w:r>
      <w:r>
        <w:fldChar w:fldCharType="begin"/>
      </w:r>
      <w:r>
        <w:instrText xml:space="preserve"> </w:instrText>
      </w:r>
      <w:r>
        <w:rPr>
          <w:rFonts w:hint="eastAsia"/>
        </w:rPr>
        <w:instrText xml:space="preserve">REF _Ref197525987 \h</w:instrText>
      </w:r>
      <w:r>
        <w:instrText xml:space="preserve"> </w:instrText>
      </w:r>
      <w:r>
        <w:fldChar w:fldCharType="separate"/>
      </w:r>
      <w:r>
        <w:rPr>
          <w:rFonts w:hint="eastAsia"/>
        </w:rPr>
        <w:t>图</w:t>
      </w:r>
      <w:r>
        <w:t>29</w:t>
      </w:r>
      <w:r>
        <w:fldChar w:fldCharType="end"/>
      </w:r>
      <w:r>
        <w:t>b</w:t>
      </w:r>
      <w:r>
        <w:rPr>
          <w:rFonts w:hint="eastAsia"/>
        </w:rPr>
        <w:t>）：一侧边模筋板与底模留缝，利用面板弹性变形，通过螺栓拉紧动作实现脱模；梁上部钢筋应有钢筋定位工装，根据钢筋的不同分布，设计不同的定位工装；梁端模具应根据梁端预埋波纹管位置和梁端粗糙面或键槽情况，进行相应配置处理。</w:t>
      </w:r>
    </w:p>
    <w:p>
      <w:pPr>
        <w:pStyle w:val="99"/>
      </w:pPr>
      <w:r>
        <w:rPr>
          <w:rFonts w:hint="eastAsia"/>
        </w:rPr>
        <w:t>单个预制柱模具（</w:t>
      </w:r>
      <w:r>
        <w:fldChar w:fldCharType="begin"/>
      </w:r>
      <w:r>
        <w:instrText xml:space="preserve"> </w:instrText>
      </w:r>
      <w:r>
        <w:rPr>
          <w:rFonts w:hint="eastAsia"/>
        </w:rPr>
        <w:instrText xml:space="preserve">REF _Ref197525987 \h</w:instrText>
      </w:r>
      <w:r>
        <w:instrText xml:space="preserve"> </w:instrText>
      </w:r>
      <w:r>
        <w:fldChar w:fldCharType="separate"/>
      </w:r>
      <w:r>
        <w:rPr>
          <w:rFonts w:hint="eastAsia"/>
        </w:rPr>
        <w:t>图</w:t>
      </w:r>
      <w:r>
        <w:t>29</w:t>
      </w:r>
      <w:r>
        <w:fldChar w:fldCharType="end"/>
      </w:r>
      <w:r>
        <w:t>c</w:t>
      </w:r>
      <w:r>
        <w:rPr>
          <w:rFonts w:hint="eastAsia"/>
        </w:rPr>
        <w:t>）：两侧边模筋板与底模留缝，利用面板弹性变形，通过螺栓拉紧的动作实现脱模；预制柱模具涉及牛腿成型模及替换模，设计应考虑通用性，宜设计斜连接板，以便于单独拆模；应设置边模拉紧装置，防止胀模。</w:t>
      </w:r>
    </w:p>
    <w:p>
      <w:pPr>
        <w:spacing w:after="80"/>
        <w:ind w:firstLine="496"/>
        <w:jc w:val="center"/>
        <w:rPr>
          <w:sz w:val="21"/>
        </w:rPr>
      </w:pPr>
      <w:r>
        <w:rPr>
          <w:rFonts w:hint="eastAsia"/>
          <w:sz w:val="21"/>
        </w:rPr>
        <w:drawing>
          <wp:inline distT="0" distB="0" distL="114300" distR="114300">
            <wp:extent cx="3178810" cy="1934210"/>
            <wp:effectExtent l="0" t="0" r="2540" b="8890"/>
            <wp:docPr id="9" name="图片 9" descr="成组梁柱"/>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成组梁柱"/>
                    <pic:cNvPicPr>
                      <a:picLocks noChangeAspect="true"/>
                    </pic:cNvPicPr>
                  </pic:nvPicPr>
                  <pic:blipFill>
                    <a:blip r:embed="rId85"/>
                    <a:stretch>
                      <a:fillRect/>
                    </a:stretch>
                  </pic:blipFill>
                  <pic:spPr>
                    <a:xfrm>
                      <a:off x="0" y="0"/>
                      <a:ext cx="3213126" cy="1955242"/>
                    </a:xfrm>
                    <a:prstGeom prst="rect">
                      <a:avLst/>
                    </a:prstGeom>
                  </pic:spPr>
                </pic:pic>
              </a:graphicData>
            </a:graphic>
          </wp:inline>
        </w:drawing>
      </w:r>
    </w:p>
    <w:p>
      <w:pPr>
        <w:pStyle w:val="69"/>
      </w:pPr>
      <w:r>
        <w:rPr>
          <w:rFonts w:hint="eastAsia"/>
        </w:rPr>
        <w:t>（a）</w:t>
      </w:r>
      <w:r>
        <w:t>成组预制梁柱模具</w:t>
      </w:r>
    </w:p>
    <w:p>
      <w:pPr>
        <w:spacing w:after="80"/>
        <w:ind w:firstLine="496"/>
        <w:jc w:val="center"/>
        <w:rPr>
          <w:sz w:val="21"/>
        </w:rPr>
      </w:pPr>
      <w:r>
        <w:rPr>
          <w:rFonts w:hint="eastAsia"/>
          <w:sz w:val="21"/>
        </w:rPr>
        <w:drawing>
          <wp:inline distT="0" distB="0" distL="114300" distR="114300">
            <wp:extent cx="3030855" cy="2052955"/>
            <wp:effectExtent l="0" t="0" r="0" b="4445"/>
            <wp:docPr id="1" name="图片 1" descr="单个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单个梁"/>
                    <pic:cNvPicPr>
                      <a:picLocks noChangeAspect="true"/>
                    </pic:cNvPicPr>
                  </pic:nvPicPr>
                  <pic:blipFill>
                    <a:blip r:embed="rId86"/>
                    <a:srcRect t="2749" b="3753"/>
                    <a:stretch>
                      <a:fillRect/>
                    </a:stretch>
                  </pic:blipFill>
                  <pic:spPr>
                    <a:xfrm>
                      <a:off x="0" y="0"/>
                      <a:ext cx="3064124" cy="2075364"/>
                    </a:xfrm>
                    <a:prstGeom prst="rect">
                      <a:avLst/>
                    </a:prstGeom>
                    <a:ln>
                      <a:noFill/>
                    </a:ln>
                  </pic:spPr>
                </pic:pic>
              </a:graphicData>
            </a:graphic>
          </wp:inline>
        </w:drawing>
      </w:r>
    </w:p>
    <w:p>
      <w:pPr>
        <w:spacing w:after="80"/>
        <w:ind w:firstLine="496"/>
        <w:jc w:val="center"/>
        <w:rPr>
          <w:sz w:val="21"/>
        </w:rPr>
      </w:pPr>
      <w:r>
        <w:rPr>
          <w:rFonts w:hint="eastAsia"/>
          <w:sz w:val="21"/>
        </w:rPr>
        <w:t>（b）</w:t>
      </w:r>
      <w:r>
        <w:rPr>
          <w:sz w:val="21"/>
        </w:rPr>
        <w:t>单个预制梁模具</w:t>
      </w:r>
    </w:p>
    <w:p>
      <w:pPr>
        <w:spacing w:after="80"/>
        <w:ind w:firstLine="496"/>
        <w:jc w:val="center"/>
        <w:rPr>
          <w:rFonts w:eastAsia="黑体"/>
          <w:b/>
          <w:bCs/>
          <w:sz w:val="28"/>
          <w:szCs w:val="28"/>
        </w:rPr>
      </w:pPr>
      <w:r>
        <w:rPr>
          <w:sz w:val="21"/>
        </w:rPr>
        <w:drawing>
          <wp:inline distT="0" distB="0" distL="0" distR="0">
            <wp:extent cx="3239135" cy="2012950"/>
            <wp:effectExtent l="0" t="0" r="0" b="635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7"/>
                    <a:stretch>
                      <a:fillRect/>
                    </a:stretch>
                  </pic:blipFill>
                  <pic:spPr>
                    <a:xfrm>
                      <a:off x="0" y="0"/>
                      <a:ext cx="3275946" cy="2035930"/>
                    </a:xfrm>
                    <a:prstGeom prst="rect">
                      <a:avLst/>
                    </a:prstGeom>
                  </pic:spPr>
                </pic:pic>
              </a:graphicData>
            </a:graphic>
          </wp:inline>
        </w:drawing>
      </w:r>
    </w:p>
    <w:p>
      <w:pPr>
        <w:spacing w:after="80"/>
        <w:ind w:firstLine="496"/>
        <w:jc w:val="center"/>
        <w:rPr>
          <w:sz w:val="21"/>
        </w:rPr>
      </w:pPr>
      <w:r>
        <w:rPr>
          <w:rFonts w:hint="eastAsia"/>
          <w:sz w:val="21"/>
        </w:rPr>
        <w:t>（c）</w:t>
      </w:r>
      <w:r>
        <w:rPr>
          <w:sz w:val="21"/>
        </w:rPr>
        <w:t>单个预制</w:t>
      </w:r>
      <w:r>
        <w:rPr>
          <w:rFonts w:hint="eastAsia"/>
          <w:sz w:val="21"/>
        </w:rPr>
        <w:t>柱</w:t>
      </w:r>
      <w:r>
        <w:rPr>
          <w:sz w:val="21"/>
        </w:rPr>
        <w:t>模具</w:t>
      </w:r>
    </w:p>
    <w:p>
      <w:pPr>
        <w:pStyle w:val="69"/>
      </w:pPr>
      <w:bookmarkStart w:id="687" w:name="_Ref19752598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29</w:t>
      </w:r>
      <w:r>
        <w:fldChar w:fldCharType="end"/>
      </w:r>
      <w:bookmarkEnd w:id="687"/>
      <w:r>
        <w:t>预制</w:t>
      </w:r>
      <w:r>
        <w:rPr>
          <w:rFonts w:hint="eastAsia"/>
        </w:rPr>
        <w:t>梁</w:t>
      </w:r>
      <w:r>
        <w:t>柱模具</w:t>
      </w:r>
    </w:p>
    <w:p>
      <w:pPr>
        <w:pStyle w:val="98"/>
      </w:pPr>
      <w:r>
        <w:rPr>
          <w:b/>
          <w:bCs w:val="0"/>
        </w:rPr>
        <w:fldChar w:fldCharType="begin"/>
      </w:r>
      <w:r>
        <w:rPr>
          <w:b/>
          <w:bCs w:val="0"/>
        </w:rPr>
        <w:instrText xml:space="preserve"> REF _Ref86139890 \r \h  \* MERGEFORMAT </w:instrText>
      </w:r>
      <w:r>
        <w:rPr>
          <w:b/>
          <w:bCs w:val="0"/>
        </w:rPr>
        <w:fldChar w:fldCharType="separate"/>
      </w:r>
      <w:r>
        <w:rPr>
          <w:b/>
          <w:bCs w:val="0"/>
        </w:rPr>
        <w:t>6. 3. 5</w:t>
      </w:r>
      <w:r>
        <w:rPr>
          <w:b/>
          <w:bCs w:val="0"/>
        </w:rPr>
        <w:fldChar w:fldCharType="end"/>
      </w:r>
      <w:r>
        <w:tab/>
      </w:r>
      <w:r>
        <w:rPr>
          <w:rFonts w:hint="eastAsia"/>
        </w:rPr>
        <w:t>压接装配结构工程经验表明，直线型预应力孔道采用预埋金属波纹管时，可在制作时采用直径略小钢管穿入波纹管内，能够有效避免构件混凝土浇筑过程中金属波纹管产生较大变形。如曲线型预应力孔道采用预埋金属波纹管时，应将金属波纹管与钢筋笼之间进行可靠连接固定，保证孔道位置满足要求。</w:t>
      </w:r>
    </w:p>
    <w:p>
      <w:pPr>
        <w:pStyle w:val="98"/>
      </w:pPr>
      <w:r>
        <w:rPr>
          <w:b/>
          <w:bCs w:val="0"/>
        </w:rPr>
        <w:fldChar w:fldCharType="begin"/>
      </w:r>
      <w:r>
        <w:rPr>
          <w:b/>
          <w:bCs w:val="0"/>
        </w:rPr>
        <w:instrText xml:space="preserve"> REF _Ref198041151 \r \h  \* MERGEFORMAT </w:instrText>
      </w:r>
      <w:r>
        <w:rPr>
          <w:b/>
          <w:bCs w:val="0"/>
        </w:rPr>
        <w:fldChar w:fldCharType="separate"/>
      </w:r>
      <w:r>
        <w:rPr>
          <w:b/>
          <w:bCs w:val="0"/>
        </w:rPr>
        <w:t>6. 3. 10</w:t>
      </w:r>
      <w:r>
        <w:rPr>
          <w:b/>
          <w:bCs w:val="0"/>
        </w:rPr>
        <w:fldChar w:fldCharType="end"/>
      </w:r>
      <w:r>
        <w:tab/>
      </w:r>
      <w:r>
        <w:rPr>
          <w:rFonts w:hint="eastAsia"/>
        </w:rPr>
        <w:t>不合格预制构件也宜在构件显著位置进行标识。</w:t>
      </w:r>
    </w:p>
    <w:p>
      <w:pPr>
        <w:pStyle w:val="98"/>
      </w:pPr>
      <w:r>
        <w:rPr>
          <w:b/>
          <w:bCs w:val="0"/>
        </w:rPr>
        <w:fldChar w:fldCharType="begin"/>
      </w:r>
      <w:r>
        <w:rPr>
          <w:b/>
          <w:bCs w:val="0"/>
        </w:rPr>
        <w:instrText xml:space="preserve"> REF _Ref198041198 \r \h  \* MERGEFORMAT </w:instrText>
      </w:r>
      <w:r>
        <w:rPr>
          <w:b/>
          <w:bCs w:val="0"/>
        </w:rPr>
        <w:fldChar w:fldCharType="separate"/>
      </w:r>
      <w:r>
        <w:rPr>
          <w:b/>
          <w:bCs w:val="0"/>
        </w:rPr>
        <w:t>6. 3. 11</w:t>
      </w:r>
      <w:r>
        <w:rPr>
          <w:b/>
          <w:bCs w:val="0"/>
        </w:rPr>
        <w:fldChar w:fldCharType="end"/>
      </w:r>
      <w:r>
        <w:tab/>
      </w:r>
      <w:r>
        <w:rPr>
          <w:rFonts w:hint="eastAsia"/>
        </w:rPr>
        <w:t>制作单位向施工单位随预制构件运输提供的“产品质量证明文件”是预制构件进场验收和可被接收的主要证明文件。制作单位应根据构件检验情况准确、客观的出具该证明文件。对预制构件出厂时没有达到28d龄期要求，其混凝土强度尚未评定，制作单位应先提供临时证明文件为构件进场验收依据，待达到28d龄期且强度评定完成5-10</w:t>
      </w:r>
      <w:r>
        <w:t xml:space="preserve"> </w:t>
      </w:r>
      <w:r>
        <w:rPr>
          <w:rFonts w:hint="eastAsia"/>
        </w:rPr>
        <w:t>d内补全正式证明文件。</w:t>
      </w:r>
    </w:p>
    <w:p/>
    <w:p>
      <w:r>
        <w:br w:type="page"/>
      </w:r>
    </w:p>
    <w:p>
      <w:pPr>
        <w:pStyle w:val="94"/>
      </w:pPr>
      <w:bookmarkStart w:id="688" w:name="_Toc202345869"/>
      <w:r>
        <w:rPr>
          <w:rFonts w:hint="eastAsia"/>
        </w:rPr>
        <w:t>7 施工安装</w:t>
      </w:r>
      <w:bookmarkEnd w:id="688"/>
    </w:p>
    <w:p>
      <w:pPr>
        <w:pStyle w:val="100"/>
      </w:pPr>
      <w:bookmarkStart w:id="689" w:name="_Toc202345870"/>
      <w:r>
        <w:rPr>
          <w:rFonts w:hint="eastAsia"/>
        </w:rPr>
        <w:t>7.1  一般规定</w:t>
      </w:r>
      <w:bookmarkEnd w:id="689"/>
    </w:p>
    <w:p>
      <w:pPr>
        <w:pStyle w:val="98"/>
      </w:pPr>
      <w:r>
        <w:rPr>
          <w:b/>
          <w:bCs w:val="0"/>
        </w:rPr>
        <w:fldChar w:fldCharType="begin"/>
      </w:r>
      <w:r>
        <w:rPr>
          <w:b/>
          <w:bCs w:val="0"/>
        </w:rPr>
        <w:instrText xml:space="preserve"> REF _Ref198041331 \r \h  \* MERGEFORMAT </w:instrText>
      </w:r>
      <w:r>
        <w:rPr>
          <w:b/>
          <w:bCs w:val="0"/>
        </w:rPr>
        <w:fldChar w:fldCharType="separate"/>
      </w:r>
      <w:r>
        <w:rPr>
          <w:b/>
          <w:bCs w:val="0"/>
        </w:rPr>
        <w:t>7. 1. 2</w:t>
      </w:r>
      <w:r>
        <w:rPr>
          <w:b/>
          <w:bCs w:val="0"/>
        </w:rPr>
        <w:fldChar w:fldCharType="end"/>
      </w:r>
      <w:r>
        <w:tab/>
      </w:r>
      <w:r>
        <w:rPr>
          <w:rFonts w:hint="eastAsia"/>
        </w:rPr>
        <w:t>预应力工程施工专业性强，材料性能、工艺流程和现场操作要求严格，承担预应力施工单位应具备与工程规模和技术难度相应的预应力工程施工能力和管理能力。</w:t>
      </w:r>
    </w:p>
    <w:p>
      <w:pPr>
        <w:pStyle w:val="99"/>
      </w:pPr>
      <w:r>
        <w:rPr>
          <w:rFonts w:hint="eastAsia"/>
        </w:rPr>
        <w:t>预应力工程专项施工方案内容一般包括：</w:t>
      </w:r>
    </w:p>
    <w:p>
      <w:pPr>
        <w:pStyle w:val="99"/>
      </w:pPr>
      <w:r>
        <w:rPr>
          <w:rFonts w:hint="eastAsia"/>
        </w:rPr>
        <w:t>（1）施工顺序和工艺流程；</w:t>
      </w:r>
    </w:p>
    <w:p>
      <w:pPr>
        <w:pStyle w:val="99"/>
      </w:pPr>
      <w:r>
        <w:rPr>
          <w:rFonts w:hint="eastAsia"/>
        </w:rPr>
        <w:t>（2）预应力施工工艺，包括预应力钢绞线制作、孔道预留、预应力钢绞线安装、预应力钢绞线张拉、孔道灌浆和封锚等；</w:t>
      </w:r>
    </w:p>
    <w:p>
      <w:pPr>
        <w:pStyle w:val="99"/>
      </w:pPr>
      <w:r>
        <w:rPr>
          <w:rFonts w:hint="eastAsia"/>
        </w:rPr>
        <w:t>（3）材料采购和检验、机具配备和张拉设备标定；</w:t>
      </w:r>
    </w:p>
    <w:p>
      <w:pPr>
        <w:pStyle w:val="99"/>
      </w:pPr>
      <w:r>
        <w:rPr>
          <w:rFonts w:hint="eastAsia"/>
        </w:rPr>
        <w:t>（4）施工进度和劳动力安排、材料供应计划；</w:t>
      </w:r>
    </w:p>
    <w:p>
      <w:pPr>
        <w:pStyle w:val="99"/>
      </w:pPr>
      <w:r>
        <w:rPr>
          <w:rFonts w:hint="eastAsia"/>
        </w:rPr>
        <w:t>（5）有关分项工程的配合要求；</w:t>
      </w:r>
    </w:p>
    <w:p>
      <w:pPr>
        <w:pStyle w:val="99"/>
      </w:pPr>
      <w:r>
        <w:rPr>
          <w:rFonts w:hint="eastAsia"/>
        </w:rPr>
        <w:t>（6）施工质量要求和质量保证措施；</w:t>
      </w:r>
    </w:p>
    <w:p>
      <w:pPr>
        <w:pStyle w:val="99"/>
      </w:pPr>
      <w:r>
        <w:rPr>
          <w:rFonts w:hint="eastAsia"/>
        </w:rPr>
        <w:t>（7）施工安全要求和安全保证措施；</w:t>
      </w:r>
    </w:p>
    <w:p>
      <w:pPr>
        <w:pStyle w:val="99"/>
      </w:pPr>
      <w:r>
        <w:rPr>
          <w:rFonts w:hint="eastAsia"/>
        </w:rPr>
        <w:t>（8）施工现场管理机构等。</w:t>
      </w:r>
    </w:p>
    <w:p>
      <w:pPr>
        <w:pStyle w:val="99"/>
      </w:pPr>
      <w:r>
        <w:rPr>
          <w:rFonts w:hint="eastAsia"/>
        </w:rPr>
        <w:t>预应力混凝土工程的施工工艺设计内容一般包括：</w:t>
      </w:r>
    </w:p>
    <w:p>
      <w:pPr>
        <w:pStyle w:val="99"/>
      </w:pPr>
      <w:r>
        <w:rPr>
          <w:rFonts w:hint="eastAsia"/>
        </w:rPr>
        <w:t>（1）材料、张拉锚固体系；</w:t>
      </w:r>
    </w:p>
    <w:p>
      <w:pPr>
        <w:pStyle w:val="99"/>
      </w:pPr>
      <w:r>
        <w:rPr>
          <w:rFonts w:hint="eastAsia"/>
        </w:rPr>
        <w:t>（2）预应力钢绞线束形定位坐标图；</w:t>
      </w:r>
    </w:p>
    <w:p>
      <w:pPr>
        <w:pStyle w:val="99"/>
      </w:pPr>
      <w:r>
        <w:rPr>
          <w:rFonts w:hint="eastAsia"/>
        </w:rPr>
        <w:t>（3）张拉端及固定端构造；</w:t>
      </w:r>
    </w:p>
    <w:p>
      <w:pPr>
        <w:pStyle w:val="99"/>
      </w:pPr>
      <w:r>
        <w:rPr>
          <w:rFonts w:hint="eastAsia"/>
        </w:rPr>
        <w:t>（4）张拉控制应力；</w:t>
      </w:r>
    </w:p>
    <w:p>
      <w:pPr>
        <w:pStyle w:val="99"/>
      </w:pPr>
      <w:r>
        <w:rPr>
          <w:rFonts w:hint="eastAsia"/>
        </w:rPr>
        <w:t>（5）张拉或放张顺序及工艺；</w:t>
      </w:r>
    </w:p>
    <w:p>
      <w:pPr>
        <w:pStyle w:val="99"/>
      </w:pPr>
      <w:r>
        <w:rPr>
          <w:rFonts w:hint="eastAsia"/>
        </w:rPr>
        <w:t>（6）锚具封闭构造；</w:t>
      </w:r>
    </w:p>
    <w:p>
      <w:pPr>
        <w:pStyle w:val="99"/>
      </w:pPr>
      <w:r>
        <w:rPr>
          <w:rFonts w:hint="eastAsia"/>
        </w:rPr>
        <w:t>（7）孔道摩擦系数取值等。</w:t>
      </w:r>
    </w:p>
    <w:p>
      <w:pPr>
        <w:pStyle w:val="99"/>
      </w:pPr>
      <w:r>
        <w:rPr>
          <w:rFonts w:hint="eastAsia"/>
        </w:rPr>
        <w:t>如果压接装配结构较长，预应力张拉时可能会引起边跨竖向构件偏位过大；当结构中布置有抗震墙等刚度较大的抗侧力构件时，预应力传递比较复杂，以上情况均应进行施工过程分析。</w:t>
      </w:r>
    </w:p>
    <w:p>
      <w:pPr>
        <w:pStyle w:val="98"/>
      </w:pPr>
      <w:r>
        <w:rPr>
          <w:b/>
          <w:bCs w:val="0"/>
        </w:rPr>
        <w:fldChar w:fldCharType="begin"/>
      </w:r>
      <w:r>
        <w:rPr>
          <w:b/>
          <w:bCs w:val="0"/>
        </w:rPr>
        <w:instrText xml:space="preserve"> REF _Ref198041375 \r \h  \* MERGEFORMAT </w:instrText>
      </w:r>
      <w:r>
        <w:rPr>
          <w:b/>
          <w:bCs w:val="0"/>
        </w:rPr>
        <w:fldChar w:fldCharType="separate"/>
      </w:r>
      <w:r>
        <w:rPr>
          <w:b/>
          <w:bCs w:val="0"/>
        </w:rPr>
        <w:t>7. 1. 4</w:t>
      </w:r>
      <w:r>
        <w:rPr>
          <w:b/>
          <w:bCs w:val="0"/>
        </w:rPr>
        <w:fldChar w:fldCharType="end"/>
      </w:r>
      <w:r>
        <w:tab/>
      </w:r>
      <w:r>
        <w:rPr>
          <w:rFonts w:hint="eastAsia"/>
        </w:rPr>
        <w:t>灌浆料和套筒产品应按接头型式检验报告配套使用，以避免出现采用灌浆料和灌浆套筒的灌浆接头产品质量不可靠、责任难以划分等问题。如改变配套的灌浆料或灌浆套筒时，应制作新采用的灌浆料或灌浆套筒的接头试样并进行工艺试验验证，合格后方可使用。</w:t>
      </w:r>
    </w:p>
    <w:p>
      <w:pPr>
        <w:pStyle w:val="98"/>
      </w:pPr>
      <w:r>
        <w:rPr>
          <w:b/>
          <w:bCs w:val="0"/>
        </w:rPr>
        <w:fldChar w:fldCharType="begin"/>
      </w:r>
      <w:r>
        <w:rPr>
          <w:b/>
          <w:bCs w:val="0"/>
        </w:rPr>
        <w:instrText xml:space="preserve"> REF _Ref198041409 \r \h  \* MERGEFORMAT </w:instrText>
      </w:r>
      <w:r>
        <w:rPr>
          <w:b/>
          <w:bCs w:val="0"/>
        </w:rPr>
        <w:fldChar w:fldCharType="separate"/>
      </w:r>
      <w:r>
        <w:rPr>
          <w:b/>
          <w:bCs w:val="0"/>
        </w:rPr>
        <w:t>7. 1. 5</w:t>
      </w:r>
      <w:r>
        <w:rPr>
          <w:b/>
          <w:bCs w:val="0"/>
        </w:rPr>
        <w:fldChar w:fldCharType="end"/>
      </w:r>
      <w:r>
        <w:tab/>
      </w:r>
      <w:r>
        <w:rPr>
          <w:rFonts w:hint="eastAsia"/>
        </w:rPr>
        <w:t>装配式混凝土结构的连接节点处混凝土或灌浆料应达到设计规定强度方可拆除支撑或进行上部结构安装，主要是考虑施工振动或外力对连接处混凝土或灌浆料浆体强度早期破坏和不利影响。</w:t>
      </w:r>
    </w:p>
    <w:p>
      <w:pPr>
        <w:pStyle w:val="98"/>
      </w:pPr>
      <w:r>
        <w:rPr>
          <w:b/>
          <w:bCs w:val="0"/>
        </w:rPr>
        <w:fldChar w:fldCharType="begin"/>
      </w:r>
      <w:r>
        <w:rPr>
          <w:b/>
          <w:bCs w:val="0"/>
        </w:rPr>
        <w:instrText xml:space="preserve"> REF _Ref198041456 \r \h  \* MERGEFORMAT </w:instrText>
      </w:r>
      <w:r>
        <w:rPr>
          <w:b/>
          <w:bCs w:val="0"/>
        </w:rPr>
        <w:fldChar w:fldCharType="separate"/>
      </w:r>
      <w:r>
        <w:rPr>
          <w:b/>
          <w:bCs w:val="0"/>
        </w:rPr>
        <w:t>7. 1. 9</w:t>
      </w:r>
      <w:r>
        <w:rPr>
          <w:b/>
          <w:bCs w:val="0"/>
        </w:rPr>
        <w:fldChar w:fldCharType="end"/>
      </w:r>
      <w:r>
        <w:tab/>
      </w:r>
      <w:r>
        <w:rPr>
          <w:rFonts w:hint="eastAsia"/>
        </w:rPr>
        <w:t>当采用带后浇叠合层的双T板或预应力空心板时，施工阶段板底可不搭设支撑。整体安装流程应进行系统策划，可按</w:t>
      </w:r>
      <w:r>
        <w:fldChar w:fldCharType="begin"/>
      </w:r>
      <w:r>
        <w:instrText xml:space="preserve"> </w:instrText>
      </w:r>
      <w:r>
        <w:rPr>
          <w:rFonts w:hint="eastAsia"/>
        </w:rPr>
        <w:instrText xml:space="preserve">REF _Ref197586814 \h</w:instrText>
      </w:r>
      <w:r>
        <w:instrText xml:space="preserve"> </w:instrText>
      </w:r>
      <w:r>
        <w:fldChar w:fldCharType="separate"/>
      </w:r>
      <w:r>
        <w:rPr>
          <w:rFonts w:hint="eastAsia"/>
        </w:rPr>
        <w:t>图</w:t>
      </w:r>
      <w:r>
        <w:t>30</w:t>
      </w:r>
      <w:r>
        <w:fldChar w:fldCharType="end"/>
      </w:r>
      <w:r>
        <w:rPr>
          <w:rFonts w:hint="eastAsia"/>
        </w:rPr>
        <w:t>所示流程组织施工。</w:t>
      </w:r>
    </w:p>
    <w:p>
      <w:pPr>
        <w:pStyle w:val="69"/>
      </w:pPr>
      <w:bookmarkStart w:id="690" w:name="_MON_1782716679"/>
      <w:bookmarkEnd w:id="690"/>
      <w:r>
        <w:object>
          <v:shape id="_x0000_i1025" o:spt="75" type="#_x0000_t75" style="height:370.85pt;width:224.85pt;" o:ole="t" filled="f" o:preferrelative="t" stroked="f" coordsize="21600,21600">
            <v:path/>
            <v:fill on="f" focussize="0,0"/>
            <v:stroke on="f" joinstyle="miter"/>
            <v:imagedata r:id="rId89" croptop="619f" cropright="3299f" cropbottom="1157f" o:title=""/>
            <o:lock v:ext="edit" aspectratio="t"/>
            <w10:wrap type="none"/>
            <w10:anchorlock/>
          </v:shape>
          <o:OLEObject Type="Embed" ProgID="Word.Document.12" ShapeID="_x0000_i1025" DrawAspect="Content" ObjectID="_1468075725" r:id="rId88">
            <o:LockedField>false</o:LockedField>
          </o:OLEObject>
        </w:object>
      </w:r>
    </w:p>
    <w:p>
      <w:pPr>
        <w:pStyle w:val="69"/>
      </w:pPr>
      <w:bookmarkStart w:id="691" w:name="_Ref197586814"/>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30</w:t>
      </w:r>
      <w:r>
        <w:fldChar w:fldCharType="end"/>
      </w:r>
      <w:bookmarkEnd w:id="691"/>
      <w:r>
        <w:t xml:space="preserve">  </w:t>
      </w:r>
      <w:r>
        <w:rPr>
          <w:rFonts w:hint="eastAsia"/>
        </w:rPr>
        <w:t>压接装配框架结构施工流程一</w:t>
      </w:r>
    </w:p>
    <w:p>
      <w:pPr>
        <w:pStyle w:val="98"/>
      </w:pPr>
      <w:r>
        <w:rPr>
          <w:b/>
          <w:bCs w:val="0"/>
        </w:rPr>
        <w:fldChar w:fldCharType="begin"/>
      </w:r>
      <w:r>
        <w:rPr>
          <w:b/>
          <w:bCs w:val="0"/>
        </w:rPr>
        <w:instrText xml:space="preserve"> REF _Ref198041514 \r \h  \* MERGEFORMAT </w:instrText>
      </w:r>
      <w:r>
        <w:rPr>
          <w:b/>
          <w:bCs w:val="0"/>
        </w:rPr>
        <w:fldChar w:fldCharType="separate"/>
      </w:r>
      <w:r>
        <w:rPr>
          <w:b/>
          <w:bCs w:val="0"/>
        </w:rPr>
        <w:t>7. 1. 10</w:t>
      </w:r>
      <w:r>
        <w:rPr>
          <w:b/>
          <w:bCs w:val="0"/>
        </w:rPr>
        <w:fldChar w:fldCharType="end"/>
      </w:r>
      <w:r>
        <w:tab/>
      </w:r>
      <w:r>
        <w:rPr>
          <w:rFonts w:hint="eastAsia"/>
        </w:rPr>
        <w:t>当采用钢筋桁架叠合板或钢管桁架叠合板时，施工阶段板底往往需提前搭设支撑。为了提高工效，压接梁柱节点连接施工宜与预制楼板铺设同时进行，可按</w:t>
      </w:r>
      <w:r>
        <w:fldChar w:fldCharType="begin"/>
      </w:r>
      <w:r>
        <w:instrText xml:space="preserve"> </w:instrText>
      </w:r>
      <w:r>
        <w:rPr>
          <w:rFonts w:hint="eastAsia"/>
        </w:rPr>
        <w:instrText xml:space="preserve">REF _Ref197587158 \h</w:instrText>
      </w:r>
      <w:r>
        <w:instrText xml:space="preserve"> </w:instrText>
      </w:r>
      <w:r>
        <w:fldChar w:fldCharType="separate"/>
      </w:r>
      <w:r>
        <w:rPr>
          <w:rFonts w:hint="eastAsia"/>
        </w:rPr>
        <w:t>图</w:t>
      </w:r>
      <w:r>
        <w:t>31</w:t>
      </w:r>
      <w:r>
        <w:fldChar w:fldCharType="end"/>
      </w:r>
      <w:r>
        <w:rPr>
          <w:rFonts w:hint="eastAsia"/>
        </w:rPr>
        <w:t>所示流程组织施工。</w:t>
      </w:r>
    </w:p>
    <w:p>
      <w:pPr>
        <w:pStyle w:val="69"/>
      </w:pPr>
      <w:r>
        <w:object>
          <v:shape id="_x0000_i1026" o:spt="75" type="#_x0000_t75" style="height:349.9pt;width:224.85pt;" o:ole="t" filled="f" o:preferrelative="t" stroked="f" coordsize="21600,21600">
            <v:path/>
            <v:fill on="f" focussize="0,0"/>
            <v:stroke on="f" joinstyle="miter"/>
            <v:imagedata r:id="rId91" cropright="1331f" o:title=""/>
            <o:lock v:ext="edit" aspectratio="t"/>
            <w10:wrap type="none"/>
            <w10:anchorlock/>
          </v:shape>
          <o:OLEObject Type="Embed" ProgID="Word.Document.12" ShapeID="_x0000_i1026" DrawAspect="Content" ObjectID="_1468075726" r:id="rId90">
            <o:LockedField>false</o:LockedField>
          </o:OLEObject>
        </w:object>
      </w:r>
    </w:p>
    <w:p>
      <w:pPr>
        <w:pStyle w:val="69"/>
      </w:pPr>
      <w:bookmarkStart w:id="692" w:name="_Ref19758715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31</w:t>
      </w:r>
      <w:r>
        <w:fldChar w:fldCharType="end"/>
      </w:r>
      <w:bookmarkEnd w:id="692"/>
      <w:r>
        <w:t xml:space="preserve"> </w:t>
      </w:r>
      <w:r>
        <w:rPr>
          <w:rFonts w:hint="eastAsia"/>
        </w:rPr>
        <w:t>压接装配框架结构施工流程二</w:t>
      </w:r>
    </w:p>
    <w:p>
      <w:pPr>
        <w:pStyle w:val="98"/>
      </w:pPr>
      <w:r>
        <w:rPr>
          <w:b/>
          <w:bCs w:val="0"/>
        </w:rPr>
        <w:fldChar w:fldCharType="begin"/>
      </w:r>
      <w:r>
        <w:rPr>
          <w:b/>
          <w:bCs w:val="0"/>
        </w:rPr>
        <w:instrText xml:space="preserve"> </w:instrText>
      </w:r>
      <w:r>
        <w:rPr>
          <w:rFonts w:hint="eastAsia"/>
          <w:b/>
          <w:bCs w:val="0"/>
        </w:rPr>
        <w:instrText xml:space="preserve">REF _Ref198041572 \r \h</w:instrText>
      </w:r>
      <w:r>
        <w:rPr>
          <w:b/>
          <w:bCs w:val="0"/>
        </w:rPr>
        <w:instrText xml:space="preserve">  \* MERGEFORMAT </w:instrText>
      </w:r>
      <w:r>
        <w:rPr>
          <w:b/>
          <w:bCs w:val="0"/>
        </w:rPr>
        <w:fldChar w:fldCharType="separate"/>
      </w:r>
      <w:r>
        <w:rPr>
          <w:b/>
          <w:bCs w:val="0"/>
        </w:rPr>
        <w:t>7. 1. 11</w:t>
      </w:r>
      <w:r>
        <w:rPr>
          <w:b/>
          <w:bCs w:val="0"/>
        </w:rPr>
        <w:fldChar w:fldCharType="end"/>
      </w:r>
      <w:r>
        <w:tab/>
      </w:r>
      <w:r>
        <w:rPr>
          <w:rFonts w:hint="eastAsia"/>
        </w:rPr>
        <w:t>采用自复位梁柱节点的压接装配框架结构，可按</w:t>
      </w:r>
      <w:r>
        <w:fldChar w:fldCharType="begin"/>
      </w:r>
      <w:r>
        <w:instrText xml:space="preserve"> </w:instrText>
      </w:r>
      <w:r>
        <w:rPr>
          <w:rFonts w:hint="eastAsia"/>
        </w:rPr>
        <w:instrText xml:space="preserve">REF _Ref197587571 \h</w:instrText>
      </w:r>
      <w:r>
        <w:instrText xml:space="preserve"> </w:instrText>
      </w:r>
      <w:r>
        <w:fldChar w:fldCharType="separate"/>
      </w:r>
      <w:r>
        <w:rPr>
          <w:rFonts w:hint="eastAsia"/>
        </w:rPr>
        <w:t>图</w:t>
      </w:r>
      <w:r>
        <w:t>32</w:t>
      </w:r>
      <w:r>
        <w:fldChar w:fldCharType="end"/>
      </w:r>
      <w:r>
        <w:rPr>
          <w:rFonts w:hint="eastAsia"/>
        </w:rPr>
        <w:t>流程组织施工。</w:t>
      </w:r>
    </w:p>
    <w:p>
      <w:pPr>
        <w:pStyle w:val="69"/>
      </w:pPr>
      <w:r>
        <w:drawing>
          <wp:inline distT="0" distB="0" distL="0" distR="0">
            <wp:extent cx="2215515" cy="3679825"/>
            <wp:effectExtent l="0" t="0" r="0" b="0"/>
            <wp:docPr id="71346439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3464393" name="图片 1"/>
                    <pic:cNvPicPr>
                      <a:picLocks noChangeAspect="true"/>
                    </pic:cNvPicPr>
                  </pic:nvPicPr>
                  <pic:blipFill>
                    <a:blip r:embed="rId92"/>
                    <a:stretch>
                      <a:fillRect/>
                    </a:stretch>
                  </pic:blipFill>
                  <pic:spPr>
                    <a:xfrm>
                      <a:off x="0" y="0"/>
                      <a:ext cx="2228370" cy="3701215"/>
                    </a:xfrm>
                    <a:prstGeom prst="rect">
                      <a:avLst/>
                    </a:prstGeom>
                  </pic:spPr>
                </pic:pic>
              </a:graphicData>
            </a:graphic>
          </wp:inline>
        </w:drawing>
      </w:r>
    </w:p>
    <w:p>
      <w:pPr>
        <w:pStyle w:val="69"/>
      </w:pPr>
      <w:bookmarkStart w:id="693" w:name="_Ref197587571"/>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32</w:t>
      </w:r>
      <w:r>
        <w:fldChar w:fldCharType="end"/>
      </w:r>
      <w:bookmarkEnd w:id="693"/>
      <w:r>
        <w:t xml:space="preserve"> </w:t>
      </w:r>
      <w:r>
        <w:rPr>
          <w:rFonts w:hint="eastAsia"/>
        </w:rPr>
        <w:t>采用自复位梁柱节点的压接装配框架结构施工流程</w:t>
      </w:r>
    </w:p>
    <w:p>
      <w:pPr>
        <w:pStyle w:val="98"/>
      </w:pPr>
      <w:r>
        <w:rPr>
          <w:b/>
          <w:bCs w:val="0"/>
        </w:rPr>
        <w:fldChar w:fldCharType="begin"/>
      </w:r>
      <w:r>
        <w:rPr>
          <w:b/>
          <w:bCs w:val="0"/>
        </w:rPr>
        <w:instrText xml:space="preserve"> REF _Ref178584834 \r \h  \* MERGEFORMAT </w:instrText>
      </w:r>
      <w:r>
        <w:rPr>
          <w:b/>
          <w:bCs w:val="0"/>
        </w:rPr>
        <w:fldChar w:fldCharType="separate"/>
      </w:r>
      <w:r>
        <w:rPr>
          <w:b/>
          <w:bCs w:val="0"/>
        </w:rPr>
        <w:t>7. 1. 12</w:t>
      </w:r>
      <w:r>
        <w:rPr>
          <w:b/>
          <w:bCs w:val="0"/>
        </w:rPr>
        <w:fldChar w:fldCharType="end"/>
      </w:r>
      <w:r>
        <w:tab/>
      </w:r>
      <w:r>
        <w:rPr>
          <w:rFonts w:hint="eastAsia"/>
        </w:rPr>
        <w:t>外推柱为施工现场防止预应力张拉时柱内倾的措施，应根据现场实际情况确定，并在实施前征得设计人员的同意。采用外推柱施工的结构预应力张拉完毕后，预制柱垂直度除应符合本规程有关规定外，还应符合国家现行标准《装配式混凝土结构技术规程》JGJ 1中有关规定。</w:t>
      </w:r>
    </w:p>
    <w:p>
      <w:pPr>
        <w:pStyle w:val="99"/>
      </w:pPr>
      <w:r>
        <w:rPr>
          <w:rFonts w:hint="eastAsia"/>
          <w:bCs/>
        </w:rPr>
        <w:t>在每</w:t>
      </w:r>
      <w:r>
        <w:rPr>
          <w:rFonts w:hint="eastAsia"/>
        </w:rPr>
        <w:t>个柱网单元内采用整块预制楼板的压接装配板柱结构，宜按</w:t>
      </w:r>
      <w:r>
        <w:fldChar w:fldCharType="begin"/>
      </w:r>
      <w:r>
        <w:instrText xml:space="preserve"> REF _Ref198108357 \h </w:instrText>
      </w:r>
      <w:r>
        <w:fldChar w:fldCharType="separate"/>
      </w:r>
      <w:r>
        <w:rPr>
          <w:rFonts w:hint="eastAsia"/>
        </w:rPr>
        <w:t>图</w:t>
      </w:r>
      <w:r>
        <w:t>33</w:t>
      </w:r>
      <w:r>
        <w:fldChar w:fldCharType="end"/>
      </w:r>
      <w:r>
        <w:rPr>
          <w:rFonts w:hint="eastAsia"/>
        </w:rPr>
        <w:t>流程组织施工。在每个柱网单元内采用拼接预制楼板的预应力压接装配板柱结构，宜按图</w:t>
      </w:r>
      <w:r>
        <w:fldChar w:fldCharType="begin"/>
      </w:r>
      <w:r>
        <w:instrText xml:space="preserve"> </w:instrText>
      </w:r>
      <w:r>
        <w:rPr>
          <w:rFonts w:hint="eastAsia"/>
        </w:rPr>
        <w:instrText xml:space="preserve">REF _Ref198108408 \h</w:instrText>
      </w:r>
      <w:r>
        <w:instrText xml:space="preserve"> </w:instrText>
      </w:r>
      <w:r>
        <w:fldChar w:fldCharType="separate"/>
      </w:r>
      <w:r>
        <w:rPr>
          <w:rFonts w:hint="eastAsia"/>
        </w:rPr>
        <w:t>图</w:t>
      </w:r>
      <w:r>
        <w:t>34</w:t>
      </w:r>
      <w:r>
        <w:fldChar w:fldCharType="end"/>
      </w:r>
      <w:r>
        <w:rPr>
          <w:rFonts w:hint="eastAsia"/>
        </w:rPr>
        <w:t>流程组织施工。</w:t>
      </w:r>
    </w:p>
    <w:p>
      <w:pPr>
        <w:pStyle w:val="69"/>
      </w:pPr>
      <w:r>
        <w:drawing>
          <wp:inline distT="0" distB="0" distL="0" distR="0">
            <wp:extent cx="2325370" cy="3583305"/>
            <wp:effectExtent l="0" t="0" r="0" b="0"/>
            <wp:docPr id="199243718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92437184" name="图片 10"/>
                    <pic:cNvPicPr>
                      <a:picLocks noChangeAspect="true" noChangeArrowheads="true"/>
                    </pic:cNvPicPr>
                  </pic:nvPicPr>
                  <pic:blipFill>
                    <a:blip r:embed="rId93">
                      <a:extLst>
                        <a:ext uri="{28A0092B-C50C-407E-A947-70E740481C1C}">
                          <a14:useLocalDpi xmlns:a14="http://schemas.microsoft.com/office/drawing/2010/main" val="false"/>
                        </a:ext>
                      </a:extLst>
                    </a:blip>
                    <a:srcRect l="20226" r="20358" b="23575"/>
                    <a:stretch>
                      <a:fillRect/>
                    </a:stretch>
                  </pic:blipFill>
                  <pic:spPr>
                    <a:xfrm>
                      <a:off x="0" y="0"/>
                      <a:ext cx="2330308" cy="3590764"/>
                    </a:xfrm>
                    <a:prstGeom prst="rect">
                      <a:avLst/>
                    </a:prstGeom>
                    <a:noFill/>
                    <a:ln>
                      <a:noFill/>
                    </a:ln>
                  </pic:spPr>
                </pic:pic>
              </a:graphicData>
            </a:graphic>
          </wp:inline>
        </w:drawing>
      </w:r>
    </w:p>
    <w:p>
      <w:pPr>
        <w:pStyle w:val="69"/>
      </w:pPr>
      <w:bookmarkStart w:id="694" w:name="_Ref198108357"/>
      <w:bookmarkStart w:id="695" w:name="_Ref198108352"/>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33</w:t>
      </w:r>
      <w:r>
        <w:fldChar w:fldCharType="end"/>
      </w:r>
      <w:bookmarkEnd w:id="694"/>
      <w:r>
        <w:t xml:space="preserve"> </w:t>
      </w:r>
      <w:r>
        <w:rPr>
          <w:rFonts w:hint="eastAsia"/>
        </w:rPr>
        <w:t>压接装配板柱结构施工流程一</w:t>
      </w:r>
      <w:bookmarkEnd w:id="695"/>
    </w:p>
    <w:p>
      <w:pPr>
        <w:pStyle w:val="69"/>
      </w:pPr>
      <w:r>
        <w:drawing>
          <wp:inline distT="0" distB="0" distL="0" distR="0">
            <wp:extent cx="2143125" cy="3879215"/>
            <wp:effectExtent l="0" t="0" r="9525" b="6985"/>
            <wp:docPr id="113558671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5586716" name="图片 11"/>
                    <pic:cNvPicPr>
                      <a:picLocks noChangeAspect="true" noChangeArrowheads="true"/>
                    </pic:cNvPicPr>
                  </pic:nvPicPr>
                  <pic:blipFill>
                    <a:blip r:embed="rId94">
                      <a:extLst>
                        <a:ext uri="{28A0092B-C50C-407E-A947-70E740481C1C}">
                          <a14:useLocalDpi xmlns:a14="http://schemas.microsoft.com/office/drawing/2010/main" val="false"/>
                        </a:ext>
                      </a:extLst>
                    </a:blip>
                    <a:srcRect l="22212" r="22527" b="16942"/>
                    <a:stretch>
                      <a:fillRect/>
                    </a:stretch>
                  </pic:blipFill>
                  <pic:spPr>
                    <a:xfrm>
                      <a:off x="0" y="0"/>
                      <a:ext cx="2153235" cy="3897475"/>
                    </a:xfrm>
                    <a:prstGeom prst="rect">
                      <a:avLst/>
                    </a:prstGeom>
                    <a:noFill/>
                    <a:ln>
                      <a:noFill/>
                    </a:ln>
                  </pic:spPr>
                </pic:pic>
              </a:graphicData>
            </a:graphic>
          </wp:inline>
        </w:drawing>
      </w:r>
    </w:p>
    <w:p>
      <w:pPr>
        <w:pStyle w:val="69"/>
      </w:pPr>
      <w:bookmarkStart w:id="696" w:name="_Ref19810840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34</w:t>
      </w:r>
      <w:r>
        <w:fldChar w:fldCharType="end"/>
      </w:r>
      <w:bookmarkEnd w:id="696"/>
      <w:r>
        <w:t xml:space="preserve">  </w:t>
      </w:r>
      <w:r>
        <w:rPr>
          <w:rFonts w:hint="eastAsia"/>
        </w:rPr>
        <w:t>压接装配板柱结构施工流程二</w:t>
      </w:r>
    </w:p>
    <w:p/>
    <w:p>
      <w:pPr>
        <w:pStyle w:val="100"/>
      </w:pPr>
      <w:bookmarkStart w:id="697" w:name="_Toc202345871"/>
      <w:r>
        <w:rPr>
          <w:rFonts w:hint="eastAsia"/>
        </w:rPr>
        <w:t>7.2  安装准备</w:t>
      </w:r>
      <w:bookmarkEnd w:id="697"/>
    </w:p>
    <w:p>
      <w:pPr>
        <w:pStyle w:val="98"/>
      </w:pPr>
      <w:r>
        <w:rPr>
          <w:b/>
          <w:bCs w:val="0"/>
        </w:rPr>
        <w:fldChar w:fldCharType="begin"/>
      </w:r>
      <w:r>
        <w:rPr>
          <w:b/>
          <w:bCs w:val="0"/>
        </w:rPr>
        <w:instrText xml:space="preserve"> REF _Ref86140435 \r \h  \* MERGEFORMAT </w:instrText>
      </w:r>
      <w:r>
        <w:rPr>
          <w:b/>
          <w:bCs w:val="0"/>
        </w:rPr>
        <w:fldChar w:fldCharType="separate"/>
      </w:r>
      <w:r>
        <w:rPr>
          <w:b/>
          <w:bCs w:val="0"/>
        </w:rPr>
        <w:t>7. 2. 1</w:t>
      </w:r>
      <w:r>
        <w:rPr>
          <w:b/>
          <w:bCs w:val="0"/>
        </w:rPr>
        <w:fldChar w:fldCharType="end"/>
      </w:r>
      <w:r>
        <w:tab/>
      </w:r>
      <w:r>
        <w:rPr>
          <w:rFonts w:hint="eastAsia"/>
        </w:rPr>
        <w:t>吊装设备应根据构件吊装需求进行匹配性选型，安装施工前，应再次复核吊装设备的吊装能力、吊装器具和吊装环境，满足安全、高效的吊装要求。</w:t>
      </w:r>
    </w:p>
    <w:p>
      <w:pPr>
        <w:pStyle w:val="98"/>
      </w:pPr>
      <w:r>
        <w:rPr>
          <w:b/>
          <w:bCs w:val="0"/>
        </w:rPr>
        <w:fldChar w:fldCharType="begin"/>
      </w:r>
      <w:r>
        <w:rPr>
          <w:b/>
          <w:bCs w:val="0"/>
        </w:rPr>
        <w:instrText xml:space="preserve"> REF _Ref172273060 \r \h  \* MERGEFORMAT </w:instrText>
      </w:r>
      <w:r>
        <w:rPr>
          <w:b/>
          <w:bCs w:val="0"/>
        </w:rPr>
        <w:fldChar w:fldCharType="separate"/>
      </w:r>
      <w:r>
        <w:rPr>
          <w:b/>
          <w:bCs w:val="0"/>
        </w:rPr>
        <w:t>7. 2. 4</w:t>
      </w:r>
      <w:r>
        <w:rPr>
          <w:b/>
          <w:bCs w:val="0"/>
        </w:rPr>
        <w:fldChar w:fldCharType="end"/>
      </w:r>
      <w:r>
        <w:tab/>
      </w:r>
      <w:r>
        <w:rPr>
          <w:rFonts w:hint="eastAsia"/>
        </w:rPr>
        <w:t>常规无粘结预应力钢绞线制作方式为挤塑机将防腐润滑涂层及护套制作一次完成。在施工现场除去有粘结段护套后，宜采用碱性除油液进行彻底浸泡除油，擦干后使用，并注意钢绞线的防腐。普通预应力钢绞线储运及施工过程中易腐蚀，普通预应力钢绞线在施工现场缠绕的胶带质量不稳定，在穿筋过程中容易脱落堵塞孔道，因此不能采用。</w:t>
      </w:r>
    </w:p>
    <w:p>
      <w:pPr>
        <w:pStyle w:val="98"/>
      </w:pPr>
      <w:r>
        <w:rPr>
          <w:b/>
          <w:bCs w:val="0"/>
        </w:rPr>
        <w:fldChar w:fldCharType="begin"/>
      </w:r>
      <w:r>
        <w:rPr>
          <w:b/>
          <w:bCs w:val="0"/>
        </w:rPr>
        <w:instrText xml:space="preserve"> REF _Ref198041783 \r \h  \* MERGEFORMAT </w:instrText>
      </w:r>
      <w:r>
        <w:rPr>
          <w:b/>
          <w:bCs w:val="0"/>
        </w:rPr>
        <w:fldChar w:fldCharType="separate"/>
      </w:r>
      <w:r>
        <w:rPr>
          <w:b/>
          <w:bCs w:val="0"/>
        </w:rPr>
        <w:t>7. 2. 7</w:t>
      </w:r>
      <w:r>
        <w:rPr>
          <w:b/>
          <w:bCs w:val="0"/>
        </w:rPr>
        <w:fldChar w:fldCharType="end"/>
      </w:r>
      <w:r>
        <w:tab/>
      </w:r>
      <w:r>
        <w:rPr>
          <w:rFonts w:hint="eastAsia"/>
        </w:rPr>
        <w:t>设置施工临时支撑，可减少施工阶段预制梁和预制楼板底部支撑，提高安装速度，施工完成后即可拆除。</w:t>
      </w:r>
    </w:p>
    <w:p/>
    <w:p>
      <w:r>
        <w:br w:type="page"/>
      </w:r>
    </w:p>
    <w:p>
      <w:pPr>
        <w:pStyle w:val="94"/>
      </w:pPr>
      <w:bookmarkStart w:id="698" w:name="_Toc202345872"/>
      <w:r>
        <w:rPr>
          <w:rFonts w:hint="eastAsia"/>
        </w:rPr>
        <w:t>8 质量验收</w:t>
      </w:r>
      <w:bookmarkEnd w:id="698"/>
    </w:p>
    <w:p>
      <w:pPr>
        <w:pStyle w:val="100"/>
      </w:pPr>
      <w:bookmarkStart w:id="699" w:name="_Toc202345873"/>
      <w:r>
        <w:rPr>
          <w:rFonts w:hint="eastAsia"/>
        </w:rPr>
        <w:t>8. 2  预制构件进场</w:t>
      </w:r>
      <w:bookmarkEnd w:id="699"/>
    </w:p>
    <w:p>
      <w:pPr>
        <w:pStyle w:val="98"/>
      </w:pPr>
      <w:bookmarkStart w:id="700" w:name="_Hlk172040082"/>
      <w:r>
        <w:rPr>
          <w:rFonts w:hint="eastAsia"/>
          <w:b/>
          <w:bCs w:val="0"/>
        </w:rPr>
        <w:t>8</w:t>
      </w:r>
      <w:r>
        <w:rPr>
          <w:b/>
          <w:bCs w:val="0"/>
        </w:rPr>
        <w:t>.2.4</w:t>
      </w:r>
      <w:r>
        <w:rPr>
          <w:rFonts w:hint="eastAsia"/>
          <w:b/>
          <w:bCs w:val="0"/>
        </w:rPr>
        <w:t>~8.2.5</w:t>
      </w:r>
      <w:r>
        <w:tab/>
      </w:r>
      <w:r>
        <w:rPr>
          <w:rFonts w:hint="eastAsia"/>
        </w:rPr>
        <w:t>压接装配框架柱预埋直螺纹套筒制作质量、预制梁柱预埋金属波纹管制作质量、预制梁</w:t>
      </w:r>
      <w:bookmarkEnd w:id="700"/>
      <w:r>
        <w:rPr>
          <w:rFonts w:hint="eastAsia"/>
        </w:rPr>
        <w:t>端区域预埋箍筋伸出高度和梁柱接缝灌浆施工质量是关键控制节点，因此作为主控项目进行全数检查。</w:t>
      </w:r>
    </w:p>
    <w:p/>
    <w:p>
      <w:r>
        <w:br w:type="page"/>
      </w:r>
    </w:p>
    <w:p>
      <w:pPr>
        <w:pStyle w:val="94"/>
      </w:pPr>
      <w:bookmarkStart w:id="701" w:name="_Toc202345874"/>
      <w:r>
        <w:rPr>
          <w:rFonts w:hint="eastAsia"/>
        </w:rPr>
        <w:t>附录A 预应力压接装配节点位移极限状态验算</w:t>
      </w:r>
      <w:bookmarkEnd w:id="701"/>
    </w:p>
    <w:p>
      <w:pPr>
        <w:pStyle w:val="98"/>
      </w:pPr>
      <w:r>
        <w:rPr>
          <w:b/>
          <w:bCs w:val="0"/>
        </w:rPr>
        <w:fldChar w:fldCharType="begin"/>
      </w:r>
      <w:r>
        <w:rPr>
          <w:b/>
          <w:bCs w:val="0"/>
        </w:rPr>
        <w:instrText xml:space="preserve"> REF _Ref178582046 \r \h  \* MERGEFORMAT </w:instrText>
      </w:r>
      <w:r>
        <w:rPr>
          <w:b/>
          <w:bCs w:val="0"/>
        </w:rPr>
        <w:fldChar w:fldCharType="separate"/>
      </w:r>
      <w:r>
        <w:rPr>
          <w:b/>
          <w:bCs w:val="0"/>
        </w:rPr>
        <w:t>A. 0. 1</w:t>
      </w:r>
      <w:r>
        <w:rPr>
          <w:b/>
          <w:bCs w:val="0"/>
        </w:rPr>
        <w:fldChar w:fldCharType="end"/>
      </w:r>
      <w:r>
        <w:tab/>
      </w:r>
      <w:r>
        <w:rPr>
          <w:rFonts w:hint="eastAsia"/>
        </w:rPr>
        <w:t>根据结构性能要求，设定压接装配梁柱节点极限状态下的最大转动能力需求</w:t>
      </w:r>
      <m:oMath>
        <m:sSub>
          <m:sSubPr>
            <m:ctrlPr>
              <w:rPr>
                <w:rFonts w:ascii="Cambria Math" w:hAnsi="XITS Math"/>
                <w:i/>
              </w:rPr>
            </m:ctrlPr>
          </m:sSubPr>
          <m:e>
            <m:r>
              <m:rPr/>
              <w:rPr>
                <w:rFonts w:ascii="Cambria Math"/>
              </w:rPr>
              <m:t>θ</m:t>
            </m:r>
            <m:ctrlPr>
              <w:rPr>
                <w:rFonts w:ascii="Cambria Math" w:hAnsi="XITS Math"/>
                <w:i/>
              </w:rPr>
            </m:ctrlPr>
          </m:e>
          <m:sub>
            <m:r>
              <m:rPr/>
              <w:rPr>
                <w:rFonts w:ascii="Cambria Math"/>
              </w:rPr>
              <m:t>1</m:t>
            </m:r>
            <m:ctrlPr>
              <w:rPr>
                <w:rFonts w:ascii="Cambria Math" w:hAnsi="XITS Math"/>
                <w:i/>
              </w:rPr>
            </m:ctrlPr>
          </m:sub>
        </m:sSub>
      </m:oMath>
      <w:r>
        <w:rPr>
          <w:rFonts w:hint="eastAsia"/>
        </w:rPr>
        <w:t>和</w:t>
      </w:r>
      <m:oMath>
        <m:sSub>
          <m:sSubPr>
            <m:ctrlPr>
              <w:rPr>
                <w:rFonts w:ascii="Cambria Math" w:hAnsi="XITS Math"/>
                <w:i/>
              </w:rPr>
            </m:ctrlPr>
          </m:sSubPr>
          <m:e>
            <m:r>
              <m:rPr/>
              <w:rPr>
                <w:rFonts w:ascii="Cambria Math"/>
              </w:rPr>
              <m:t>θ</m:t>
            </m:r>
            <m:ctrlPr>
              <w:rPr>
                <w:rFonts w:ascii="Cambria Math" w:hAnsi="XITS Math"/>
                <w:i/>
              </w:rPr>
            </m:ctrlPr>
          </m:e>
          <m:sub>
            <m:r>
              <m:rPr/>
              <w:rPr>
                <w:rFonts w:ascii="Cambria Math"/>
              </w:rPr>
              <m:t>2</m:t>
            </m:r>
            <m:ctrlPr>
              <w:rPr>
                <w:rFonts w:ascii="Cambria Math" w:hAnsi="XITS Math"/>
                <w:i/>
              </w:rPr>
            </m:ctrlPr>
          </m:sub>
        </m:sSub>
      </m:oMath>
      <w:r>
        <w:rPr>
          <w:rFonts w:hint="eastAsia"/>
        </w:rPr>
        <w:t>，通过本条公式来验算梁板柱复合梁柱节点中耗能钢筋和钢绞线是否满足本规程规定的应变限值要求。</w:t>
      </w:r>
    </w:p>
    <w:p>
      <w:pPr>
        <w:pStyle w:val="99"/>
      </w:pPr>
      <w:r>
        <w:rPr>
          <w:rFonts w:hint="eastAsia"/>
        </w:rPr>
        <w:t>位移极限状态下，抗震等级为</w:t>
      </w:r>
      <w:r>
        <w:t>一级和二级时</w:t>
      </w:r>
      <w:r>
        <w:rPr>
          <w:rFonts w:hint="eastAsia"/>
        </w:rPr>
        <w:t>，梁柱压接装配梁柱节点</w:t>
      </w:r>
      <w:r>
        <w:t>结合面</w:t>
      </w:r>
      <w:r>
        <w:rPr>
          <w:rFonts w:hint="eastAsia"/>
        </w:rPr>
        <w:t>张开</w:t>
      </w:r>
      <w:r>
        <w:t>角度</w:t>
      </w:r>
      <m:oMath>
        <m:r>
          <m:rPr/>
          <w:rPr>
            <w:rFonts w:ascii="Cambria Math" w:hAnsi="Cambria Math"/>
          </w:rPr>
          <m:t>θ</m:t>
        </m:r>
      </m:oMath>
      <w:r>
        <w:rPr>
          <w:rFonts w:hint="eastAsia" w:hAnsi="Cambria Math"/>
        </w:rPr>
        <w:t>取值不应大于</w:t>
      </w:r>
      <w:r>
        <w:t>0.03 rad</w:t>
      </w:r>
      <w:r>
        <w:rPr>
          <w:rFonts w:hint="eastAsia"/>
        </w:rPr>
        <w:t>减去梁柱弹性变形产生的转角</w:t>
      </w:r>
      <w:r>
        <w:t>；</w:t>
      </w:r>
      <w:r>
        <w:rPr>
          <w:rFonts w:hint="eastAsia"/>
        </w:rPr>
        <w:t>三</w:t>
      </w:r>
      <w:r>
        <w:t>级和</w:t>
      </w:r>
      <w:r>
        <w:rPr>
          <w:rFonts w:hint="eastAsia"/>
        </w:rPr>
        <w:t>四</w:t>
      </w:r>
      <w:r>
        <w:t>级时结合面</w:t>
      </w:r>
      <w:r>
        <w:rPr>
          <w:rFonts w:hint="eastAsia"/>
        </w:rPr>
        <w:t>张开</w:t>
      </w:r>
      <w:r>
        <w:t>角度</w:t>
      </w:r>
      <m:oMath>
        <m:r>
          <m:rPr/>
          <w:rPr>
            <w:rFonts w:ascii="Cambria Math" w:hAnsi="Cambria Math"/>
          </w:rPr>
          <m:t>θ</m:t>
        </m:r>
      </m:oMath>
      <w:r>
        <w:rPr>
          <w:rFonts w:hint="eastAsia" w:hAnsi="Cambria Math"/>
        </w:rPr>
        <w:t>取值不应大于</w:t>
      </w:r>
      <w:r>
        <w:t>0.025 rad</w:t>
      </w:r>
      <w:r>
        <w:rPr>
          <w:rFonts w:hint="eastAsia"/>
        </w:rPr>
        <w:t>减去梁柱弹性变形产生的转角。</w:t>
      </w:r>
    </w:p>
    <w:p>
      <w:pPr>
        <w:pStyle w:val="99"/>
      </w:pPr>
      <w:r>
        <w:t>由于连接处结合面缝隙张开，耗能钢筋受拉时的伸长</w:t>
      </w:r>
      <m:oMath>
        <m:sSub>
          <m:sSubPr>
            <m:ctrlPr>
              <w:rPr>
                <w:rFonts w:ascii="Cambria Math" w:hAnsi="Cambria Math"/>
              </w:rPr>
            </m:ctrlPr>
          </m:sSubPr>
          <m:e>
            <m:r>
              <m:rPr>
                <m:sty m:val="p"/>
              </m:rPr>
              <w:rPr>
                <w:rFonts w:ascii="Cambria Math" w:hAnsi="Cambria Math"/>
              </w:rPr>
              <m:t>Δ</m:t>
            </m:r>
            <m:ctrlPr>
              <w:rPr>
                <w:rFonts w:ascii="Cambria Math" w:hAnsi="Cambria Math"/>
              </w:rPr>
            </m:ctrlPr>
          </m:e>
          <m:sub>
            <m:r>
              <m:rPr>
                <m:sty m:val="p"/>
              </m:rPr>
              <w:rPr>
                <w:rFonts w:ascii="Cambria Math" w:hAnsi="Cambria Math"/>
              </w:rPr>
              <m:t>s</m:t>
            </m:r>
            <m:ctrlPr>
              <w:rPr>
                <w:rFonts w:ascii="Cambria Math" w:hAnsi="Cambria Math"/>
              </w:rPr>
            </m:ctrlPr>
          </m:sub>
        </m:sSub>
      </m:oMath>
      <w:r>
        <w:t>可由梁柱结合面转动的几何关系求得。该伸长值由无</w:t>
      </w:r>
      <w:r>
        <w:rPr>
          <w:rFonts w:hint="eastAsia"/>
        </w:rPr>
        <w:t>粘结</w:t>
      </w:r>
      <w:r>
        <w:t>长度与端部无</w:t>
      </w:r>
      <w:r>
        <w:rPr>
          <w:rFonts w:hint="eastAsia"/>
        </w:rPr>
        <w:t>粘结</w:t>
      </w:r>
      <w:r>
        <w:t>的渗透长度的总和产生。美国混凝土学会标准ACI 550.3-13规定：附加无</w:t>
      </w:r>
      <w:r>
        <w:rPr>
          <w:rFonts w:hint="eastAsia"/>
        </w:rPr>
        <w:t>粘结</w:t>
      </w:r>
      <w:r>
        <w:t>长度系数</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b</m:t>
            </m:r>
            <m:ctrlPr>
              <w:rPr>
                <w:rFonts w:ascii="Cambria Math" w:hAnsi="Cambria Math"/>
              </w:rPr>
            </m:ctrlPr>
          </m:sub>
        </m:sSub>
      </m:oMath>
      <w:r>
        <w:t>应由试验确定，其值应在2.0~5.5。</w:t>
      </w:r>
      <w:r>
        <w:rPr>
          <w:rFonts w:hint="eastAsia"/>
        </w:rPr>
        <w:t>本规程的梁板柱复合节点因采用削弱的无粘结段构造，且一端采用有一定锚固作用的直螺纹连接，耗能钢筋的渗透长度系数大为降低，经实验研究和参数分析综合确定。</w:t>
      </w:r>
    </w:p>
    <w:p>
      <w:pPr>
        <w:pStyle w:val="99"/>
      </w:pPr>
      <w:r>
        <w:rPr>
          <w:rFonts w:hint="eastAsia"/>
        </w:rPr>
        <w:t>采用梁板柱复合梁柱节点时，框架梁</w:t>
      </w:r>
      <w:r>
        <w:t>预应力钢绞线一般位于梁截面中心偏</w:t>
      </w:r>
      <w:r>
        <w:rPr>
          <w:rFonts w:hint="eastAsia"/>
        </w:rPr>
        <w:t>下</w:t>
      </w:r>
      <w:r>
        <w:t>位置，其在负弯矩和正弯矩作用下产生的应变不同，计算时预应力钢绞线附加伸长值时取负弯矩和正弯矩的最大值。</w:t>
      </w:r>
    </w:p>
    <w:p>
      <w:pPr>
        <w:pStyle w:val="99"/>
      </w:pPr>
      <w:r>
        <w:t>正弯矩方向变形时耗能钢筋受压应力可根据受压混凝土的变形协调和耗能钢筋应力应变关系计算，在位移极限状态下，</w:t>
      </w:r>
      <w:r>
        <w:rPr>
          <w:rFonts w:hint="eastAsia"/>
        </w:rPr>
        <w:t>由于耗能钢筋处于无粘结状态，钢筋应变发挥不受混凝土应变制约，</w:t>
      </w:r>
      <w:r>
        <w:t>可取1.25</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y</m:t>
            </m:r>
            <m:ctrlPr>
              <w:rPr>
                <w:rFonts w:ascii="Cambria Math" w:hAnsi="Cambria Math"/>
                <w:i/>
              </w:rPr>
            </m:ctrlPr>
          </m:sub>
        </m:sSub>
      </m:oMath>
      <w:r>
        <w:rPr>
          <w:rFonts w:hint="eastAsia" w:hAnsi="Cambria Math"/>
        </w:rPr>
        <w:t>。此处规定与现行行业标准</w:t>
      </w:r>
      <w:r>
        <w:t>《预应力混凝土结构抗震设计规程》JGJ/T 140</w:t>
      </w:r>
      <w:r>
        <w:rPr>
          <w:rFonts w:hint="eastAsia"/>
        </w:rPr>
        <w:t>相同</w:t>
      </w:r>
      <w:r>
        <w:t>。</w:t>
      </w:r>
    </w:p>
    <w:p>
      <w:pPr>
        <w:pStyle w:val="98"/>
      </w:pPr>
      <w:r>
        <w:rPr>
          <w:b/>
          <w:bCs w:val="0"/>
        </w:rPr>
        <w:fldChar w:fldCharType="begin"/>
      </w:r>
      <w:r>
        <w:rPr>
          <w:b/>
          <w:bCs w:val="0"/>
        </w:rPr>
        <w:instrText xml:space="preserve"> REF _Ref167198128 \r \h  \* MERGEFORMAT </w:instrText>
      </w:r>
      <w:r>
        <w:rPr>
          <w:b/>
          <w:bCs w:val="0"/>
        </w:rPr>
        <w:fldChar w:fldCharType="separate"/>
      </w:r>
      <w:r>
        <w:rPr>
          <w:b/>
          <w:bCs w:val="0"/>
        </w:rPr>
        <w:t>A. 0. 2</w:t>
      </w:r>
      <w:r>
        <w:rPr>
          <w:b/>
          <w:bCs w:val="0"/>
        </w:rPr>
        <w:fldChar w:fldCharType="end"/>
      </w:r>
      <w:r>
        <w:tab/>
      </w:r>
      <w:r>
        <w:rPr>
          <w:rFonts w:hint="eastAsia"/>
        </w:rPr>
        <w:t>通过本条公式来验算自复位梁柱节点中耗能钢筋和钢绞线是否满足本规程规定的应变限值要求。采用自复位梁柱节点时，框架梁</w:t>
      </w:r>
      <w:r>
        <w:t>预应力钢绞线一般位于梁截面中心位置，其在负弯矩和正弯矩作用下产生的应变</w:t>
      </w:r>
      <w:r>
        <w:rPr>
          <w:rFonts w:hint="eastAsia"/>
        </w:rPr>
        <w:t>相</w:t>
      </w:r>
      <w:r>
        <w:t>同</w:t>
      </w:r>
      <w:r>
        <w:rPr>
          <w:rFonts w:hint="eastAsia"/>
        </w:rPr>
        <w:t>，因此预应力筋总</w:t>
      </w:r>
      <w:r>
        <w:t>附加应变</w:t>
      </w:r>
      <w:r>
        <w:rPr>
          <w:rFonts w:hint="eastAsia"/>
        </w:rPr>
        <w:t>可通过开合缝隙数量乘以单个开合面的附加应变求得</w:t>
      </w:r>
      <w:r>
        <w:t>。</w:t>
      </w:r>
    </w:p>
    <w:p>
      <w:pPr>
        <w:pStyle w:val="99"/>
      </w:pPr>
      <w:r>
        <w:t>本规程参照</w:t>
      </w:r>
      <w:r>
        <w:rPr>
          <w:rFonts w:hint="eastAsia" w:hAnsi="Cambria Math"/>
        </w:rPr>
        <w:t>现行行业标准</w:t>
      </w:r>
      <w:r>
        <w:t>《预应力混凝土结构抗震设计规程》JGJ/T 140</w:t>
      </w:r>
      <w:r>
        <w:rPr>
          <w:rFonts w:hint="eastAsia"/>
        </w:rPr>
        <w:t>的规定</w:t>
      </w:r>
      <w:r>
        <w:t>，同时考虑渗透长度与钢筋应力水准相关，</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b</m:t>
            </m:r>
            <m:ctrlPr>
              <w:rPr>
                <w:rFonts w:ascii="Cambria Math" w:hAnsi="Cambria Math"/>
              </w:rPr>
            </m:ctrlPr>
          </m:sub>
        </m:sSub>
      </m:oMath>
      <w:r>
        <w:t>取为0.01</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w:t>
      </w: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yk</m:t>
            </m:r>
            <m:ctrlPr>
              <w:rPr>
                <w:rFonts w:ascii="Cambria Math" w:hAnsi="Cambria Math"/>
              </w:rPr>
            </m:ctrlPr>
          </m:sub>
        </m:sSub>
      </m:oMath>
      <w:r>
        <w:t>为钢筋的屈服强度标准值。</w:t>
      </w:r>
    </w:p>
    <w:p>
      <w:pPr>
        <w:pStyle w:val="99"/>
      </w:pPr>
      <w:r>
        <w:rPr>
          <w:rFonts w:hint="eastAsia"/>
        </w:rPr>
        <w:t>本规程建议压接装配框架采用跨中局部有粘接构造，在进行</w:t>
      </w:r>
      <w:r>
        <w:t>预应力</w:t>
      </w:r>
      <w:r>
        <w:rPr>
          <w:rFonts w:hint="eastAsia"/>
        </w:rPr>
        <w:t>筋</w:t>
      </w:r>
      <w:r>
        <w:t>的无</w:t>
      </w:r>
      <w:r>
        <w:rPr>
          <w:rFonts w:hint="eastAsia"/>
        </w:rPr>
        <w:t>粘结</w:t>
      </w:r>
      <w:r>
        <w:t>长度</w:t>
      </w:r>
      <w:r>
        <w:rPr>
          <w:rFonts w:hint="eastAsia"/>
        </w:rPr>
        <w:t>计算时，可根据具体情况考虑局部有粘接段的应变渗透作用，当预应力筋无粘接段两端均通过锚具锚固时，</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ups</m:t>
            </m:r>
            <m:ctrlPr>
              <w:rPr>
                <w:rFonts w:ascii="Cambria Math" w:hAnsi="Cambria Math"/>
                <w:i/>
              </w:rPr>
            </m:ctrlPr>
          </m:sub>
        </m:sSub>
      </m:oMath>
      <w:r>
        <w:rPr>
          <w:rFonts w:hint="eastAsia"/>
        </w:rPr>
        <w:t>应取两端锚具的距离。此处与</w:t>
      </w:r>
      <w:r>
        <w:rPr>
          <w:rFonts w:hint="eastAsia" w:hAnsi="Cambria Math"/>
        </w:rPr>
        <w:t>现行行业标准</w:t>
      </w:r>
      <w:r>
        <w:t>《预应力混凝土结构抗震设计规程》JGJ/T 140</w:t>
      </w:r>
      <w:r>
        <w:rPr>
          <w:rFonts w:hint="eastAsia"/>
        </w:rPr>
        <w:t>略有不同。</w:t>
      </w:r>
    </w:p>
    <w:p/>
    <w:p>
      <w:pPr>
        <w:pStyle w:val="98"/>
      </w:pPr>
      <w:r>
        <w:rPr>
          <w:b/>
          <w:bCs w:val="0"/>
        </w:rPr>
        <w:fldChar w:fldCharType="begin"/>
      </w:r>
      <w:r>
        <w:rPr>
          <w:b/>
          <w:bCs w:val="0"/>
        </w:rPr>
        <w:instrText xml:space="preserve"> REF _Ref86141254 \r \h  \* MERGEFORMAT </w:instrText>
      </w:r>
      <w:r>
        <w:rPr>
          <w:b/>
          <w:bCs w:val="0"/>
        </w:rPr>
        <w:fldChar w:fldCharType="separate"/>
      </w:r>
      <w:r>
        <w:rPr>
          <w:b/>
          <w:bCs w:val="0"/>
        </w:rPr>
        <w:t>A. 0. 5</w:t>
      </w:r>
      <w:r>
        <w:rPr>
          <w:b/>
          <w:bCs w:val="0"/>
        </w:rPr>
        <w:fldChar w:fldCharType="end"/>
      </w:r>
      <w:r>
        <w:tab/>
      </w:r>
      <w:r>
        <w:rPr>
          <w:rFonts w:hint="eastAsia"/>
        </w:rPr>
        <w:t>本条控制在位移极限状态下（转角达到0.03</w:t>
      </w:r>
      <w:r>
        <w:t xml:space="preserve"> </w:t>
      </w:r>
      <w:r>
        <w:rPr>
          <w:rFonts w:hint="eastAsia"/>
        </w:rPr>
        <w:t>rad），压接装配框架中耗能钢筋和预应力钢绞线不断裂。参考了美国混凝土学会标准ACI 550.3-13有关规定，应在结构中选取最不利节点进行验算。</w:t>
      </w:r>
    </w:p>
    <w:p/>
    <w:p>
      <w:r>
        <w:br w:type="page"/>
      </w:r>
    </w:p>
    <w:p>
      <w:pPr>
        <w:pStyle w:val="94"/>
      </w:pPr>
      <w:bookmarkStart w:id="702" w:name="_Toc202345875"/>
      <w:r>
        <w:rPr>
          <w:rFonts w:hint="eastAsia"/>
        </w:rPr>
        <w:t>附录B 预应力压接装配式结构关键节点弹塑性分析模型</w:t>
      </w:r>
      <w:bookmarkEnd w:id="702"/>
    </w:p>
    <w:p>
      <w:pPr>
        <w:pStyle w:val="98"/>
      </w:pPr>
      <w:r>
        <w:rPr>
          <w:b/>
          <w:bCs w:val="0"/>
        </w:rPr>
        <w:fldChar w:fldCharType="begin"/>
      </w:r>
      <w:r>
        <w:rPr>
          <w:b/>
          <w:bCs w:val="0"/>
        </w:rPr>
        <w:instrText xml:space="preserve"> REF _Ref198042354 \r \h  \* MERGEFORMAT </w:instrText>
      </w:r>
      <w:r>
        <w:rPr>
          <w:b/>
          <w:bCs w:val="0"/>
        </w:rPr>
        <w:fldChar w:fldCharType="separate"/>
      </w:r>
      <w:r>
        <w:rPr>
          <w:b/>
          <w:bCs w:val="0"/>
        </w:rPr>
        <w:t>B. 0. 1</w:t>
      </w:r>
      <w:r>
        <w:rPr>
          <w:b/>
          <w:bCs w:val="0"/>
        </w:rPr>
        <w:fldChar w:fldCharType="end"/>
      </w:r>
      <w:r>
        <w:tab/>
      </w:r>
      <w:r>
        <w:rPr>
          <w:rFonts w:hint="eastAsia"/>
        </w:rPr>
        <w:t>节点弹塑性分析模型的几何尺寸、连接关系、边界条件、材料性能和外界作用等对分析结果的精度有直接影响，工程中宜根据实际情况合理选择。</w:t>
      </w:r>
    </w:p>
    <w:p>
      <w:pPr>
        <w:pStyle w:val="99"/>
      </w:pPr>
      <w:r>
        <w:rPr>
          <w:rFonts w:hint="eastAsia"/>
        </w:rPr>
        <w:t>研究表明，材料本构模型对分析结果的影响是显著的，建筑结构材料非线性属性研究也在不断发展。工程中，</w:t>
      </w:r>
      <w:r>
        <w:t>混凝土单轴本构模型</w:t>
      </w:r>
      <w:r>
        <w:rPr>
          <w:rFonts w:hint="eastAsia"/>
        </w:rPr>
        <w:t>、</w:t>
      </w:r>
      <w:r>
        <w:t>箍筋约束混凝土本构模型</w:t>
      </w:r>
      <w:r>
        <w:rPr>
          <w:rFonts w:hint="eastAsia"/>
        </w:rPr>
        <w:t>、圆钢管约束混凝土本构模型、方钢管约束混凝土本构模型、混凝土塑性损伤本构模型、混凝土中钢筋和钢材的本构模型宜根据实际情况确定。</w:t>
      </w:r>
    </w:p>
    <w:p/>
    <w:p/>
    <w:p/>
    <w:p/>
    <w:p/>
    <w:bookmarkEnd w:id="627"/>
    <w:p/>
    <w:p/>
    <w:sectPr>
      <w:pgSz w:w="11906" w:h="16838"/>
      <w:pgMar w:top="1440" w:right="1800" w:bottom="1440" w:left="1800" w:header="851" w:footer="992" w:gutter="0"/>
      <w:cols w:space="425" w:num="1"/>
      <w:docGrid w:type="lines" w:linePitch="326"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433">
      <wne:acd wne:acdName="acd1"/>
    </wne:keymap>
    <wne:keymap wne:kcmPrimary="0434">
      <wne:acd wne:acdName="acd2"/>
    </wne:keymap>
    <wne:keymap wne:kcmPrimary="0436">
      <wne:acd wne:acdName="acd3"/>
    </wne:keymap>
    <wne:keymap wne:kcmPrimary="0443">
      <wne:acd wne:acdName="acd4"/>
    </wne:keymap>
    <wne:keymap wne:kcmPrimary="0446">
      <wne:acd wne:acdName="acd5"/>
    </wne:keymap>
    <wne:keymap wne:kcmPrimary="044C">
      <wne:acd wne:acdName="acd6"/>
    </wne:keymap>
    <wne:keymap wne:kcmPrimary="0450">
      <wne:acd wne:acdName="acd7"/>
    </wne:keymap>
    <wne:keymap wne:kcmPrimary="0451">
      <wne:acd wne:acdName="acd8"/>
    </wne:keymap>
    <wne:keymap wne:kcmPrimary="0452">
      <wne:acd wne:acdName="acd9"/>
    </wne:keymap>
    <wne:keymap wne:kcmPrimary="0454">
      <wne:acd wne:acdName="acd10"/>
    </wne:keymap>
    <wne:keymap wne:kcmPrimary="0456">
      <wne:acd wne:acdName="acd11"/>
    </wne:keymap>
    <wne:keymap wne:kcmPrimary="0457">
      <wne:acd wne:acdName="acd12"/>
    </wne:keymap>
    <wne:keymap wne:kcmPrimary="0459">
      <wne:acd wne:acdName="acd13"/>
    </wne:keymap>
    <wne:keymap wne:kcmPrimary="0471">
      <wne:acd wne:acdName="acd14"/>
    </wne:keymap>
    <wne:keymap wne:kcmPrimary="0472">
      <wne:acd wne:acdName="acd15"/>
    </wne:keymap>
  </wne:keymaps>
  <wne:acds>
    <wne:acd wne:argValue="AQAAAAIA" wne:acdName="acd0" wne:fciIndexBasedOn="0065"/>
    <wne:acd wne:argValue="AQAAAAMA" wne:acdName="acd1" wne:fciIndexBasedOn="0065"/>
    <wne:acd wne:argValue="AgA0AKd+Fn/3Uw==" wne:acdName="acd2" wne:fciIndexBasedOn="0065"/>
    <wne:acd wne:argValue="AgBhZ4dlDlTobOOJ" wne:acdName="acd3" wne:fciIndexBasedOn="0065"/>
    <wne:acd wne:argValue="AgBjAG8AbQBtAGUAbgB0AHMA" wne:acdName="acd4" wne:fciIndexBasedOn="0065"/>
    <wne:acd wne:argValue="AgD0iw5mY2uHZQ==" wne:acdName="acd5" wne:fciIndexBasedOn="0065"/>
    <wne:acd wne:argValue="AgD0iw5m0mP+Vg==" wne:acdName="acd6" wne:fciIndexBasedOn="0065"/>
    <wne:acd wne:argValue="AgDSY/5WPGgPXw==" wne:acdName="acd7" wne:fciIndexBasedOn="0065"/>
    <wne:acd wne:argValue="AgBsUQ9f" wne:acdName="acd8" wne:fciIndexBasedOn="0065"/>
    <wne:acd wne:argValue="AgAHaMZRMwAtAOBl91M=" wne:acdName="acd9" wne:fciIndexBasedOn="0065"/>
    <wne:acd wne:argValue="AgBoiDxohVG5Ww==" wne:acdName="acd10" wne:fciIndexBasedOn="0065"/>
    <wne:acd wne:argValue="AgD5W1CfY2uHZQ==" wne:acdName="acd11" wne:fciIndexBasedOn="0065"/>
    <wne:acd wne:argValue="AgBNUgCKY2uHZQ==" wne:acdName="acd12" wne:fciIndexBasedOn="0065"/>
    <wne:acd wne:argValue="AgBoiDRZ" wne:acdName="acd13" wne:fciIndexBasedOn="0065"/>
    <wne:acd wne:argValue="AgAXUmiItWs9hCwAbgBlAHcAF1JoiLVrPYQ=" wne:acdName="acd14" wne:fciIndexBasedOn="0065"/>
    <wne:acd wne:argValue="AgBEllVfMwCnfgdomJg=" wne:acdName="acd1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MS Sans Serif">
    <w:altName w:val="仿宋_GB2312"/>
    <w:panose1 w:val="00000000000000000000"/>
    <w:charset w:val="00"/>
    <w:family w:val="auto"/>
    <w:pitch w:val="default"/>
    <w:sig w:usb0="00000000" w:usb1="00000000" w:usb2="00000000" w:usb3="00000000" w:csb0="00000000" w:csb1="00000000"/>
  </w:font>
  <w:font w:name="Courier New">
    <w:altName w:val="DejaVu Sans"/>
    <w:panose1 w:val="02070309020205020404"/>
    <w:charset w:val="00"/>
    <w:family w:val="modern"/>
    <w:pitch w:val="default"/>
    <w:sig w:usb0="00000000" w:usb1="00000000" w:usb2="00000009" w:usb3="00000000" w:csb0="000001FF" w:csb1="00000000"/>
  </w:font>
  <w:font w:name="ËÎÌå Western">
    <w:altName w:val="DejaVu Math TeX Gyre"/>
    <w:panose1 w:val="00000000000000000000"/>
    <w:charset w:val="00"/>
    <w:family w:val="roman"/>
    <w:pitch w:val="default"/>
    <w:sig w:usb0="00000000" w:usb1="00000000" w:usb2="00000000" w:usb3="00000000" w:csb0="00000001" w:csb1="00000000"/>
  </w:font>
  <w:font w:name="¿¬Ìå Western">
    <w:altName w:val="DejaVu Math TeX Gyre"/>
    <w:panose1 w:val="00000000000000000000"/>
    <w:charset w:val="00"/>
    <w:family w:val="roman"/>
    <w:pitch w:val="default"/>
    <w:sig w:usb0="00000000" w:usb1="00000000" w:usb2="00000000" w:usb3="00000000" w:csb0="00000001" w:csb1="00000000"/>
  </w:font>
  <w:font w:name="等线 Light">
    <w:altName w:val="汉仪中宋简"/>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2000000" w:usb3="00000000" w:csb0="0000019F" w:csb1="00000000"/>
  </w:font>
  <w:font w:name="XITS Math">
    <w:altName w:val="DejaVu Math TeX Gyre"/>
    <w:panose1 w:val="02000503000000000000"/>
    <w:charset w:val="00"/>
    <w:family w:val="modern"/>
    <w:pitch w:val="default"/>
    <w:sig w:usb0="00000000" w:usb1="00000000" w:usb2="0A000020" w:usb3="00000000" w:csb0="0000009F" w:csb1="00000000"/>
  </w:font>
  <w:font w:name="MS Gothic">
    <w:altName w:val="方正书宋_GBK"/>
    <w:panose1 w:val="020B0609070205080204"/>
    <w:charset w:val="80"/>
    <w:family w:val="modern"/>
    <w:pitch w:val="default"/>
    <w:sig w:usb0="00000000" w:usb1="00000000" w:usb2="08000012" w:usb3="00000000" w:csb0="0002009F" w:csb1="00000000"/>
  </w:font>
  <w:font w:name="XITS">
    <w:altName w:val="DejaVu Math TeX Gyre"/>
    <w:panose1 w:val="02000503000000000000"/>
    <w:charset w:val="00"/>
    <w:family w:val="modern"/>
    <w:pitch w:val="default"/>
    <w:sig w:usb0="00000000" w:usb1="00000000" w:usb2="00000020" w:usb3="00000000" w:csb0="0000009F" w:csb1="00000000"/>
  </w:font>
  <w:font w:name="Sitka Subheading Semibold">
    <w:altName w:val="方正宋体S-超大字符集(SIP)"/>
    <w:panose1 w:val="00000000000000000000"/>
    <w:charset w:val="00"/>
    <w:family w:val="auto"/>
    <w:pitch w:val="default"/>
    <w:sig w:usb0="00000000" w:usb1="00000000" w:usb2="00000000"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等线">
    <w:altName w:val="仿宋_GB2312"/>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ind w:firstLine="425"/>
      <w:jc w:val="right"/>
    </w:pPr>
  </w:p>
  <w:p>
    <w:pPr>
      <w:pStyle w:val="21"/>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ind w:firstLine="425"/>
      <w:jc w:val="right"/>
    </w:pPr>
    <w:r>
      <w:rPr>
        <w:rFonts w:eastAsia="微软雅黑"/>
      </w:rPr>
      <w:sym w:font="Wingdings" w:char="F09F"/>
    </w:r>
    <w:r>
      <w:rPr>
        <w:rFonts w:eastAsia="微软雅黑"/>
      </w:rPr>
      <w:t xml:space="preserve"> </w:t>
    </w:r>
    <w:r>
      <w:rPr>
        <w:rFonts w:eastAsia="微软雅黑"/>
      </w:rPr>
      <w:fldChar w:fldCharType="begin"/>
    </w:r>
    <w:r>
      <w:rPr>
        <w:rFonts w:eastAsia="微软雅黑"/>
      </w:rPr>
      <w:instrText xml:space="preserve">PAGE   \* MERGEFORMAT</w:instrText>
    </w:r>
    <w:r>
      <w:rPr>
        <w:rFonts w:eastAsia="微软雅黑"/>
      </w:rPr>
      <w:fldChar w:fldCharType="separate"/>
    </w:r>
    <w:r>
      <w:rPr>
        <w:rFonts w:eastAsia="微软雅黑"/>
        <w:lang w:val="zh-CN"/>
      </w:rPr>
      <w:t>93</w:t>
    </w:r>
    <w:r>
      <w:rPr>
        <w:rFonts w:eastAsia="微软雅黑"/>
      </w:rPr>
      <w:fldChar w:fldCharType="end"/>
    </w:r>
    <w:r>
      <w:rPr>
        <w:rFonts w:eastAsia="微软雅黑"/>
      </w:rPr>
      <w:t xml:space="preserve"> </w:t>
    </w:r>
    <w:r>
      <w:rPr>
        <w:rFonts w:eastAsia="微软雅黑"/>
      </w:rPr>
      <w:sym w:font="Wingdings" w:char="F09F"/>
    </w:r>
    <w:r>
      <w:rPr>
        <w:rFonts w:eastAsia="微软雅黑"/>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5"/>
    </w:pPr>
    <w:r>
      <w:rPr>
        <w:rFonts w:eastAsia="微软雅黑"/>
      </w:rPr>
      <w:sym w:font="Wingdings" w:char="F09F"/>
    </w:r>
    <w:r>
      <w:rPr>
        <w:rFonts w:eastAsia="微软雅黑"/>
      </w:rPr>
      <w:t xml:space="preserve"> </w:t>
    </w:r>
    <w:r>
      <w:rPr>
        <w:rFonts w:eastAsia="微软雅黑"/>
      </w:rPr>
      <w:fldChar w:fldCharType="begin"/>
    </w:r>
    <w:r>
      <w:rPr>
        <w:rFonts w:eastAsia="微软雅黑"/>
      </w:rPr>
      <w:instrText xml:space="preserve">PAGE   \* MERGEFORMAT</w:instrText>
    </w:r>
    <w:r>
      <w:rPr>
        <w:rFonts w:eastAsia="微软雅黑"/>
      </w:rPr>
      <w:fldChar w:fldCharType="separate"/>
    </w:r>
    <w:r>
      <w:rPr>
        <w:rFonts w:eastAsia="微软雅黑"/>
      </w:rPr>
      <w:t>1</w:t>
    </w:r>
    <w:r>
      <w:rPr>
        <w:rFonts w:eastAsia="微软雅黑"/>
      </w:rPr>
      <w:fldChar w:fldCharType="end"/>
    </w:r>
    <w:r>
      <w:rPr>
        <w:rFonts w:eastAsia="微软雅黑"/>
      </w:rPr>
      <w:t xml:space="preserve"> </w:t>
    </w:r>
    <w:r>
      <w:rPr>
        <w:rFonts w:eastAsia="微软雅黑"/>
      </w:rPr>
      <w:sym w:font="Wingdings" w:char="F09F"/>
    </w:r>
    <w:r>
      <w:rPr>
        <w:rFonts w:eastAsia="微软雅黑"/>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rPr>
      <w:t>D</w:t>
    </w:r>
    <w:r>
      <w:t>B11/T XXX-202X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sz w:val="21"/>
        <w:szCs w:val="21"/>
      </w:rPr>
      <w:t>D</w:t>
    </w:r>
    <w:r>
      <w:rPr>
        <w:sz w:val="21"/>
        <w:szCs w:val="21"/>
      </w:rPr>
      <w:t>B11/T XXX-202X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F2ED5"/>
    <w:multiLevelType w:val="multilevel"/>
    <w:tmpl w:val="2A1F2ED5"/>
    <w:lvl w:ilvl="0" w:tentative="0">
      <w:start w:val="3"/>
      <w:numFmt w:val="upperLetter"/>
      <w:suff w:val="space"/>
      <w:lvlText w:val="附录%1"/>
      <w:lvlJc w:val="left"/>
      <w:pPr>
        <w:ind w:left="0" w:firstLine="0"/>
      </w:pPr>
      <w:rPr>
        <w:rFonts w:hint="default" w:ascii="Times New Roman" w:hAnsi="Times New Roman" w:eastAsia="宋体" w:cs="Times New Roman"/>
        <w:b/>
        <w:i w:val="0"/>
      </w:rPr>
    </w:lvl>
    <w:lvl w:ilvl="1" w:tentative="0">
      <w:start w:val="1"/>
      <w:numFmt w:val="decimal"/>
      <w:pStyle w:val="105"/>
      <w:suff w:val="space"/>
      <w:lvlText w:val="%1. %2 "/>
      <w:lvlJc w:val="left"/>
      <w:pPr>
        <w:ind w:left="0" w:firstLine="0"/>
      </w:pPr>
      <w:rPr>
        <w:rFonts w:hint="default" w:ascii="Times New Roman" w:hAnsi="Times New Roman" w:eastAsia="宋体" w:cs="Times New Roman"/>
        <w:b/>
        <w:i w:val="0"/>
      </w:rPr>
    </w:lvl>
    <w:lvl w:ilvl="2" w:tentative="0">
      <w:start w:val="1"/>
      <w:numFmt w:val="decimal"/>
      <w:lvlText w:val="%1. %2. %3"/>
      <w:lvlJc w:val="left"/>
      <w:pPr>
        <w:tabs>
          <w:tab w:val="left" w:pos="839"/>
        </w:tabs>
        <w:ind w:left="0" w:firstLine="0"/>
      </w:pPr>
      <w:rPr>
        <w:rFonts w:hint="default" w:ascii="Times New Roman" w:hAnsi="Times New Roman" w:eastAsia="宋体" w:cs="Times New Roman"/>
        <w:b/>
        <w:i w:val="0"/>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1">
    <w:nsid w:val="4D53406F"/>
    <w:multiLevelType w:val="multilevel"/>
    <w:tmpl w:val="4D53406F"/>
    <w:lvl w:ilvl="0" w:tentative="0">
      <w:start w:val="1"/>
      <w:numFmt w:val="decimal"/>
      <w:pStyle w:val="2"/>
      <w:isLgl/>
      <w:suff w:val="space"/>
      <w:lvlText w:val="%1"/>
      <w:lvlJc w:val="left"/>
      <w:pPr>
        <w:ind w:left="0" w:firstLine="0"/>
      </w:pPr>
      <w:rPr>
        <w:rFonts w:hint="default" w:ascii="Times New Roman" w:hAnsi="Times New Roman" w:eastAsia="宋体" w:cs="Times New Roman"/>
        <w:b/>
        <w:i w:val="0"/>
      </w:rPr>
    </w:lvl>
    <w:lvl w:ilvl="1" w:tentative="0">
      <w:start w:val="1"/>
      <w:numFmt w:val="decimal"/>
      <w:pStyle w:val="3"/>
      <w:suff w:val="space"/>
      <w:lvlText w:val="%1. %2 "/>
      <w:lvlJc w:val="left"/>
      <w:pPr>
        <w:ind w:left="0" w:firstLine="0"/>
      </w:pPr>
      <w:rPr>
        <w:rFonts w:hint="default" w:ascii="Times New Roman" w:hAnsi="Times New Roman" w:eastAsia="宋体" w:cs="Times New Roman"/>
        <w:b/>
        <w:i w:val="0"/>
      </w:rPr>
    </w:lvl>
    <w:lvl w:ilvl="2" w:tentative="0">
      <w:start w:val="1"/>
      <w:numFmt w:val="decimal"/>
      <w:pStyle w:val="4"/>
      <w:lvlText w:val="%1. %2. %3"/>
      <w:lvlJc w:val="left"/>
      <w:pPr>
        <w:tabs>
          <w:tab w:val="left" w:pos="839"/>
        </w:tabs>
        <w:ind w:left="0" w:firstLine="0"/>
      </w:pPr>
      <w:rPr>
        <w:rFonts w:hint="default" w:ascii="Times New Roman" w:hAnsi="Times New Roman" w:eastAsia="宋体" w:cs="Times New Roman"/>
        <w:b/>
        <w:i w:val="0"/>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2">
    <w:nsid w:val="784D054F"/>
    <w:multiLevelType w:val="multilevel"/>
    <w:tmpl w:val="784D054F"/>
    <w:lvl w:ilvl="0" w:tentative="0">
      <w:start w:val="1"/>
      <w:numFmt w:val="upperLetter"/>
      <w:suff w:val="space"/>
      <w:lvlText w:val="附录%1"/>
      <w:lvlJc w:val="left"/>
      <w:pPr>
        <w:ind w:left="0" w:firstLine="0"/>
      </w:pPr>
      <w:rPr>
        <w:rFonts w:hint="default" w:ascii="Times New Roman" w:hAnsi="Times New Roman" w:eastAsia="宋体" w:cs="Times New Roman"/>
        <w:b/>
        <w:i w:val="0"/>
      </w:rPr>
    </w:lvl>
    <w:lvl w:ilvl="1" w:tentative="0">
      <w:start w:val="0"/>
      <w:numFmt w:val="decimal"/>
      <w:pStyle w:val="72"/>
      <w:suff w:val="space"/>
      <w:lvlText w:val="%1. %2 "/>
      <w:lvlJc w:val="left"/>
      <w:pPr>
        <w:ind w:left="0" w:firstLine="0"/>
      </w:pPr>
      <w:rPr>
        <w:rFonts w:hint="default" w:ascii="Times New Roman" w:hAnsi="Times New Roman" w:eastAsia="宋体" w:cs="Times New Roman"/>
        <w:b/>
        <w:i w:val="0"/>
      </w:rPr>
    </w:lvl>
    <w:lvl w:ilvl="2" w:tentative="0">
      <w:start w:val="1"/>
      <w:numFmt w:val="decimal"/>
      <w:lvlText w:val="%1. %2. %3"/>
      <w:lvlJc w:val="left"/>
      <w:pPr>
        <w:tabs>
          <w:tab w:val="left" w:pos="839"/>
        </w:tabs>
        <w:ind w:left="0" w:firstLine="0"/>
      </w:pPr>
      <w:rPr>
        <w:rFonts w:hint="default" w:ascii="Times New Roman" w:hAnsi="Times New Roman" w:eastAsia="宋体" w:cs="Times New Roman"/>
        <w:b/>
        <w:i w:val="0"/>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pStyle w:val="7"/>
      <w:lvlText w:val="%1.%2.%3.%4.%5"/>
      <w:lvlJc w:val="left"/>
      <w:pPr>
        <w:tabs>
          <w:tab w:val="left" w:pos="1008"/>
        </w:tabs>
        <w:ind w:left="1008" w:hanging="1008"/>
      </w:pPr>
      <w:rPr>
        <w:rFonts w:hint="eastAsia" w:cs="Times New Roman"/>
      </w:rPr>
    </w:lvl>
    <w:lvl w:ilvl="5" w:tentative="0">
      <w:start w:val="1"/>
      <w:numFmt w:val="decimal"/>
      <w:pStyle w:val="8"/>
      <w:lvlText w:val="%1.%2.%3.%4.%5.%6"/>
      <w:lvlJc w:val="left"/>
      <w:pPr>
        <w:tabs>
          <w:tab w:val="left" w:pos="1152"/>
        </w:tabs>
        <w:ind w:left="1152" w:hanging="1152"/>
      </w:pPr>
      <w:rPr>
        <w:rFonts w:hint="eastAsia" w:cs="Times New Roman"/>
      </w:rPr>
    </w:lvl>
    <w:lvl w:ilvl="6" w:tentative="0">
      <w:start w:val="1"/>
      <w:numFmt w:val="decimal"/>
      <w:pStyle w:val="9"/>
      <w:lvlText w:val="%1.%2.%3.%4.%5.%6.%7"/>
      <w:lvlJc w:val="left"/>
      <w:pPr>
        <w:tabs>
          <w:tab w:val="left" w:pos="1296"/>
        </w:tabs>
        <w:ind w:left="1296" w:hanging="1296"/>
      </w:pPr>
      <w:rPr>
        <w:rFonts w:hint="eastAsia" w:cs="Times New Roman"/>
      </w:rPr>
    </w:lvl>
    <w:lvl w:ilvl="7" w:tentative="0">
      <w:start w:val="1"/>
      <w:numFmt w:val="decimal"/>
      <w:pStyle w:val="10"/>
      <w:lvlText w:val="%1.%2.%3.%4.%5.%6.%7.%8"/>
      <w:lvlJc w:val="left"/>
      <w:pPr>
        <w:tabs>
          <w:tab w:val="left" w:pos="1440"/>
        </w:tabs>
        <w:ind w:left="1440" w:hanging="1440"/>
      </w:pPr>
      <w:rPr>
        <w:rFonts w:hint="eastAsia" w:cs="Times New Roman"/>
      </w:rPr>
    </w:lvl>
    <w:lvl w:ilvl="8" w:tentative="0">
      <w:start w:val="1"/>
      <w:numFmt w:val="decimal"/>
      <w:pStyle w:val="11"/>
      <w:lvlText w:val="%1.%2.%3.%4.%5.%6.%7.%8.%9"/>
      <w:lvlJc w:val="left"/>
      <w:pPr>
        <w:tabs>
          <w:tab w:val="left" w:pos="1584"/>
        </w:tabs>
        <w:ind w:left="1584" w:hanging="1584"/>
      </w:pPr>
      <w:rPr>
        <w:rFonts w:hint="eastAsia" w:cs="Times New Roman"/>
      </w:rPr>
    </w:lvl>
  </w:abstractNum>
  <w:num w:numId="1">
    <w:abstractNumId w:val="1"/>
  </w:num>
  <w:num w:numId="2">
    <w:abstractNumId w:val="2"/>
  </w:num>
  <w:num w:numId="3">
    <w:abstractNumId w:val="0"/>
  </w:num>
  <w:num w:numId="4">
    <w:abstractNumId w:val="2"/>
    <w:lvlOverride w:ilvl="0">
      <w:lvl w:ilvl="0" w:tentative="1">
        <w:start w:val="1"/>
        <w:numFmt w:val="upperLetter"/>
        <w:pStyle w:val="108"/>
        <w:suff w:val="space"/>
        <w:lvlText w:val="附录%1"/>
        <w:lvlJc w:val="left"/>
        <w:pPr>
          <w:ind w:left="0" w:firstLine="0"/>
        </w:pPr>
        <w:rPr>
          <w:rFonts w:hint="default" w:ascii="Times New Roman" w:hAnsi="Times New Roman" w:eastAsia="宋体" w:cs="Times New Roman"/>
          <w:b/>
          <w:i w:val="0"/>
        </w:rPr>
      </w:lvl>
    </w:lvlOverride>
    <w:lvlOverride w:ilvl="1">
      <w:lvl w:ilvl="1" w:tentative="1">
        <w:start w:val="0"/>
        <w:numFmt w:val="decimal"/>
        <w:suff w:val="space"/>
        <w:lvlText w:val="%1. %2"/>
        <w:lvlJc w:val="left"/>
        <w:pPr>
          <w:ind w:left="0" w:firstLine="0"/>
        </w:pPr>
        <w:rPr>
          <w:rFonts w:hint="default" w:ascii="Times New Roman" w:hAnsi="Times New Roman" w:eastAsia="宋体" w:cs="Times New Roman"/>
          <w:b/>
          <w:i w:val="0"/>
        </w:rPr>
      </w:lvl>
    </w:lvlOverride>
    <w:lvlOverride w:ilvl="2">
      <w:lvl w:ilvl="2" w:tentative="1">
        <w:start w:val="1"/>
        <w:numFmt w:val="decimal"/>
        <w:pStyle w:val="107"/>
        <w:lvlText w:val="%1. %2. %3"/>
        <w:lvlJc w:val="left"/>
        <w:pPr>
          <w:tabs>
            <w:tab w:val="left" w:pos="839"/>
          </w:tabs>
          <w:ind w:left="0" w:firstLine="0"/>
        </w:pPr>
        <w:rPr>
          <w:rFonts w:hint="default" w:ascii="Times New Roman" w:hAnsi="Times New Roman" w:eastAsia="宋体" w:cs="Times New Roman"/>
          <w:b/>
          <w:i w:val="0"/>
        </w:rPr>
      </w:lvl>
    </w:lvlOverride>
    <w:lvlOverride w:ilvl="3">
      <w:lvl w:ilvl="3" w:tentative="1">
        <w:start w:val="1"/>
        <w:numFmt w:val="decimal"/>
        <w:lvlText w:val="%1.%2.%3.%4"/>
        <w:lvlJc w:val="left"/>
        <w:pPr>
          <w:tabs>
            <w:tab w:val="left" w:pos="864"/>
          </w:tabs>
          <w:ind w:left="864" w:hanging="864"/>
        </w:pPr>
        <w:rPr>
          <w:rFonts w:hint="eastAsia" w:cs="Times New Roman"/>
        </w:rPr>
      </w:lvl>
    </w:lvlOverride>
    <w:lvlOverride w:ilvl="4">
      <w:lvl w:ilvl="4" w:tentative="1">
        <w:start w:val="1"/>
        <w:numFmt w:val="decimal"/>
        <w:lvlText w:val="%1.%2.%3.%4.%5"/>
        <w:lvlJc w:val="left"/>
        <w:pPr>
          <w:tabs>
            <w:tab w:val="left" w:pos="1008"/>
          </w:tabs>
          <w:ind w:left="1008" w:hanging="1008"/>
        </w:pPr>
        <w:rPr>
          <w:rFonts w:hint="eastAsia" w:cs="Times New Roman"/>
        </w:rPr>
      </w:lvl>
    </w:lvlOverride>
    <w:lvlOverride w:ilvl="5">
      <w:lvl w:ilvl="5" w:tentative="1">
        <w:start w:val="1"/>
        <w:numFmt w:val="decimal"/>
        <w:lvlText w:val="%1.%2.%3.%4.%5.%6"/>
        <w:lvlJc w:val="left"/>
        <w:pPr>
          <w:tabs>
            <w:tab w:val="left" w:pos="1152"/>
          </w:tabs>
          <w:ind w:left="1152" w:hanging="1152"/>
        </w:pPr>
        <w:rPr>
          <w:rFonts w:hint="eastAsia" w:cs="Times New Roman"/>
        </w:rPr>
      </w:lvl>
    </w:lvlOverride>
    <w:lvlOverride w:ilvl="6">
      <w:lvl w:ilvl="6" w:tentative="1">
        <w:start w:val="1"/>
        <w:numFmt w:val="decimal"/>
        <w:lvlText w:val="%1.%2.%3.%4.%5.%6.%7"/>
        <w:lvlJc w:val="left"/>
        <w:pPr>
          <w:tabs>
            <w:tab w:val="left" w:pos="1296"/>
          </w:tabs>
          <w:ind w:left="1296" w:hanging="1296"/>
        </w:pPr>
        <w:rPr>
          <w:rFonts w:hint="eastAsia" w:cs="Times New Roman"/>
        </w:rPr>
      </w:lvl>
    </w:lvlOverride>
    <w:lvlOverride w:ilvl="7">
      <w:lvl w:ilvl="7" w:tentative="1">
        <w:start w:val="1"/>
        <w:numFmt w:val="decimal"/>
        <w:lvlText w:val="%1.%2.%3.%4.%5.%6.%7.%8"/>
        <w:lvlJc w:val="left"/>
        <w:pPr>
          <w:tabs>
            <w:tab w:val="left" w:pos="1440"/>
          </w:tabs>
          <w:ind w:left="1440" w:hanging="1440"/>
        </w:pPr>
        <w:rPr>
          <w:rFonts w:hint="eastAsia" w:cs="Times New Roman"/>
        </w:rPr>
      </w:lvl>
    </w:lvlOverride>
    <w:lvlOverride w:ilvl="8">
      <w:lvl w:ilvl="8" w:tentative="1">
        <w:start w:val="1"/>
        <w:numFmt w:val="decimal"/>
        <w:lvlText w:val="%1.%2.%3.%4.%5.%6.%7.%8.%9"/>
        <w:lvlJc w:val="left"/>
        <w:pPr>
          <w:tabs>
            <w:tab w:val="left" w:pos="1584"/>
          </w:tabs>
          <w:ind w:left="1584" w:hanging="1584"/>
        </w:pPr>
        <w:rPr>
          <w:rFonts w:hint="eastAsia" w:cs="Times New Roman"/>
        </w:rPr>
      </w:lvl>
    </w:lvlOverride>
  </w:num>
  <w:num w:numId="5">
    <w:abstractNumId w:val="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true"/>
  <w:bordersDoNotSurroundFooter w:val="true"/>
  <w:doNotTrackFormatting/>
  <w:documentProtection w:enforcement="0"/>
  <w:defaultTabStop w:val="420"/>
  <w:evenAndOddHeaders w:val="true"/>
  <w:drawingGridHorizontalSpacing w:val="120"/>
  <w:drawingGridVerticalSpacing w:val="163"/>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jNDIzMGZiMmRjMWEzNWE0OWZiZGRkYWJkMTdmNjAifQ=="/>
  </w:docVars>
  <w:rsids>
    <w:rsidRoot w:val="006D4878"/>
    <w:rsid w:val="000011FB"/>
    <w:rsid w:val="00001511"/>
    <w:rsid w:val="000018A2"/>
    <w:rsid w:val="00001B1C"/>
    <w:rsid w:val="00001E0E"/>
    <w:rsid w:val="0000229C"/>
    <w:rsid w:val="000027A1"/>
    <w:rsid w:val="00002F6F"/>
    <w:rsid w:val="00003220"/>
    <w:rsid w:val="00003308"/>
    <w:rsid w:val="0000383D"/>
    <w:rsid w:val="00003974"/>
    <w:rsid w:val="00003CC7"/>
    <w:rsid w:val="00004239"/>
    <w:rsid w:val="00006DDC"/>
    <w:rsid w:val="00007F47"/>
    <w:rsid w:val="000101AD"/>
    <w:rsid w:val="000104CD"/>
    <w:rsid w:val="00010D83"/>
    <w:rsid w:val="00010DCE"/>
    <w:rsid w:val="00011078"/>
    <w:rsid w:val="00011724"/>
    <w:rsid w:val="00011C51"/>
    <w:rsid w:val="0001229A"/>
    <w:rsid w:val="00012B88"/>
    <w:rsid w:val="00013210"/>
    <w:rsid w:val="000135BF"/>
    <w:rsid w:val="00013A04"/>
    <w:rsid w:val="000141B0"/>
    <w:rsid w:val="00014ECA"/>
    <w:rsid w:val="000150B7"/>
    <w:rsid w:val="000150EC"/>
    <w:rsid w:val="00015509"/>
    <w:rsid w:val="00016285"/>
    <w:rsid w:val="00016C63"/>
    <w:rsid w:val="00016E55"/>
    <w:rsid w:val="00016EBC"/>
    <w:rsid w:val="000177AC"/>
    <w:rsid w:val="00017F6D"/>
    <w:rsid w:val="000202D1"/>
    <w:rsid w:val="00020735"/>
    <w:rsid w:val="0002099B"/>
    <w:rsid w:val="00020AC0"/>
    <w:rsid w:val="00021969"/>
    <w:rsid w:val="0002254F"/>
    <w:rsid w:val="00022B1A"/>
    <w:rsid w:val="00022C96"/>
    <w:rsid w:val="00022DA3"/>
    <w:rsid w:val="0002338B"/>
    <w:rsid w:val="00023971"/>
    <w:rsid w:val="000240B4"/>
    <w:rsid w:val="000240EF"/>
    <w:rsid w:val="00024684"/>
    <w:rsid w:val="00025447"/>
    <w:rsid w:val="00026320"/>
    <w:rsid w:val="000268F9"/>
    <w:rsid w:val="0002761E"/>
    <w:rsid w:val="00027DB4"/>
    <w:rsid w:val="00027F48"/>
    <w:rsid w:val="00030473"/>
    <w:rsid w:val="0003047B"/>
    <w:rsid w:val="000304D9"/>
    <w:rsid w:val="0003092E"/>
    <w:rsid w:val="00030EB6"/>
    <w:rsid w:val="0003140C"/>
    <w:rsid w:val="00032373"/>
    <w:rsid w:val="0003309D"/>
    <w:rsid w:val="000330C0"/>
    <w:rsid w:val="00033162"/>
    <w:rsid w:val="00033274"/>
    <w:rsid w:val="00033A3D"/>
    <w:rsid w:val="00033BE1"/>
    <w:rsid w:val="00033EB1"/>
    <w:rsid w:val="00034058"/>
    <w:rsid w:val="0003407A"/>
    <w:rsid w:val="00034493"/>
    <w:rsid w:val="000347B3"/>
    <w:rsid w:val="000347E2"/>
    <w:rsid w:val="00035725"/>
    <w:rsid w:val="00035E5E"/>
    <w:rsid w:val="00035EA6"/>
    <w:rsid w:val="0003754A"/>
    <w:rsid w:val="000379CF"/>
    <w:rsid w:val="00037D19"/>
    <w:rsid w:val="00037FC6"/>
    <w:rsid w:val="000404A8"/>
    <w:rsid w:val="0004095D"/>
    <w:rsid w:val="00040B1B"/>
    <w:rsid w:val="00041B8A"/>
    <w:rsid w:val="0004223B"/>
    <w:rsid w:val="0004236E"/>
    <w:rsid w:val="00042D32"/>
    <w:rsid w:val="00042DBF"/>
    <w:rsid w:val="0004339B"/>
    <w:rsid w:val="00043818"/>
    <w:rsid w:val="000438F1"/>
    <w:rsid w:val="00044148"/>
    <w:rsid w:val="000446C1"/>
    <w:rsid w:val="000447B5"/>
    <w:rsid w:val="000448F4"/>
    <w:rsid w:val="00044BF9"/>
    <w:rsid w:val="00045147"/>
    <w:rsid w:val="000456C3"/>
    <w:rsid w:val="00045A11"/>
    <w:rsid w:val="0004617A"/>
    <w:rsid w:val="00046D7B"/>
    <w:rsid w:val="00046F43"/>
    <w:rsid w:val="0004771E"/>
    <w:rsid w:val="000479AE"/>
    <w:rsid w:val="00050DE0"/>
    <w:rsid w:val="0005165D"/>
    <w:rsid w:val="000520E0"/>
    <w:rsid w:val="000524F9"/>
    <w:rsid w:val="00052AAD"/>
    <w:rsid w:val="00053720"/>
    <w:rsid w:val="00053E37"/>
    <w:rsid w:val="00053F2C"/>
    <w:rsid w:val="00054626"/>
    <w:rsid w:val="00054C7D"/>
    <w:rsid w:val="00055489"/>
    <w:rsid w:val="000555BB"/>
    <w:rsid w:val="00055924"/>
    <w:rsid w:val="000560CA"/>
    <w:rsid w:val="000565B5"/>
    <w:rsid w:val="00056D7E"/>
    <w:rsid w:val="000573BC"/>
    <w:rsid w:val="000575B7"/>
    <w:rsid w:val="00057D46"/>
    <w:rsid w:val="00060CCA"/>
    <w:rsid w:val="0006137D"/>
    <w:rsid w:val="00061442"/>
    <w:rsid w:val="00061610"/>
    <w:rsid w:val="00061921"/>
    <w:rsid w:val="00061A58"/>
    <w:rsid w:val="00062192"/>
    <w:rsid w:val="00062DD6"/>
    <w:rsid w:val="00063148"/>
    <w:rsid w:val="00063467"/>
    <w:rsid w:val="000640BE"/>
    <w:rsid w:val="00064103"/>
    <w:rsid w:val="00064297"/>
    <w:rsid w:val="00064829"/>
    <w:rsid w:val="00064A75"/>
    <w:rsid w:val="00064DBC"/>
    <w:rsid w:val="0006543D"/>
    <w:rsid w:val="0006560D"/>
    <w:rsid w:val="00065CA5"/>
    <w:rsid w:val="00065E8A"/>
    <w:rsid w:val="000664A9"/>
    <w:rsid w:val="000675EE"/>
    <w:rsid w:val="000677A7"/>
    <w:rsid w:val="00067CB0"/>
    <w:rsid w:val="00070702"/>
    <w:rsid w:val="00070C89"/>
    <w:rsid w:val="00070CDC"/>
    <w:rsid w:val="000714C4"/>
    <w:rsid w:val="00071E4C"/>
    <w:rsid w:val="00072070"/>
    <w:rsid w:val="000724A7"/>
    <w:rsid w:val="00072BF4"/>
    <w:rsid w:val="00072F5B"/>
    <w:rsid w:val="00073EC9"/>
    <w:rsid w:val="0007643F"/>
    <w:rsid w:val="0007650E"/>
    <w:rsid w:val="00076546"/>
    <w:rsid w:val="00076A9F"/>
    <w:rsid w:val="00076BD4"/>
    <w:rsid w:val="00076EDF"/>
    <w:rsid w:val="00076F39"/>
    <w:rsid w:val="000777C0"/>
    <w:rsid w:val="00077A4B"/>
    <w:rsid w:val="000800DE"/>
    <w:rsid w:val="000803DB"/>
    <w:rsid w:val="00080BF2"/>
    <w:rsid w:val="00080E77"/>
    <w:rsid w:val="00081468"/>
    <w:rsid w:val="00081A7C"/>
    <w:rsid w:val="00082081"/>
    <w:rsid w:val="00083109"/>
    <w:rsid w:val="00083165"/>
    <w:rsid w:val="00083951"/>
    <w:rsid w:val="00084840"/>
    <w:rsid w:val="00084B38"/>
    <w:rsid w:val="00084B6C"/>
    <w:rsid w:val="000854A7"/>
    <w:rsid w:val="00085662"/>
    <w:rsid w:val="00085779"/>
    <w:rsid w:val="0008645D"/>
    <w:rsid w:val="00086703"/>
    <w:rsid w:val="00087425"/>
    <w:rsid w:val="00091A1F"/>
    <w:rsid w:val="00092A72"/>
    <w:rsid w:val="00092E7A"/>
    <w:rsid w:val="00093533"/>
    <w:rsid w:val="00093601"/>
    <w:rsid w:val="00093D2A"/>
    <w:rsid w:val="00093E4B"/>
    <w:rsid w:val="00093F67"/>
    <w:rsid w:val="000940B4"/>
    <w:rsid w:val="00094CF3"/>
    <w:rsid w:val="00094D2E"/>
    <w:rsid w:val="00094DE9"/>
    <w:rsid w:val="00095133"/>
    <w:rsid w:val="00095322"/>
    <w:rsid w:val="0009551C"/>
    <w:rsid w:val="00095813"/>
    <w:rsid w:val="00097483"/>
    <w:rsid w:val="0009770E"/>
    <w:rsid w:val="00097BB3"/>
    <w:rsid w:val="000A0A95"/>
    <w:rsid w:val="000A0AD3"/>
    <w:rsid w:val="000A1225"/>
    <w:rsid w:val="000A126A"/>
    <w:rsid w:val="000A1973"/>
    <w:rsid w:val="000A1C8F"/>
    <w:rsid w:val="000A2A49"/>
    <w:rsid w:val="000A306D"/>
    <w:rsid w:val="000A33F0"/>
    <w:rsid w:val="000A3DFF"/>
    <w:rsid w:val="000A41B4"/>
    <w:rsid w:val="000A5A14"/>
    <w:rsid w:val="000A640A"/>
    <w:rsid w:val="000A69B2"/>
    <w:rsid w:val="000A70EF"/>
    <w:rsid w:val="000A72A3"/>
    <w:rsid w:val="000A7E6B"/>
    <w:rsid w:val="000B05C7"/>
    <w:rsid w:val="000B2104"/>
    <w:rsid w:val="000B210C"/>
    <w:rsid w:val="000B23D7"/>
    <w:rsid w:val="000B2A53"/>
    <w:rsid w:val="000B378D"/>
    <w:rsid w:val="000B47E3"/>
    <w:rsid w:val="000B5D65"/>
    <w:rsid w:val="000B5DC5"/>
    <w:rsid w:val="000B6963"/>
    <w:rsid w:val="000B6A07"/>
    <w:rsid w:val="000B7C15"/>
    <w:rsid w:val="000C120F"/>
    <w:rsid w:val="000C2260"/>
    <w:rsid w:val="000C3639"/>
    <w:rsid w:val="000C374C"/>
    <w:rsid w:val="000C3772"/>
    <w:rsid w:val="000C37D6"/>
    <w:rsid w:val="000C3953"/>
    <w:rsid w:val="000C4175"/>
    <w:rsid w:val="000C45E8"/>
    <w:rsid w:val="000C4E41"/>
    <w:rsid w:val="000C574B"/>
    <w:rsid w:val="000C5830"/>
    <w:rsid w:val="000C5E6E"/>
    <w:rsid w:val="000C63E9"/>
    <w:rsid w:val="000C685F"/>
    <w:rsid w:val="000C6862"/>
    <w:rsid w:val="000C6AB4"/>
    <w:rsid w:val="000C6E9A"/>
    <w:rsid w:val="000C7124"/>
    <w:rsid w:val="000C7126"/>
    <w:rsid w:val="000C78A4"/>
    <w:rsid w:val="000C7997"/>
    <w:rsid w:val="000D0438"/>
    <w:rsid w:val="000D06B4"/>
    <w:rsid w:val="000D0F88"/>
    <w:rsid w:val="000D1487"/>
    <w:rsid w:val="000D1588"/>
    <w:rsid w:val="000D1AAC"/>
    <w:rsid w:val="000D1CAF"/>
    <w:rsid w:val="000D2E6E"/>
    <w:rsid w:val="000D30A5"/>
    <w:rsid w:val="000D368B"/>
    <w:rsid w:val="000D3782"/>
    <w:rsid w:val="000D38CB"/>
    <w:rsid w:val="000D3992"/>
    <w:rsid w:val="000D3A89"/>
    <w:rsid w:val="000D3F34"/>
    <w:rsid w:val="000D4B21"/>
    <w:rsid w:val="000D519E"/>
    <w:rsid w:val="000D5529"/>
    <w:rsid w:val="000D67D5"/>
    <w:rsid w:val="000D691C"/>
    <w:rsid w:val="000D691D"/>
    <w:rsid w:val="000D7005"/>
    <w:rsid w:val="000D7447"/>
    <w:rsid w:val="000D7B24"/>
    <w:rsid w:val="000D7EBA"/>
    <w:rsid w:val="000E03C7"/>
    <w:rsid w:val="000E0C14"/>
    <w:rsid w:val="000E0E2F"/>
    <w:rsid w:val="000E175A"/>
    <w:rsid w:val="000E1F44"/>
    <w:rsid w:val="000E3334"/>
    <w:rsid w:val="000E38F0"/>
    <w:rsid w:val="000E39FC"/>
    <w:rsid w:val="000E3C7E"/>
    <w:rsid w:val="000E45EE"/>
    <w:rsid w:val="000E5075"/>
    <w:rsid w:val="000E5502"/>
    <w:rsid w:val="000E6689"/>
    <w:rsid w:val="000E6AE9"/>
    <w:rsid w:val="000E6B91"/>
    <w:rsid w:val="000E6C3F"/>
    <w:rsid w:val="000F005B"/>
    <w:rsid w:val="000F1623"/>
    <w:rsid w:val="000F1A55"/>
    <w:rsid w:val="000F222E"/>
    <w:rsid w:val="000F265C"/>
    <w:rsid w:val="000F3561"/>
    <w:rsid w:val="000F38B5"/>
    <w:rsid w:val="000F46BC"/>
    <w:rsid w:val="000F4FEA"/>
    <w:rsid w:val="000F582D"/>
    <w:rsid w:val="000F60C7"/>
    <w:rsid w:val="000F6B9C"/>
    <w:rsid w:val="000F6C1E"/>
    <w:rsid w:val="000F72F7"/>
    <w:rsid w:val="000F756B"/>
    <w:rsid w:val="000F79C5"/>
    <w:rsid w:val="000F7C25"/>
    <w:rsid w:val="00100754"/>
    <w:rsid w:val="001007F6"/>
    <w:rsid w:val="00100A3D"/>
    <w:rsid w:val="00100A48"/>
    <w:rsid w:val="001017C9"/>
    <w:rsid w:val="00102E87"/>
    <w:rsid w:val="00102EDE"/>
    <w:rsid w:val="00102F72"/>
    <w:rsid w:val="001030F4"/>
    <w:rsid w:val="0010365A"/>
    <w:rsid w:val="001038D0"/>
    <w:rsid w:val="00103AC0"/>
    <w:rsid w:val="00104407"/>
    <w:rsid w:val="001049AB"/>
    <w:rsid w:val="00105097"/>
    <w:rsid w:val="00105E20"/>
    <w:rsid w:val="001061D3"/>
    <w:rsid w:val="00106C3E"/>
    <w:rsid w:val="00107D59"/>
    <w:rsid w:val="00110147"/>
    <w:rsid w:val="001105D8"/>
    <w:rsid w:val="00110858"/>
    <w:rsid w:val="00111188"/>
    <w:rsid w:val="00111289"/>
    <w:rsid w:val="00111D73"/>
    <w:rsid w:val="001120FD"/>
    <w:rsid w:val="00112118"/>
    <w:rsid w:val="0011217F"/>
    <w:rsid w:val="00112F02"/>
    <w:rsid w:val="001131BB"/>
    <w:rsid w:val="0011335D"/>
    <w:rsid w:val="001135DE"/>
    <w:rsid w:val="00113A84"/>
    <w:rsid w:val="00115177"/>
    <w:rsid w:val="00115CBD"/>
    <w:rsid w:val="00116793"/>
    <w:rsid w:val="00116A16"/>
    <w:rsid w:val="00116A9A"/>
    <w:rsid w:val="001175B7"/>
    <w:rsid w:val="00117DB0"/>
    <w:rsid w:val="001200F1"/>
    <w:rsid w:val="001207FF"/>
    <w:rsid w:val="0012107A"/>
    <w:rsid w:val="001221E8"/>
    <w:rsid w:val="001228D9"/>
    <w:rsid w:val="001237F4"/>
    <w:rsid w:val="001237F6"/>
    <w:rsid w:val="00123A71"/>
    <w:rsid w:val="001244B4"/>
    <w:rsid w:val="00124651"/>
    <w:rsid w:val="001250EC"/>
    <w:rsid w:val="001257ED"/>
    <w:rsid w:val="001259AF"/>
    <w:rsid w:val="00125D02"/>
    <w:rsid w:val="00126434"/>
    <w:rsid w:val="001265AD"/>
    <w:rsid w:val="00126985"/>
    <w:rsid w:val="00127857"/>
    <w:rsid w:val="00130E72"/>
    <w:rsid w:val="001314C8"/>
    <w:rsid w:val="001316C1"/>
    <w:rsid w:val="00131858"/>
    <w:rsid w:val="00133515"/>
    <w:rsid w:val="001336E2"/>
    <w:rsid w:val="001338FB"/>
    <w:rsid w:val="00134600"/>
    <w:rsid w:val="001347DB"/>
    <w:rsid w:val="00135176"/>
    <w:rsid w:val="00135533"/>
    <w:rsid w:val="00135FD1"/>
    <w:rsid w:val="0013641F"/>
    <w:rsid w:val="00136A80"/>
    <w:rsid w:val="00136B16"/>
    <w:rsid w:val="00137272"/>
    <w:rsid w:val="0013748B"/>
    <w:rsid w:val="0013754C"/>
    <w:rsid w:val="00140FC6"/>
    <w:rsid w:val="00141742"/>
    <w:rsid w:val="00141BD9"/>
    <w:rsid w:val="00142A65"/>
    <w:rsid w:val="00142AB7"/>
    <w:rsid w:val="00142AD8"/>
    <w:rsid w:val="00142F36"/>
    <w:rsid w:val="0014302D"/>
    <w:rsid w:val="001432AA"/>
    <w:rsid w:val="001435ED"/>
    <w:rsid w:val="001437D4"/>
    <w:rsid w:val="00143A8A"/>
    <w:rsid w:val="00143BA0"/>
    <w:rsid w:val="00143DB1"/>
    <w:rsid w:val="00143F54"/>
    <w:rsid w:val="0014400D"/>
    <w:rsid w:val="001440A1"/>
    <w:rsid w:val="001440FD"/>
    <w:rsid w:val="00144BC4"/>
    <w:rsid w:val="00144DAA"/>
    <w:rsid w:val="00145270"/>
    <w:rsid w:val="00145323"/>
    <w:rsid w:val="001461F4"/>
    <w:rsid w:val="00146348"/>
    <w:rsid w:val="00147B3C"/>
    <w:rsid w:val="001507C1"/>
    <w:rsid w:val="00150C8D"/>
    <w:rsid w:val="00150D2F"/>
    <w:rsid w:val="00151881"/>
    <w:rsid w:val="00151BB8"/>
    <w:rsid w:val="001525DF"/>
    <w:rsid w:val="0015294E"/>
    <w:rsid w:val="00152C2E"/>
    <w:rsid w:val="00152CB5"/>
    <w:rsid w:val="00154CD9"/>
    <w:rsid w:val="00156B21"/>
    <w:rsid w:val="00157168"/>
    <w:rsid w:val="00157701"/>
    <w:rsid w:val="001577DB"/>
    <w:rsid w:val="00157D5F"/>
    <w:rsid w:val="00157EA3"/>
    <w:rsid w:val="00160367"/>
    <w:rsid w:val="00160953"/>
    <w:rsid w:val="00160B09"/>
    <w:rsid w:val="00160D0A"/>
    <w:rsid w:val="00160EA4"/>
    <w:rsid w:val="001618A8"/>
    <w:rsid w:val="001622D8"/>
    <w:rsid w:val="001630E1"/>
    <w:rsid w:val="0016411A"/>
    <w:rsid w:val="00164982"/>
    <w:rsid w:val="0016554F"/>
    <w:rsid w:val="00165867"/>
    <w:rsid w:val="00166DB6"/>
    <w:rsid w:val="001675AB"/>
    <w:rsid w:val="001678B8"/>
    <w:rsid w:val="00167DFD"/>
    <w:rsid w:val="00171820"/>
    <w:rsid w:val="00171B30"/>
    <w:rsid w:val="00171B32"/>
    <w:rsid w:val="00171F15"/>
    <w:rsid w:val="001722A6"/>
    <w:rsid w:val="001722CC"/>
    <w:rsid w:val="001726AD"/>
    <w:rsid w:val="00172925"/>
    <w:rsid w:val="00172990"/>
    <w:rsid w:val="00172A2E"/>
    <w:rsid w:val="00172ADE"/>
    <w:rsid w:val="001730A5"/>
    <w:rsid w:val="00173596"/>
    <w:rsid w:val="0017366D"/>
    <w:rsid w:val="00173982"/>
    <w:rsid w:val="00173CCA"/>
    <w:rsid w:val="0017409A"/>
    <w:rsid w:val="00174119"/>
    <w:rsid w:val="00174B5E"/>
    <w:rsid w:val="00174BEC"/>
    <w:rsid w:val="00175D6C"/>
    <w:rsid w:val="00176419"/>
    <w:rsid w:val="00176CEA"/>
    <w:rsid w:val="001771FC"/>
    <w:rsid w:val="00177482"/>
    <w:rsid w:val="00177BE3"/>
    <w:rsid w:val="00177C66"/>
    <w:rsid w:val="0018062E"/>
    <w:rsid w:val="00180F1D"/>
    <w:rsid w:val="0018121E"/>
    <w:rsid w:val="00181910"/>
    <w:rsid w:val="00181AD7"/>
    <w:rsid w:val="00181F5E"/>
    <w:rsid w:val="00181F66"/>
    <w:rsid w:val="00182C99"/>
    <w:rsid w:val="00183809"/>
    <w:rsid w:val="00183B42"/>
    <w:rsid w:val="00183F72"/>
    <w:rsid w:val="00184C4E"/>
    <w:rsid w:val="001853CE"/>
    <w:rsid w:val="001854B2"/>
    <w:rsid w:val="001854E7"/>
    <w:rsid w:val="00185D06"/>
    <w:rsid w:val="00185D8B"/>
    <w:rsid w:val="001871A3"/>
    <w:rsid w:val="001875FA"/>
    <w:rsid w:val="00187D63"/>
    <w:rsid w:val="00190596"/>
    <w:rsid w:val="00190CDB"/>
    <w:rsid w:val="0019127C"/>
    <w:rsid w:val="0019193D"/>
    <w:rsid w:val="00191A0A"/>
    <w:rsid w:val="00191A15"/>
    <w:rsid w:val="0019272D"/>
    <w:rsid w:val="00193420"/>
    <w:rsid w:val="0019373A"/>
    <w:rsid w:val="00193AAF"/>
    <w:rsid w:val="00193C7F"/>
    <w:rsid w:val="001952B4"/>
    <w:rsid w:val="00195369"/>
    <w:rsid w:val="0019539F"/>
    <w:rsid w:val="001955F4"/>
    <w:rsid w:val="001962B0"/>
    <w:rsid w:val="00196381"/>
    <w:rsid w:val="001965F6"/>
    <w:rsid w:val="00196D05"/>
    <w:rsid w:val="00196DFE"/>
    <w:rsid w:val="00197303"/>
    <w:rsid w:val="0019740A"/>
    <w:rsid w:val="00197EFF"/>
    <w:rsid w:val="001A1559"/>
    <w:rsid w:val="001A204C"/>
    <w:rsid w:val="001A234D"/>
    <w:rsid w:val="001A24DD"/>
    <w:rsid w:val="001A2C34"/>
    <w:rsid w:val="001A2D1C"/>
    <w:rsid w:val="001A313D"/>
    <w:rsid w:val="001A335E"/>
    <w:rsid w:val="001A3ABD"/>
    <w:rsid w:val="001A3E0B"/>
    <w:rsid w:val="001A40F0"/>
    <w:rsid w:val="001A4597"/>
    <w:rsid w:val="001A4AD8"/>
    <w:rsid w:val="001A4B6C"/>
    <w:rsid w:val="001A6845"/>
    <w:rsid w:val="001A74F7"/>
    <w:rsid w:val="001A7782"/>
    <w:rsid w:val="001B05BC"/>
    <w:rsid w:val="001B13E4"/>
    <w:rsid w:val="001B2025"/>
    <w:rsid w:val="001B2115"/>
    <w:rsid w:val="001B26D0"/>
    <w:rsid w:val="001B2778"/>
    <w:rsid w:val="001B292F"/>
    <w:rsid w:val="001B2FAF"/>
    <w:rsid w:val="001B39C8"/>
    <w:rsid w:val="001B3A81"/>
    <w:rsid w:val="001B3C2C"/>
    <w:rsid w:val="001B3D56"/>
    <w:rsid w:val="001B3DE2"/>
    <w:rsid w:val="001B429E"/>
    <w:rsid w:val="001B4DD2"/>
    <w:rsid w:val="001B528A"/>
    <w:rsid w:val="001B53B3"/>
    <w:rsid w:val="001B583E"/>
    <w:rsid w:val="001B5C7B"/>
    <w:rsid w:val="001B6B35"/>
    <w:rsid w:val="001B6CDE"/>
    <w:rsid w:val="001B7067"/>
    <w:rsid w:val="001B7AFC"/>
    <w:rsid w:val="001C08B2"/>
    <w:rsid w:val="001C15A5"/>
    <w:rsid w:val="001C176E"/>
    <w:rsid w:val="001C1FDD"/>
    <w:rsid w:val="001C20E1"/>
    <w:rsid w:val="001C2C2A"/>
    <w:rsid w:val="001C2EEB"/>
    <w:rsid w:val="001C3107"/>
    <w:rsid w:val="001C31B4"/>
    <w:rsid w:val="001C393C"/>
    <w:rsid w:val="001C3A3E"/>
    <w:rsid w:val="001C3E9C"/>
    <w:rsid w:val="001C4DDA"/>
    <w:rsid w:val="001C4F8A"/>
    <w:rsid w:val="001C6641"/>
    <w:rsid w:val="001C743F"/>
    <w:rsid w:val="001C782D"/>
    <w:rsid w:val="001C7BB5"/>
    <w:rsid w:val="001C7BCE"/>
    <w:rsid w:val="001D03CF"/>
    <w:rsid w:val="001D1254"/>
    <w:rsid w:val="001D15BC"/>
    <w:rsid w:val="001D1662"/>
    <w:rsid w:val="001D1714"/>
    <w:rsid w:val="001D2A01"/>
    <w:rsid w:val="001D2F8F"/>
    <w:rsid w:val="001D44EB"/>
    <w:rsid w:val="001D4AFC"/>
    <w:rsid w:val="001D560F"/>
    <w:rsid w:val="001D6023"/>
    <w:rsid w:val="001D759E"/>
    <w:rsid w:val="001D79C3"/>
    <w:rsid w:val="001D7B01"/>
    <w:rsid w:val="001E0141"/>
    <w:rsid w:val="001E0359"/>
    <w:rsid w:val="001E0826"/>
    <w:rsid w:val="001E0A6F"/>
    <w:rsid w:val="001E0B49"/>
    <w:rsid w:val="001E0FC3"/>
    <w:rsid w:val="001E1B3A"/>
    <w:rsid w:val="001E2DDF"/>
    <w:rsid w:val="001E35A1"/>
    <w:rsid w:val="001E41D3"/>
    <w:rsid w:val="001E4558"/>
    <w:rsid w:val="001E59A3"/>
    <w:rsid w:val="001E64EC"/>
    <w:rsid w:val="001E6AE4"/>
    <w:rsid w:val="001E7630"/>
    <w:rsid w:val="001F0007"/>
    <w:rsid w:val="001F0A27"/>
    <w:rsid w:val="001F0D76"/>
    <w:rsid w:val="001F0F09"/>
    <w:rsid w:val="001F0FD9"/>
    <w:rsid w:val="001F12B6"/>
    <w:rsid w:val="001F1D2C"/>
    <w:rsid w:val="001F21B7"/>
    <w:rsid w:val="001F2426"/>
    <w:rsid w:val="001F2E2D"/>
    <w:rsid w:val="001F2F27"/>
    <w:rsid w:val="001F371E"/>
    <w:rsid w:val="001F4E0D"/>
    <w:rsid w:val="001F4F50"/>
    <w:rsid w:val="001F5B4A"/>
    <w:rsid w:val="001F5DCB"/>
    <w:rsid w:val="001F5F62"/>
    <w:rsid w:val="001F5F66"/>
    <w:rsid w:val="001F5FC7"/>
    <w:rsid w:val="001F7479"/>
    <w:rsid w:val="001F7ABB"/>
    <w:rsid w:val="002006FB"/>
    <w:rsid w:val="00200A81"/>
    <w:rsid w:val="0020101F"/>
    <w:rsid w:val="00201384"/>
    <w:rsid w:val="002013AB"/>
    <w:rsid w:val="00201D43"/>
    <w:rsid w:val="00201DE2"/>
    <w:rsid w:val="00202059"/>
    <w:rsid w:val="002025E0"/>
    <w:rsid w:val="00202A8F"/>
    <w:rsid w:val="00202D4A"/>
    <w:rsid w:val="00202FBE"/>
    <w:rsid w:val="002035A3"/>
    <w:rsid w:val="00203991"/>
    <w:rsid w:val="00203A12"/>
    <w:rsid w:val="00203F07"/>
    <w:rsid w:val="002045F2"/>
    <w:rsid w:val="0020461F"/>
    <w:rsid w:val="00204631"/>
    <w:rsid w:val="002048F7"/>
    <w:rsid w:val="00205507"/>
    <w:rsid w:val="00205F23"/>
    <w:rsid w:val="00206716"/>
    <w:rsid w:val="002067AE"/>
    <w:rsid w:val="00206840"/>
    <w:rsid w:val="0020689C"/>
    <w:rsid w:val="00206994"/>
    <w:rsid w:val="00207392"/>
    <w:rsid w:val="0020788D"/>
    <w:rsid w:val="00207E62"/>
    <w:rsid w:val="002100C3"/>
    <w:rsid w:val="002106FC"/>
    <w:rsid w:val="0021070B"/>
    <w:rsid w:val="00211101"/>
    <w:rsid w:val="002119E2"/>
    <w:rsid w:val="00212CB2"/>
    <w:rsid w:val="00212D57"/>
    <w:rsid w:val="002135BE"/>
    <w:rsid w:val="002139E7"/>
    <w:rsid w:val="00213A17"/>
    <w:rsid w:val="00213EDA"/>
    <w:rsid w:val="002140EE"/>
    <w:rsid w:val="0021484D"/>
    <w:rsid w:val="0021494A"/>
    <w:rsid w:val="00214C6E"/>
    <w:rsid w:val="00214E7C"/>
    <w:rsid w:val="00215122"/>
    <w:rsid w:val="00215C37"/>
    <w:rsid w:val="002165B3"/>
    <w:rsid w:val="002178FA"/>
    <w:rsid w:val="00220241"/>
    <w:rsid w:val="00220820"/>
    <w:rsid w:val="00221030"/>
    <w:rsid w:val="00221912"/>
    <w:rsid w:val="00222340"/>
    <w:rsid w:val="00222A83"/>
    <w:rsid w:val="00222B09"/>
    <w:rsid w:val="00222FD6"/>
    <w:rsid w:val="002230FA"/>
    <w:rsid w:val="00223449"/>
    <w:rsid w:val="00223880"/>
    <w:rsid w:val="0022505C"/>
    <w:rsid w:val="00225967"/>
    <w:rsid w:val="00225E12"/>
    <w:rsid w:val="00226F71"/>
    <w:rsid w:val="002270E7"/>
    <w:rsid w:val="002275B5"/>
    <w:rsid w:val="00230463"/>
    <w:rsid w:val="00230922"/>
    <w:rsid w:val="00230ED9"/>
    <w:rsid w:val="00230F41"/>
    <w:rsid w:val="0023151F"/>
    <w:rsid w:val="00231676"/>
    <w:rsid w:val="00231A16"/>
    <w:rsid w:val="0023218A"/>
    <w:rsid w:val="002323BE"/>
    <w:rsid w:val="002331F0"/>
    <w:rsid w:val="0023323D"/>
    <w:rsid w:val="002332AC"/>
    <w:rsid w:val="002337D4"/>
    <w:rsid w:val="002339C4"/>
    <w:rsid w:val="00233B9D"/>
    <w:rsid w:val="00234448"/>
    <w:rsid w:val="00234A64"/>
    <w:rsid w:val="002356DE"/>
    <w:rsid w:val="00235943"/>
    <w:rsid w:val="00236E65"/>
    <w:rsid w:val="00237253"/>
    <w:rsid w:val="0023765D"/>
    <w:rsid w:val="0024055C"/>
    <w:rsid w:val="002407F0"/>
    <w:rsid w:val="00240AF5"/>
    <w:rsid w:val="00241271"/>
    <w:rsid w:val="00241F42"/>
    <w:rsid w:val="00242448"/>
    <w:rsid w:val="00242EC1"/>
    <w:rsid w:val="002434B2"/>
    <w:rsid w:val="002436EE"/>
    <w:rsid w:val="00243DAB"/>
    <w:rsid w:val="00243E66"/>
    <w:rsid w:val="00244029"/>
    <w:rsid w:val="00244142"/>
    <w:rsid w:val="002449B8"/>
    <w:rsid w:val="00244D86"/>
    <w:rsid w:val="00244E1A"/>
    <w:rsid w:val="00245305"/>
    <w:rsid w:val="0024597E"/>
    <w:rsid w:val="00245F82"/>
    <w:rsid w:val="00246098"/>
    <w:rsid w:val="00246568"/>
    <w:rsid w:val="0024703D"/>
    <w:rsid w:val="002470A8"/>
    <w:rsid w:val="00247171"/>
    <w:rsid w:val="002472C8"/>
    <w:rsid w:val="00247619"/>
    <w:rsid w:val="0024768E"/>
    <w:rsid w:val="00247A1D"/>
    <w:rsid w:val="00250BE4"/>
    <w:rsid w:val="00250D0E"/>
    <w:rsid w:val="002511D1"/>
    <w:rsid w:val="00251653"/>
    <w:rsid w:val="00251AFD"/>
    <w:rsid w:val="00251F71"/>
    <w:rsid w:val="00252C32"/>
    <w:rsid w:val="00252FC3"/>
    <w:rsid w:val="00253B4B"/>
    <w:rsid w:val="00254328"/>
    <w:rsid w:val="00254382"/>
    <w:rsid w:val="00254D62"/>
    <w:rsid w:val="00254DA5"/>
    <w:rsid w:val="0025538E"/>
    <w:rsid w:val="00255A70"/>
    <w:rsid w:val="002560BB"/>
    <w:rsid w:val="002563E6"/>
    <w:rsid w:val="002568FC"/>
    <w:rsid w:val="00256AA3"/>
    <w:rsid w:val="00256B08"/>
    <w:rsid w:val="00257084"/>
    <w:rsid w:val="002579E0"/>
    <w:rsid w:val="00257BB6"/>
    <w:rsid w:val="00260FD1"/>
    <w:rsid w:val="00260FEF"/>
    <w:rsid w:val="002618E7"/>
    <w:rsid w:val="00261B86"/>
    <w:rsid w:val="00261E1E"/>
    <w:rsid w:val="0026244C"/>
    <w:rsid w:val="00263044"/>
    <w:rsid w:val="00263819"/>
    <w:rsid w:val="00263E36"/>
    <w:rsid w:val="002652D7"/>
    <w:rsid w:val="00265864"/>
    <w:rsid w:val="00265F4E"/>
    <w:rsid w:val="00266159"/>
    <w:rsid w:val="0026659D"/>
    <w:rsid w:val="0026685D"/>
    <w:rsid w:val="00267FA7"/>
    <w:rsid w:val="002703A9"/>
    <w:rsid w:val="002708F8"/>
    <w:rsid w:val="00270B67"/>
    <w:rsid w:val="0027163C"/>
    <w:rsid w:val="002718A7"/>
    <w:rsid w:val="00271FB9"/>
    <w:rsid w:val="00272113"/>
    <w:rsid w:val="0027214B"/>
    <w:rsid w:val="00272735"/>
    <w:rsid w:val="00273DCA"/>
    <w:rsid w:val="00273FEE"/>
    <w:rsid w:val="00274639"/>
    <w:rsid w:val="00274DC0"/>
    <w:rsid w:val="0027573D"/>
    <w:rsid w:val="002757B7"/>
    <w:rsid w:val="002759D8"/>
    <w:rsid w:val="00275A89"/>
    <w:rsid w:val="00275C59"/>
    <w:rsid w:val="00276081"/>
    <w:rsid w:val="00276C9C"/>
    <w:rsid w:val="002771EB"/>
    <w:rsid w:val="00277307"/>
    <w:rsid w:val="0027735A"/>
    <w:rsid w:val="002774EA"/>
    <w:rsid w:val="002775DB"/>
    <w:rsid w:val="00280174"/>
    <w:rsid w:val="00280666"/>
    <w:rsid w:val="002807D2"/>
    <w:rsid w:val="00280EA6"/>
    <w:rsid w:val="00280F64"/>
    <w:rsid w:val="00281149"/>
    <w:rsid w:val="002814C1"/>
    <w:rsid w:val="00282E4F"/>
    <w:rsid w:val="002833D5"/>
    <w:rsid w:val="002834DF"/>
    <w:rsid w:val="00283A87"/>
    <w:rsid w:val="00283C5A"/>
    <w:rsid w:val="0028456F"/>
    <w:rsid w:val="00284E3C"/>
    <w:rsid w:val="0028596E"/>
    <w:rsid w:val="0028633B"/>
    <w:rsid w:val="002903B5"/>
    <w:rsid w:val="00290B72"/>
    <w:rsid w:val="00290FFB"/>
    <w:rsid w:val="0029150D"/>
    <w:rsid w:val="002916D8"/>
    <w:rsid w:val="002918B3"/>
    <w:rsid w:val="00292902"/>
    <w:rsid w:val="00292AAC"/>
    <w:rsid w:val="00292F88"/>
    <w:rsid w:val="002935AE"/>
    <w:rsid w:val="00294969"/>
    <w:rsid w:val="00294BE1"/>
    <w:rsid w:val="00295766"/>
    <w:rsid w:val="00296154"/>
    <w:rsid w:val="00296E99"/>
    <w:rsid w:val="00296F0F"/>
    <w:rsid w:val="00297299"/>
    <w:rsid w:val="00297320"/>
    <w:rsid w:val="00297631"/>
    <w:rsid w:val="00297AA1"/>
    <w:rsid w:val="002A0217"/>
    <w:rsid w:val="002A0225"/>
    <w:rsid w:val="002A04CE"/>
    <w:rsid w:val="002A0645"/>
    <w:rsid w:val="002A0A25"/>
    <w:rsid w:val="002A28BA"/>
    <w:rsid w:val="002A2BC9"/>
    <w:rsid w:val="002A2DC2"/>
    <w:rsid w:val="002A344E"/>
    <w:rsid w:val="002A3458"/>
    <w:rsid w:val="002A3DAA"/>
    <w:rsid w:val="002A40CC"/>
    <w:rsid w:val="002A42BD"/>
    <w:rsid w:val="002A46B9"/>
    <w:rsid w:val="002A4E6E"/>
    <w:rsid w:val="002A512D"/>
    <w:rsid w:val="002A5304"/>
    <w:rsid w:val="002A58F1"/>
    <w:rsid w:val="002A62AC"/>
    <w:rsid w:val="002A7016"/>
    <w:rsid w:val="002B0352"/>
    <w:rsid w:val="002B0C2A"/>
    <w:rsid w:val="002B1D0B"/>
    <w:rsid w:val="002B22F7"/>
    <w:rsid w:val="002B2658"/>
    <w:rsid w:val="002B2B71"/>
    <w:rsid w:val="002B2F32"/>
    <w:rsid w:val="002B313A"/>
    <w:rsid w:val="002B3B2E"/>
    <w:rsid w:val="002B3FF9"/>
    <w:rsid w:val="002B43E0"/>
    <w:rsid w:val="002B4B1B"/>
    <w:rsid w:val="002B4F9F"/>
    <w:rsid w:val="002B5374"/>
    <w:rsid w:val="002B540C"/>
    <w:rsid w:val="002B5A42"/>
    <w:rsid w:val="002B5CBE"/>
    <w:rsid w:val="002B6A78"/>
    <w:rsid w:val="002B6F17"/>
    <w:rsid w:val="002B7133"/>
    <w:rsid w:val="002B7F85"/>
    <w:rsid w:val="002C09C0"/>
    <w:rsid w:val="002C10CA"/>
    <w:rsid w:val="002C1C35"/>
    <w:rsid w:val="002C2597"/>
    <w:rsid w:val="002C2A02"/>
    <w:rsid w:val="002C2A05"/>
    <w:rsid w:val="002C3EC1"/>
    <w:rsid w:val="002C3F97"/>
    <w:rsid w:val="002C52BA"/>
    <w:rsid w:val="002C57D8"/>
    <w:rsid w:val="002C59CD"/>
    <w:rsid w:val="002C5A58"/>
    <w:rsid w:val="002C6566"/>
    <w:rsid w:val="002C6984"/>
    <w:rsid w:val="002C6AB4"/>
    <w:rsid w:val="002C71BD"/>
    <w:rsid w:val="002C7AC9"/>
    <w:rsid w:val="002C7EFD"/>
    <w:rsid w:val="002D042A"/>
    <w:rsid w:val="002D0458"/>
    <w:rsid w:val="002D09B5"/>
    <w:rsid w:val="002D1072"/>
    <w:rsid w:val="002D21E6"/>
    <w:rsid w:val="002D2295"/>
    <w:rsid w:val="002D2857"/>
    <w:rsid w:val="002D3182"/>
    <w:rsid w:val="002D386B"/>
    <w:rsid w:val="002D3D7E"/>
    <w:rsid w:val="002D3E2A"/>
    <w:rsid w:val="002D40AD"/>
    <w:rsid w:val="002D4275"/>
    <w:rsid w:val="002D431B"/>
    <w:rsid w:val="002D4DAB"/>
    <w:rsid w:val="002D4F48"/>
    <w:rsid w:val="002D56D2"/>
    <w:rsid w:val="002D5FBD"/>
    <w:rsid w:val="002D61BD"/>
    <w:rsid w:val="002D684F"/>
    <w:rsid w:val="002D729D"/>
    <w:rsid w:val="002D72BD"/>
    <w:rsid w:val="002D7397"/>
    <w:rsid w:val="002D75EC"/>
    <w:rsid w:val="002D7942"/>
    <w:rsid w:val="002D7A5F"/>
    <w:rsid w:val="002D7CDE"/>
    <w:rsid w:val="002D7E8C"/>
    <w:rsid w:val="002E066F"/>
    <w:rsid w:val="002E093F"/>
    <w:rsid w:val="002E123E"/>
    <w:rsid w:val="002E1460"/>
    <w:rsid w:val="002E17BC"/>
    <w:rsid w:val="002E2306"/>
    <w:rsid w:val="002E256E"/>
    <w:rsid w:val="002E3417"/>
    <w:rsid w:val="002E387D"/>
    <w:rsid w:val="002E5186"/>
    <w:rsid w:val="002E547C"/>
    <w:rsid w:val="002E5913"/>
    <w:rsid w:val="002E5FFC"/>
    <w:rsid w:val="002E6563"/>
    <w:rsid w:val="002E69DA"/>
    <w:rsid w:val="002E6B95"/>
    <w:rsid w:val="002E7064"/>
    <w:rsid w:val="002E7491"/>
    <w:rsid w:val="002E754F"/>
    <w:rsid w:val="002E7CD2"/>
    <w:rsid w:val="002E7F5D"/>
    <w:rsid w:val="002E7FA6"/>
    <w:rsid w:val="002F0A82"/>
    <w:rsid w:val="002F0A9C"/>
    <w:rsid w:val="002F0C4A"/>
    <w:rsid w:val="002F1206"/>
    <w:rsid w:val="002F1C12"/>
    <w:rsid w:val="002F2212"/>
    <w:rsid w:val="002F2D0E"/>
    <w:rsid w:val="002F2FA2"/>
    <w:rsid w:val="002F3530"/>
    <w:rsid w:val="002F3C41"/>
    <w:rsid w:val="002F48DD"/>
    <w:rsid w:val="002F4D98"/>
    <w:rsid w:val="002F540A"/>
    <w:rsid w:val="002F55B4"/>
    <w:rsid w:val="002F5CA7"/>
    <w:rsid w:val="002F5F49"/>
    <w:rsid w:val="002F61BE"/>
    <w:rsid w:val="002F626C"/>
    <w:rsid w:val="002F6439"/>
    <w:rsid w:val="002F6A22"/>
    <w:rsid w:val="002F6A38"/>
    <w:rsid w:val="002F6BA4"/>
    <w:rsid w:val="002F7031"/>
    <w:rsid w:val="00300D57"/>
    <w:rsid w:val="00300D6C"/>
    <w:rsid w:val="0030176E"/>
    <w:rsid w:val="003018F9"/>
    <w:rsid w:val="00302086"/>
    <w:rsid w:val="003025B9"/>
    <w:rsid w:val="0030292C"/>
    <w:rsid w:val="003039DA"/>
    <w:rsid w:val="00304371"/>
    <w:rsid w:val="00304615"/>
    <w:rsid w:val="00304CC6"/>
    <w:rsid w:val="0030531E"/>
    <w:rsid w:val="0030580A"/>
    <w:rsid w:val="00305BB4"/>
    <w:rsid w:val="00305D32"/>
    <w:rsid w:val="0030612C"/>
    <w:rsid w:val="00306221"/>
    <w:rsid w:val="00306627"/>
    <w:rsid w:val="00306D85"/>
    <w:rsid w:val="003074F0"/>
    <w:rsid w:val="00310050"/>
    <w:rsid w:val="003101CB"/>
    <w:rsid w:val="0031095E"/>
    <w:rsid w:val="00310C14"/>
    <w:rsid w:val="00310E80"/>
    <w:rsid w:val="00310F20"/>
    <w:rsid w:val="00310F50"/>
    <w:rsid w:val="003111F3"/>
    <w:rsid w:val="00311945"/>
    <w:rsid w:val="00311978"/>
    <w:rsid w:val="00312342"/>
    <w:rsid w:val="00312EAD"/>
    <w:rsid w:val="0031307F"/>
    <w:rsid w:val="003131D5"/>
    <w:rsid w:val="003134D4"/>
    <w:rsid w:val="003135DF"/>
    <w:rsid w:val="00313621"/>
    <w:rsid w:val="00313860"/>
    <w:rsid w:val="0031397A"/>
    <w:rsid w:val="00313D4F"/>
    <w:rsid w:val="003144A7"/>
    <w:rsid w:val="0031478F"/>
    <w:rsid w:val="00314BB3"/>
    <w:rsid w:val="00314F03"/>
    <w:rsid w:val="00314F26"/>
    <w:rsid w:val="00315CF9"/>
    <w:rsid w:val="00315D19"/>
    <w:rsid w:val="00315E07"/>
    <w:rsid w:val="00316B17"/>
    <w:rsid w:val="00317082"/>
    <w:rsid w:val="00317FA6"/>
    <w:rsid w:val="0032009F"/>
    <w:rsid w:val="00320901"/>
    <w:rsid w:val="00320C83"/>
    <w:rsid w:val="00320ECE"/>
    <w:rsid w:val="003215A1"/>
    <w:rsid w:val="003228D4"/>
    <w:rsid w:val="0032293D"/>
    <w:rsid w:val="00322AE8"/>
    <w:rsid w:val="00322F0B"/>
    <w:rsid w:val="003239F4"/>
    <w:rsid w:val="00323DC2"/>
    <w:rsid w:val="003240E4"/>
    <w:rsid w:val="0032461D"/>
    <w:rsid w:val="00324758"/>
    <w:rsid w:val="00324F18"/>
    <w:rsid w:val="00325153"/>
    <w:rsid w:val="00325810"/>
    <w:rsid w:val="00325A2F"/>
    <w:rsid w:val="00326248"/>
    <w:rsid w:val="003262E4"/>
    <w:rsid w:val="00326370"/>
    <w:rsid w:val="003264B8"/>
    <w:rsid w:val="003264F1"/>
    <w:rsid w:val="00327069"/>
    <w:rsid w:val="0032719E"/>
    <w:rsid w:val="0033079C"/>
    <w:rsid w:val="00330EEE"/>
    <w:rsid w:val="00331485"/>
    <w:rsid w:val="0033210E"/>
    <w:rsid w:val="0033242A"/>
    <w:rsid w:val="00333612"/>
    <w:rsid w:val="00333ABC"/>
    <w:rsid w:val="00333EE8"/>
    <w:rsid w:val="0033459C"/>
    <w:rsid w:val="00334E52"/>
    <w:rsid w:val="00335F69"/>
    <w:rsid w:val="0033626C"/>
    <w:rsid w:val="00336437"/>
    <w:rsid w:val="0033645A"/>
    <w:rsid w:val="003376D3"/>
    <w:rsid w:val="00340774"/>
    <w:rsid w:val="003408D8"/>
    <w:rsid w:val="00340C6D"/>
    <w:rsid w:val="00340EB6"/>
    <w:rsid w:val="00341F01"/>
    <w:rsid w:val="003420FB"/>
    <w:rsid w:val="003426EA"/>
    <w:rsid w:val="0034275A"/>
    <w:rsid w:val="003427A2"/>
    <w:rsid w:val="003429DB"/>
    <w:rsid w:val="0034351B"/>
    <w:rsid w:val="00343785"/>
    <w:rsid w:val="003437BD"/>
    <w:rsid w:val="00343E7F"/>
    <w:rsid w:val="00344194"/>
    <w:rsid w:val="003442E4"/>
    <w:rsid w:val="003447CA"/>
    <w:rsid w:val="00344B83"/>
    <w:rsid w:val="00344E6E"/>
    <w:rsid w:val="00344F31"/>
    <w:rsid w:val="00344FB3"/>
    <w:rsid w:val="003455B5"/>
    <w:rsid w:val="00345799"/>
    <w:rsid w:val="00345AD2"/>
    <w:rsid w:val="00345CC5"/>
    <w:rsid w:val="003465A5"/>
    <w:rsid w:val="00347A2B"/>
    <w:rsid w:val="00347CE5"/>
    <w:rsid w:val="00350715"/>
    <w:rsid w:val="00350778"/>
    <w:rsid w:val="00351D3D"/>
    <w:rsid w:val="00351F78"/>
    <w:rsid w:val="0035219E"/>
    <w:rsid w:val="003525F7"/>
    <w:rsid w:val="003527A6"/>
    <w:rsid w:val="00352D96"/>
    <w:rsid w:val="00352F06"/>
    <w:rsid w:val="00352F0F"/>
    <w:rsid w:val="00353148"/>
    <w:rsid w:val="00353B24"/>
    <w:rsid w:val="00353EFD"/>
    <w:rsid w:val="0035430C"/>
    <w:rsid w:val="00354FB7"/>
    <w:rsid w:val="00355323"/>
    <w:rsid w:val="00355356"/>
    <w:rsid w:val="00355517"/>
    <w:rsid w:val="00356F88"/>
    <w:rsid w:val="00357B66"/>
    <w:rsid w:val="00360C55"/>
    <w:rsid w:val="00360D2F"/>
    <w:rsid w:val="003617DC"/>
    <w:rsid w:val="00362B72"/>
    <w:rsid w:val="00362F80"/>
    <w:rsid w:val="003631A2"/>
    <w:rsid w:val="003631DF"/>
    <w:rsid w:val="00364405"/>
    <w:rsid w:val="0036473B"/>
    <w:rsid w:val="00364A9D"/>
    <w:rsid w:val="00364C5E"/>
    <w:rsid w:val="003664CF"/>
    <w:rsid w:val="00366D22"/>
    <w:rsid w:val="00366FCC"/>
    <w:rsid w:val="003673FA"/>
    <w:rsid w:val="00367F79"/>
    <w:rsid w:val="00367F81"/>
    <w:rsid w:val="00370844"/>
    <w:rsid w:val="00372A7F"/>
    <w:rsid w:val="00372AC7"/>
    <w:rsid w:val="00372F76"/>
    <w:rsid w:val="00373017"/>
    <w:rsid w:val="00373187"/>
    <w:rsid w:val="0037362D"/>
    <w:rsid w:val="00373F3D"/>
    <w:rsid w:val="00374195"/>
    <w:rsid w:val="00374580"/>
    <w:rsid w:val="003750A2"/>
    <w:rsid w:val="0037560B"/>
    <w:rsid w:val="0037614D"/>
    <w:rsid w:val="0037656D"/>
    <w:rsid w:val="003765A6"/>
    <w:rsid w:val="0037729F"/>
    <w:rsid w:val="003778E0"/>
    <w:rsid w:val="003802A9"/>
    <w:rsid w:val="00380C14"/>
    <w:rsid w:val="00380E34"/>
    <w:rsid w:val="00381D71"/>
    <w:rsid w:val="00381FCD"/>
    <w:rsid w:val="0038229D"/>
    <w:rsid w:val="00382AD3"/>
    <w:rsid w:val="003836EE"/>
    <w:rsid w:val="00384C94"/>
    <w:rsid w:val="00385BFC"/>
    <w:rsid w:val="00385D9E"/>
    <w:rsid w:val="00387F27"/>
    <w:rsid w:val="00390442"/>
    <w:rsid w:val="00390B51"/>
    <w:rsid w:val="00390C00"/>
    <w:rsid w:val="003915CF"/>
    <w:rsid w:val="003916B7"/>
    <w:rsid w:val="00392629"/>
    <w:rsid w:val="00393930"/>
    <w:rsid w:val="00393B4E"/>
    <w:rsid w:val="00393B85"/>
    <w:rsid w:val="00393CD0"/>
    <w:rsid w:val="00393DA7"/>
    <w:rsid w:val="003943DD"/>
    <w:rsid w:val="00394B75"/>
    <w:rsid w:val="00395099"/>
    <w:rsid w:val="00395504"/>
    <w:rsid w:val="00395AD5"/>
    <w:rsid w:val="00395CEF"/>
    <w:rsid w:val="00395D6C"/>
    <w:rsid w:val="003965C0"/>
    <w:rsid w:val="00396740"/>
    <w:rsid w:val="0039731F"/>
    <w:rsid w:val="00397C9E"/>
    <w:rsid w:val="003A0691"/>
    <w:rsid w:val="003A0B16"/>
    <w:rsid w:val="003A1240"/>
    <w:rsid w:val="003A19BD"/>
    <w:rsid w:val="003A1C5D"/>
    <w:rsid w:val="003A204D"/>
    <w:rsid w:val="003A293A"/>
    <w:rsid w:val="003A29A5"/>
    <w:rsid w:val="003A37F0"/>
    <w:rsid w:val="003A38CE"/>
    <w:rsid w:val="003A42C9"/>
    <w:rsid w:val="003A4DEF"/>
    <w:rsid w:val="003A5D68"/>
    <w:rsid w:val="003A5E5B"/>
    <w:rsid w:val="003A5F37"/>
    <w:rsid w:val="003A6B56"/>
    <w:rsid w:val="003A6B5F"/>
    <w:rsid w:val="003A7519"/>
    <w:rsid w:val="003A7590"/>
    <w:rsid w:val="003A7601"/>
    <w:rsid w:val="003A7731"/>
    <w:rsid w:val="003A7AD1"/>
    <w:rsid w:val="003A7E35"/>
    <w:rsid w:val="003B0063"/>
    <w:rsid w:val="003B08B7"/>
    <w:rsid w:val="003B0B55"/>
    <w:rsid w:val="003B1255"/>
    <w:rsid w:val="003B1E2F"/>
    <w:rsid w:val="003B2009"/>
    <w:rsid w:val="003B20A6"/>
    <w:rsid w:val="003B2398"/>
    <w:rsid w:val="003B323D"/>
    <w:rsid w:val="003B32B0"/>
    <w:rsid w:val="003B3716"/>
    <w:rsid w:val="003B399B"/>
    <w:rsid w:val="003B3C4D"/>
    <w:rsid w:val="003B3F28"/>
    <w:rsid w:val="003B4163"/>
    <w:rsid w:val="003B4558"/>
    <w:rsid w:val="003B48B1"/>
    <w:rsid w:val="003B4BEF"/>
    <w:rsid w:val="003B4FCE"/>
    <w:rsid w:val="003B5613"/>
    <w:rsid w:val="003B571A"/>
    <w:rsid w:val="003B5989"/>
    <w:rsid w:val="003B610C"/>
    <w:rsid w:val="003B7587"/>
    <w:rsid w:val="003B78E3"/>
    <w:rsid w:val="003B7EC6"/>
    <w:rsid w:val="003C1087"/>
    <w:rsid w:val="003C18BD"/>
    <w:rsid w:val="003C2162"/>
    <w:rsid w:val="003C22AA"/>
    <w:rsid w:val="003C25A5"/>
    <w:rsid w:val="003C2F08"/>
    <w:rsid w:val="003C377A"/>
    <w:rsid w:val="003C37A7"/>
    <w:rsid w:val="003C3933"/>
    <w:rsid w:val="003C3A95"/>
    <w:rsid w:val="003C3D4B"/>
    <w:rsid w:val="003C4A01"/>
    <w:rsid w:val="003C4EBE"/>
    <w:rsid w:val="003C516D"/>
    <w:rsid w:val="003C52BB"/>
    <w:rsid w:val="003C56DE"/>
    <w:rsid w:val="003C5B9B"/>
    <w:rsid w:val="003C6026"/>
    <w:rsid w:val="003C7E03"/>
    <w:rsid w:val="003D0575"/>
    <w:rsid w:val="003D1FC0"/>
    <w:rsid w:val="003D2C31"/>
    <w:rsid w:val="003D2E00"/>
    <w:rsid w:val="003D2F9B"/>
    <w:rsid w:val="003D30C1"/>
    <w:rsid w:val="003D30C8"/>
    <w:rsid w:val="003D35EF"/>
    <w:rsid w:val="003D389D"/>
    <w:rsid w:val="003D3A8D"/>
    <w:rsid w:val="003D3CAB"/>
    <w:rsid w:val="003D4673"/>
    <w:rsid w:val="003D47D3"/>
    <w:rsid w:val="003D4CB7"/>
    <w:rsid w:val="003D4D74"/>
    <w:rsid w:val="003D5172"/>
    <w:rsid w:val="003D5794"/>
    <w:rsid w:val="003D5804"/>
    <w:rsid w:val="003D5919"/>
    <w:rsid w:val="003D6963"/>
    <w:rsid w:val="003D6B33"/>
    <w:rsid w:val="003D753A"/>
    <w:rsid w:val="003D75C5"/>
    <w:rsid w:val="003D7DB7"/>
    <w:rsid w:val="003E0AAF"/>
    <w:rsid w:val="003E1DF5"/>
    <w:rsid w:val="003E3DA5"/>
    <w:rsid w:val="003E40D6"/>
    <w:rsid w:val="003E464C"/>
    <w:rsid w:val="003E4F74"/>
    <w:rsid w:val="003E509F"/>
    <w:rsid w:val="003E6CF3"/>
    <w:rsid w:val="003F1EE2"/>
    <w:rsid w:val="003F208F"/>
    <w:rsid w:val="003F286F"/>
    <w:rsid w:val="003F2A66"/>
    <w:rsid w:val="003F2AE7"/>
    <w:rsid w:val="003F36C6"/>
    <w:rsid w:val="003F37EE"/>
    <w:rsid w:val="003F3E80"/>
    <w:rsid w:val="003F4D25"/>
    <w:rsid w:val="003F5CBB"/>
    <w:rsid w:val="003F649A"/>
    <w:rsid w:val="003F659E"/>
    <w:rsid w:val="003F76A1"/>
    <w:rsid w:val="003F7CD9"/>
    <w:rsid w:val="004011BF"/>
    <w:rsid w:val="00401400"/>
    <w:rsid w:val="00401DE4"/>
    <w:rsid w:val="00401FF7"/>
    <w:rsid w:val="00402347"/>
    <w:rsid w:val="0040323E"/>
    <w:rsid w:val="004032B5"/>
    <w:rsid w:val="00403349"/>
    <w:rsid w:val="004036E5"/>
    <w:rsid w:val="004040DC"/>
    <w:rsid w:val="00404346"/>
    <w:rsid w:val="00404631"/>
    <w:rsid w:val="00404ACE"/>
    <w:rsid w:val="00405829"/>
    <w:rsid w:val="00406251"/>
    <w:rsid w:val="0040666C"/>
    <w:rsid w:val="004066E3"/>
    <w:rsid w:val="00406E7D"/>
    <w:rsid w:val="00407D84"/>
    <w:rsid w:val="0041034B"/>
    <w:rsid w:val="004103AE"/>
    <w:rsid w:val="004105EC"/>
    <w:rsid w:val="00410DF1"/>
    <w:rsid w:val="00411430"/>
    <w:rsid w:val="004115E0"/>
    <w:rsid w:val="00411956"/>
    <w:rsid w:val="00412D74"/>
    <w:rsid w:val="0041417B"/>
    <w:rsid w:val="004141B4"/>
    <w:rsid w:val="0041494A"/>
    <w:rsid w:val="00414BBC"/>
    <w:rsid w:val="004152D3"/>
    <w:rsid w:val="004158FA"/>
    <w:rsid w:val="00415CF0"/>
    <w:rsid w:val="004167F0"/>
    <w:rsid w:val="00417085"/>
    <w:rsid w:val="004178F4"/>
    <w:rsid w:val="004201D2"/>
    <w:rsid w:val="0042069D"/>
    <w:rsid w:val="004212F8"/>
    <w:rsid w:val="0042199E"/>
    <w:rsid w:val="00421C7C"/>
    <w:rsid w:val="004221A7"/>
    <w:rsid w:val="00422206"/>
    <w:rsid w:val="00422B37"/>
    <w:rsid w:val="00422B89"/>
    <w:rsid w:val="00423819"/>
    <w:rsid w:val="00424D57"/>
    <w:rsid w:val="00425031"/>
    <w:rsid w:val="00425082"/>
    <w:rsid w:val="00426E71"/>
    <w:rsid w:val="004275E8"/>
    <w:rsid w:val="00427770"/>
    <w:rsid w:val="004277A3"/>
    <w:rsid w:val="00427B01"/>
    <w:rsid w:val="00427BAA"/>
    <w:rsid w:val="00430303"/>
    <w:rsid w:val="0043070B"/>
    <w:rsid w:val="00430B2A"/>
    <w:rsid w:val="00431071"/>
    <w:rsid w:val="0043162B"/>
    <w:rsid w:val="004319CC"/>
    <w:rsid w:val="00431F98"/>
    <w:rsid w:val="004323B0"/>
    <w:rsid w:val="004326C5"/>
    <w:rsid w:val="00432A81"/>
    <w:rsid w:val="00432F92"/>
    <w:rsid w:val="004332C4"/>
    <w:rsid w:val="004333B8"/>
    <w:rsid w:val="0043379E"/>
    <w:rsid w:val="00433990"/>
    <w:rsid w:val="00433A33"/>
    <w:rsid w:val="004357F8"/>
    <w:rsid w:val="00436117"/>
    <w:rsid w:val="004364DE"/>
    <w:rsid w:val="004366DD"/>
    <w:rsid w:val="004371E8"/>
    <w:rsid w:val="0043754D"/>
    <w:rsid w:val="00437E41"/>
    <w:rsid w:val="00440861"/>
    <w:rsid w:val="00440F25"/>
    <w:rsid w:val="004417F8"/>
    <w:rsid w:val="00441A89"/>
    <w:rsid w:val="00441C40"/>
    <w:rsid w:val="004432A1"/>
    <w:rsid w:val="0044394E"/>
    <w:rsid w:val="00443CCB"/>
    <w:rsid w:val="00443EB9"/>
    <w:rsid w:val="00444092"/>
    <w:rsid w:val="00444369"/>
    <w:rsid w:val="00444517"/>
    <w:rsid w:val="0044453A"/>
    <w:rsid w:val="004447FC"/>
    <w:rsid w:val="00444A1F"/>
    <w:rsid w:val="00444D41"/>
    <w:rsid w:val="00445618"/>
    <w:rsid w:val="0044639E"/>
    <w:rsid w:val="0044653D"/>
    <w:rsid w:val="00447104"/>
    <w:rsid w:val="00447BE1"/>
    <w:rsid w:val="00450054"/>
    <w:rsid w:val="00450481"/>
    <w:rsid w:val="0045077B"/>
    <w:rsid w:val="004512E1"/>
    <w:rsid w:val="00451B14"/>
    <w:rsid w:val="00451BB6"/>
    <w:rsid w:val="004527B6"/>
    <w:rsid w:val="00455FC5"/>
    <w:rsid w:val="0045707D"/>
    <w:rsid w:val="0045716F"/>
    <w:rsid w:val="0045736B"/>
    <w:rsid w:val="00457866"/>
    <w:rsid w:val="0045796A"/>
    <w:rsid w:val="00457F78"/>
    <w:rsid w:val="00460017"/>
    <w:rsid w:val="00460A15"/>
    <w:rsid w:val="00461255"/>
    <w:rsid w:val="00461292"/>
    <w:rsid w:val="00461699"/>
    <w:rsid w:val="00461797"/>
    <w:rsid w:val="00461BF9"/>
    <w:rsid w:val="0046261D"/>
    <w:rsid w:val="00463D9E"/>
    <w:rsid w:val="0046427C"/>
    <w:rsid w:val="00464410"/>
    <w:rsid w:val="0046474A"/>
    <w:rsid w:val="004648A1"/>
    <w:rsid w:val="004649C5"/>
    <w:rsid w:val="004658C1"/>
    <w:rsid w:val="004660BB"/>
    <w:rsid w:val="00466423"/>
    <w:rsid w:val="004668F9"/>
    <w:rsid w:val="00466C0D"/>
    <w:rsid w:val="00470133"/>
    <w:rsid w:val="0047103F"/>
    <w:rsid w:val="00471320"/>
    <w:rsid w:val="00472171"/>
    <w:rsid w:val="00472643"/>
    <w:rsid w:val="00472E42"/>
    <w:rsid w:val="004741F2"/>
    <w:rsid w:val="00474826"/>
    <w:rsid w:val="00475135"/>
    <w:rsid w:val="004753B2"/>
    <w:rsid w:val="004755A7"/>
    <w:rsid w:val="00475770"/>
    <w:rsid w:val="00475E62"/>
    <w:rsid w:val="00476BF0"/>
    <w:rsid w:val="00476CBB"/>
    <w:rsid w:val="004775CA"/>
    <w:rsid w:val="004777E9"/>
    <w:rsid w:val="00481327"/>
    <w:rsid w:val="004838BF"/>
    <w:rsid w:val="00483D54"/>
    <w:rsid w:val="00485C15"/>
    <w:rsid w:val="00485CA8"/>
    <w:rsid w:val="004864CB"/>
    <w:rsid w:val="004864F1"/>
    <w:rsid w:val="004867F6"/>
    <w:rsid w:val="00486ABC"/>
    <w:rsid w:val="00487784"/>
    <w:rsid w:val="00487FA4"/>
    <w:rsid w:val="004901CA"/>
    <w:rsid w:val="00490627"/>
    <w:rsid w:val="00491290"/>
    <w:rsid w:val="00492FA7"/>
    <w:rsid w:val="004931D3"/>
    <w:rsid w:val="004933DB"/>
    <w:rsid w:val="00493C08"/>
    <w:rsid w:val="00493E0F"/>
    <w:rsid w:val="004942E3"/>
    <w:rsid w:val="00494653"/>
    <w:rsid w:val="00495368"/>
    <w:rsid w:val="004958D9"/>
    <w:rsid w:val="00495F60"/>
    <w:rsid w:val="0049661E"/>
    <w:rsid w:val="00496B3E"/>
    <w:rsid w:val="00496EF0"/>
    <w:rsid w:val="00497223"/>
    <w:rsid w:val="004976AA"/>
    <w:rsid w:val="004A02BC"/>
    <w:rsid w:val="004A12DC"/>
    <w:rsid w:val="004A1A36"/>
    <w:rsid w:val="004A1B8F"/>
    <w:rsid w:val="004A2F50"/>
    <w:rsid w:val="004A418F"/>
    <w:rsid w:val="004A47D7"/>
    <w:rsid w:val="004A4B66"/>
    <w:rsid w:val="004A52B0"/>
    <w:rsid w:val="004A55E5"/>
    <w:rsid w:val="004A5D2C"/>
    <w:rsid w:val="004A5F61"/>
    <w:rsid w:val="004A6BC8"/>
    <w:rsid w:val="004A7D6D"/>
    <w:rsid w:val="004A7E5E"/>
    <w:rsid w:val="004B08F1"/>
    <w:rsid w:val="004B1191"/>
    <w:rsid w:val="004B15BB"/>
    <w:rsid w:val="004B170C"/>
    <w:rsid w:val="004B198A"/>
    <w:rsid w:val="004B2FCA"/>
    <w:rsid w:val="004B3733"/>
    <w:rsid w:val="004B4496"/>
    <w:rsid w:val="004B44C5"/>
    <w:rsid w:val="004B45FE"/>
    <w:rsid w:val="004B46DF"/>
    <w:rsid w:val="004B4E46"/>
    <w:rsid w:val="004B5586"/>
    <w:rsid w:val="004B5DE3"/>
    <w:rsid w:val="004B5F1F"/>
    <w:rsid w:val="004B601C"/>
    <w:rsid w:val="004B646C"/>
    <w:rsid w:val="004B6D1F"/>
    <w:rsid w:val="004B6DE2"/>
    <w:rsid w:val="004B737D"/>
    <w:rsid w:val="004B75A4"/>
    <w:rsid w:val="004B7641"/>
    <w:rsid w:val="004B7AC4"/>
    <w:rsid w:val="004C0479"/>
    <w:rsid w:val="004C059B"/>
    <w:rsid w:val="004C10A9"/>
    <w:rsid w:val="004C23B1"/>
    <w:rsid w:val="004C2764"/>
    <w:rsid w:val="004C34AF"/>
    <w:rsid w:val="004C369F"/>
    <w:rsid w:val="004C38BF"/>
    <w:rsid w:val="004C3AA8"/>
    <w:rsid w:val="004C3B1A"/>
    <w:rsid w:val="004C4B48"/>
    <w:rsid w:val="004C5001"/>
    <w:rsid w:val="004C52BB"/>
    <w:rsid w:val="004C52FA"/>
    <w:rsid w:val="004C53DD"/>
    <w:rsid w:val="004C58B7"/>
    <w:rsid w:val="004C5B43"/>
    <w:rsid w:val="004C6185"/>
    <w:rsid w:val="004C61FD"/>
    <w:rsid w:val="004C6755"/>
    <w:rsid w:val="004C7B4E"/>
    <w:rsid w:val="004C7F31"/>
    <w:rsid w:val="004D0D25"/>
    <w:rsid w:val="004D0F37"/>
    <w:rsid w:val="004D0F84"/>
    <w:rsid w:val="004D10E0"/>
    <w:rsid w:val="004D18F8"/>
    <w:rsid w:val="004D1C4C"/>
    <w:rsid w:val="004D1D39"/>
    <w:rsid w:val="004D1ED5"/>
    <w:rsid w:val="004D1EDE"/>
    <w:rsid w:val="004D2335"/>
    <w:rsid w:val="004D25D7"/>
    <w:rsid w:val="004D2DBC"/>
    <w:rsid w:val="004D358D"/>
    <w:rsid w:val="004D3DBE"/>
    <w:rsid w:val="004D4D89"/>
    <w:rsid w:val="004D5328"/>
    <w:rsid w:val="004D5A93"/>
    <w:rsid w:val="004D5C03"/>
    <w:rsid w:val="004D7717"/>
    <w:rsid w:val="004D78DF"/>
    <w:rsid w:val="004E0613"/>
    <w:rsid w:val="004E09A0"/>
    <w:rsid w:val="004E0E32"/>
    <w:rsid w:val="004E0F65"/>
    <w:rsid w:val="004E1FEC"/>
    <w:rsid w:val="004E2131"/>
    <w:rsid w:val="004E23FE"/>
    <w:rsid w:val="004E28DD"/>
    <w:rsid w:val="004E3BFE"/>
    <w:rsid w:val="004E5658"/>
    <w:rsid w:val="004E5FC3"/>
    <w:rsid w:val="004E62A3"/>
    <w:rsid w:val="004E665D"/>
    <w:rsid w:val="004E6F33"/>
    <w:rsid w:val="004E7350"/>
    <w:rsid w:val="004F047E"/>
    <w:rsid w:val="004F0612"/>
    <w:rsid w:val="004F0876"/>
    <w:rsid w:val="004F0E04"/>
    <w:rsid w:val="004F0FD6"/>
    <w:rsid w:val="004F1ED1"/>
    <w:rsid w:val="004F2B0C"/>
    <w:rsid w:val="004F3457"/>
    <w:rsid w:val="004F3E33"/>
    <w:rsid w:val="004F4AB1"/>
    <w:rsid w:val="004F57F5"/>
    <w:rsid w:val="004F61EF"/>
    <w:rsid w:val="004F6948"/>
    <w:rsid w:val="004F781C"/>
    <w:rsid w:val="004F7827"/>
    <w:rsid w:val="004F7AD8"/>
    <w:rsid w:val="00500321"/>
    <w:rsid w:val="005008EE"/>
    <w:rsid w:val="005009BD"/>
    <w:rsid w:val="00500B3F"/>
    <w:rsid w:val="0050103E"/>
    <w:rsid w:val="00501330"/>
    <w:rsid w:val="00501625"/>
    <w:rsid w:val="00501AA6"/>
    <w:rsid w:val="005022A6"/>
    <w:rsid w:val="005025A2"/>
    <w:rsid w:val="0050285A"/>
    <w:rsid w:val="0050299D"/>
    <w:rsid w:val="00502DF0"/>
    <w:rsid w:val="005030E4"/>
    <w:rsid w:val="00503D98"/>
    <w:rsid w:val="0050550F"/>
    <w:rsid w:val="00505724"/>
    <w:rsid w:val="00505A7B"/>
    <w:rsid w:val="00505CBF"/>
    <w:rsid w:val="00506354"/>
    <w:rsid w:val="005067E5"/>
    <w:rsid w:val="00506F21"/>
    <w:rsid w:val="00507150"/>
    <w:rsid w:val="00507331"/>
    <w:rsid w:val="00507B5E"/>
    <w:rsid w:val="00507D33"/>
    <w:rsid w:val="00507E70"/>
    <w:rsid w:val="005100F6"/>
    <w:rsid w:val="00510298"/>
    <w:rsid w:val="00510830"/>
    <w:rsid w:val="00510E55"/>
    <w:rsid w:val="00511BE6"/>
    <w:rsid w:val="0051264E"/>
    <w:rsid w:val="00512E6C"/>
    <w:rsid w:val="00513248"/>
    <w:rsid w:val="005133D1"/>
    <w:rsid w:val="00513E56"/>
    <w:rsid w:val="005142B0"/>
    <w:rsid w:val="0051433B"/>
    <w:rsid w:val="0051484F"/>
    <w:rsid w:val="00516366"/>
    <w:rsid w:val="005163A2"/>
    <w:rsid w:val="005164E2"/>
    <w:rsid w:val="005165B2"/>
    <w:rsid w:val="00516860"/>
    <w:rsid w:val="0051758D"/>
    <w:rsid w:val="00517BF7"/>
    <w:rsid w:val="00517D28"/>
    <w:rsid w:val="005202D8"/>
    <w:rsid w:val="0052067F"/>
    <w:rsid w:val="00520B39"/>
    <w:rsid w:val="005219FF"/>
    <w:rsid w:val="00521A94"/>
    <w:rsid w:val="005226B8"/>
    <w:rsid w:val="005227D5"/>
    <w:rsid w:val="00522EF9"/>
    <w:rsid w:val="00523102"/>
    <w:rsid w:val="005236FF"/>
    <w:rsid w:val="00523D86"/>
    <w:rsid w:val="0052471F"/>
    <w:rsid w:val="0052585E"/>
    <w:rsid w:val="00525E9D"/>
    <w:rsid w:val="0052603C"/>
    <w:rsid w:val="00526891"/>
    <w:rsid w:val="005270EF"/>
    <w:rsid w:val="005273FB"/>
    <w:rsid w:val="0052751B"/>
    <w:rsid w:val="005275EE"/>
    <w:rsid w:val="00527A45"/>
    <w:rsid w:val="00527E08"/>
    <w:rsid w:val="00530212"/>
    <w:rsid w:val="00530315"/>
    <w:rsid w:val="005309A7"/>
    <w:rsid w:val="00530BAB"/>
    <w:rsid w:val="00530BF8"/>
    <w:rsid w:val="00530C83"/>
    <w:rsid w:val="00531436"/>
    <w:rsid w:val="0053147B"/>
    <w:rsid w:val="005319AE"/>
    <w:rsid w:val="005319EF"/>
    <w:rsid w:val="00532C72"/>
    <w:rsid w:val="00532D79"/>
    <w:rsid w:val="00534AF1"/>
    <w:rsid w:val="00535B9F"/>
    <w:rsid w:val="00535F29"/>
    <w:rsid w:val="00536698"/>
    <w:rsid w:val="00536ADA"/>
    <w:rsid w:val="00536AE6"/>
    <w:rsid w:val="00536D6B"/>
    <w:rsid w:val="00537B69"/>
    <w:rsid w:val="00540092"/>
    <w:rsid w:val="0054040C"/>
    <w:rsid w:val="00540669"/>
    <w:rsid w:val="00540BC9"/>
    <w:rsid w:val="005411D6"/>
    <w:rsid w:val="00541CC3"/>
    <w:rsid w:val="00541E0D"/>
    <w:rsid w:val="005425B2"/>
    <w:rsid w:val="00542666"/>
    <w:rsid w:val="005428C8"/>
    <w:rsid w:val="0054295C"/>
    <w:rsid w:val="005434A8"/>
    <w:rsid w:val="00543527"/>
    <w:rsid w:val="00543CD6"/>
    <w:rsid w:val="00543F05"/>
    <w:rsid w:val="00544AE3"/>
    <w:rsid w:val="00544D11"/>
    <w:rsid w:val="0054525D"/>
    <w:rsid w:val="00545AE4"/>
    <w:rsid w:val="00545BA8"/>
    <w:rsid w:val="00545C3F"/>
    <w:rsid w:val="005461CB"/>
    <w:rsid w:val="00546A1B"/>
    <w:rsid w:val="00546EAA"/>
    <w:rsid w:val="0054779B"/>
    <w:rsid w:val="00550325"/>
    <w:rsid w:val="0055063D"/>
    <w:rsid w:val="00550734"/>
    <w:rsid w:val="00550FF2"/>
    <w:rsid w:val="00551068"/>
    <w:rsid w:val="00551C77"/>
    <w:rsid w:val="0055250E"/>
    <w:rsid w:val="00552748"/>
    <w:rsid w:val="00552C19"/>
    <w:rsid w:val="00553243"/>
    <w:rsid w:val="0055380B"/>
    <w:rsid w:val="0055415C"/>
    <w:rsid w:val="00554602"/>
    <w:rsid w:val="005547A0"/>
    <w:rsid w:val="00554A60"/>
    <w:rsid w:val="0055540D"/>
    <w:rsid w:val="00555CAB"/>
    <w:rsid w:val="00555FDB"/>
    <w:rsid w:val="005560A1"/>
    <w:rsid w:val="0055680C"/>
    <w:rsid w:val="00557136"/>
    <w:rsid w:val="0055789D"/>
    <w:rsid w:val="0055797E"/>
    <w:rsid w:val="00557C90"/>
    <w:rsid w:val="00557E3E"/>
    <w:rsid w:val="00557E50"/>
    <w:rsid w:val="005604AC"/>
    <w:rsid w:val="00560532"/>
    <w:rsid w:val="005606EB"/>
    <w:rsid w:val="0056085D"/>
    <w:rsid w:val="005608D7"/>
    <w:rsid w:val="00561791"/>
    <w:rsid w:val="00562720"/>
    <w:rsid w:val="00562F48"/>
    <w:rsid w:val="00563BB5"/>
    <w:rsid w:val="00563D39"/>
    <w:rsid w:val="00564591"/>
    <w:rsid w:val="005646D9"/>
    <w:rsid w:val="00565462"/>
    <w:rsid w:val="00565A33"/>
    <w:rsid w:val="005661FA"/>
    <w:rsid w:val="005661FB"/>
    <w:rsid w:val="00566843"/>
    <w:rsid w:val="0056720D"/>
    <w:rsid w:val="0057057C"/>
    <w:rsid w:val="00570822"/>
    <w:rsid w:val="00570B78"/>
    <w:rsid w:val="00571702"/>
    <w:rsid w:val="005718E6"/>
    <w:rsid w:val="0057207B"/>
    <w:rsid w:val="005722A1"/>
    <w:rsid w:val="0057266B"/>
    <w:rsid w:val="005736D8"/>
    <w:rsid w:val="0057388D"/>
    <w:rsid w:val="00573C4E"/>
    <w:rsid w:val="00573EB7"/>
    <w:rsid w:val="0057419F"/>
    <w:rsid w:val="005747EA"/>
    <w:rsid w:val="00575224"/>
    <w:rsid w:val="005759E7"/>
    <w:rsid w:val="00576A1F"/>
    <w:rsid w:val="005772FB"/>
    <w:rsid w:val="00577312"/>
    <w:rsid w:val="00577353"/>
    <w:rsid w:val="00577AA5"/>
    <w:rsid w:val="00580810"/>
    <w:rsid w:val="00580FB8"/>
    <w:rsid w:val="005810A3"/>
    <w:rsid w:val="0058136D"/>
    <w:rsid w:val="0058281B"/>
    <w:rsid w:val="005830ED"/>
    <w:rsid w:val="0058331F"/>
    <w:rsid w:val="00583742"/>
    <w:rsid w:val="00584092"/>
    <w:rsid w:val="0058412D"/>
    <w:rsid w:val="00585679"/>
    <w:rsid w:val="00585A1F"/>
    <w:rsid w:val="00585B12"/>
    <w:rsid w:val="00586058"/>
    <w:rsid w:val="005865E9"/>
    <w:rsid w:val="00586740"/>
    <w:rsid w:val="00586ABD"/>
    <w:rsid w:val="00586B48"/>
    <w:rsid w:val="0058724C"/>
    <w:rsid w:val="00587D86"/>
    <w:rsid w:val="0059032D"/>
    <w:rsid w:val="00590535"/>
    <w:rsid w:val="005905A0"/>
    <w:rsid w:val="005909D0"/>
    <w:rsid w:val="00590C00"/>
    <w:rsid w:val="00590C14"/>
    <w:rsid w:val="005911BB"/>
    <w:rsid w:val="00591257"/>
    <w:rsid w:val="005915D7"/>
    <w:rsid w:val="00591814"/>
    <w:rsid w:val="00592EC6"/>
    <w:rsid w:val="005930E3"/>
    <w:rsid w:val="00593F21"/>
    <w:rsid w:val="00594C04"/>
    <w:rsid w:val="00594E8A"/>
    <w:rsid w:val="0059505B"/>
    <w:rsid w:val="00595759"/>
    <w:rsid w:val="0059594D"/>
    <w:rsid w:val="005962F1"/>
    <w:rsid w:val="005969C4"/>
    <w:rsid w:val="00596A5D"/>
    <w:rsid w:val="00596A86"/>
    <w:rsid w:val="00596D09"/>
    <w:rsid w:val="005972A1"/>
    <w:rsid w:val="005A0756"/>
    <w:rsid w:val="005A0B2B"/>
    <w:rsid w:val="005A1167"/>
    <w:rsid w:val="005A2078"/>
    <w:rsid w:val="005A211C"/>
    <w:rsid w:val="005A21A0"/>
    <w:rsid w:val="005A3370"/>
    <w:rsid w:val="005A340D"/>
    <w:rsid w:val="005A352F"/>
    <w:rsid w:val="005A3A93"/>
    <w:rsid w:val="005A3BB3"/>
    <w:rsid w:val="005A3E66"/>
    <w:rsid w:val="005A458D"/>
    <w:rsid w:val="005A485B"/>
    <w:rsid w:val="005A4988"/>
    <w:rsid w:val="005A4C89"/>
    <w:rsid w:val="005A53B2"/>
    <w:rsid w:val="005A5404"/>
    <w:rsid w:val="005A5599"/>
    <w:rsid w:val="005A5E83"/>
    <w:rsid w:val="005A69FC"/>
    <w:rsid w:val="005A6CB2"/>
    <w:rsid w:val="005A6E8C"/>
    <w:rsid w:val="005A7945"/>
    <w:rsid w:val="005B027A"/>
    <w:rsid w:val="005B0BFD"/>
    <w:rsid w:val="005B102A"/>
    <w:rsid w:val="005B14A2"/>
    <w:rsid w:val="005B24D8"/>
    <w:rsid w:val="005B2956"/>
    <w:rsid w:val="005B2B61"/>
    <w:rsid w:val="005B3650"/>
    <w:rsid w:val="005B3755"/>
    <w:rsid w:val="005B3BC8"/>
    <w:rsid w:val="005B4199"/>
    <w:rsid w:val="005B4AB5"/>
    <w:rsid w:val="005B4AE9"/>
    <w:rsid w:val="005B5701"/>
    <w:rsid w:val="005B6512"/>
    <w:rsid w:val="005B6585"/>
    <w:rsid w:val="005B7061"/>
    <w:rsid w:val="005B756E"/>
    <w:rsid w:val="005B7A92"/>
    <w:rsid w:val="005B7B9E"/>
    <w:rsid w:val="005B7E40"/>
    <w:rsid w:val="005C00CE"/>
    <w:rsid w:val="005C01D5"/>
    <w:rsid w:val="005C058A"/>
    <w:rsid w:val="005C0953"/>
    <w:rsid w:val="005C13C7"/>
    <w:rsid w:val="005C1875"/>
    <w:rsid w:val="005C18F1"/>
    <w:rsid w:val="005C2656"/>
    <w:rsid w:val="005C2B0A"/>
    <w:rsid w:val="005C2C85"/>
    <w:rsid w:val="005C2FE6"/>
    <w:rsid w:val="005C3AA1"/>
    <w:rsid w:val="005C3F32"/>
    <w:rsid w:val="005C3F4A"/>
    <w:rsid w:val="005C44B5"/>
    <w:rsid w:val="005C4805"/>
    <w:rsid w:val="005C4C46"/>
    <w:rsid w:val="005C50C5"/>
    <w:rsid w:val="005C5BDC"/>
    <w:rsid w:val="005C65D7"/>
    <w:rsid w:val="005C66CD"/>
    <w:rsid w:val="005C6C03"/>
    <w:rsid w:val="005C77BC"/>
    <w:rsid w:val="005C79FF"/>
    <w:rsid w:val="005C7D51"/>
    <w:rsid w:val="005D03CE"/>
    <w:rsid w:val="005D0D7B"/>
    <w:rsid w:val="005D0F84"/>
    <w:rsid w:val="005D1921"/>
    <w:rsid w:val="005D23BF"/>
    <w:rsid w:val="005D2736"/>
    <w:rsid w:val="005D30AA"/>
    <w:rsid w:val="005D3538"/>
    <w:rsid w:val="005D3659"/>
    <w:rsid w:val="005D403D"/>
    <w:rsid w:val="005D44FA"/>
    <w:rsid w:val="005D46FF"/>
    <w:rsid w:val="005D4706"/>
    <w:rsid w:val="005D4B4C"/>
    <w:rsid w:val="005D5596"/>
    <w:rsid w:val="005D5E72"/>
    <w:rsid w:val="005D7768"/>
    <w:rsid w:val="005D7866"/>
    <w:rsid w:val="005D7BE5"/>
    <w:rsid w:val="005E07D7"/>
    <w:rsid w:val="005E095D"/>
    <w:rsid w:val="005E0D39"/>
    <w:rsid w:val="005E2385"/>
    <w:rsid w:val="005E2872"/>
    <w:rsid w:val="005E2896"/>
    <w:rsid w:val="005E2C67"/>
    <w:rsid w:val="005E364B"/>
    <w:rsid w:val="005E39D7"/>
    <w:rsid w:val="005E3B00"/>
    <w:rsid w:val="005E5346"/>
    <w:rsid w:val="005E54F5"/>
    <w:rsid w:val="005E56A0"/>
    <w:rsid w:val="005E5FB7"/>
    <w:rsid w:val="005E624C"/>
    <w:rsid w:val="005E6A19"/>
    <w:rsid w:val="005E6DC0"/>
    <w:rsid w:val="005E75C2"/>
    <w:rsid w:val="005F1188"/>
    <w:rsid w:val="005F1534"/>
    <w:rsid w:val="005F1704"/>
    <w:rsid w:val="005F1AC3"/>
    <w:rsid w:val="005F1C04"/>
    <w:rsid w:val="005F1E40"/>
    <w:rsid w:val="005F22C9"/>
    <w:rsid w:val="005F2802"/>
    <w:rsid w:val="005F38AE"/>
    <w:rsid w:val="005F5221"/>
    <w:rsid w:val="005F5650"/>
    <w:rsid w:val="005F57BA"/>
    <w:rsid w:val="005F594C"/>
    <w:rsid w:val="005F62D5"/>
    <w:rsid w:val="005F6614"/>
    <w:rsid w:val="005F70A8"/>
    <w:rsid w:val="005F769D"/>
    <w:rsid w:val="00600530"/>
    <w:rsid w:val="00600626"/>
    <w:rsid w:val="006007D6"/>
    <w:rsid w:val="00601E45"/>
    <w:rsid w:val="00601EA3"/>
    <w:rsid w:val="00601F46"/>
    <w:rsid w:val="006034E4"/>
    <w:rsid w:val="0060356A"/>
    <w:rsid w:val="006035E7"/>
    <w:rsid w:val="006037C4"/>
    <w:rsid w:val="006041A4"/>
    <w:rsid w:val="00605017"/>
    <w:rsid w:val="0060514D"/>
    <w:rsid w:val="00605383"/>
    <w:rsid w:val="006058F7"/>
    <w:rsid w:val="006059CB"/>
    <w:rsid w:val="0060664D"/>
    <w:rsid w:val="00606A60"/>
    <w:rsid w:val="006076DD"/>
    <w:rsid w:val="006078A8"/>
    <w:rsid w:val="00607B92"/>
    <w:rsid w:val="006110D3"/>
    <w:rsid w:val="006117D7"/>
    <w:rsid w:val="00611C6E"/>
    <w:rsid w:val="006122BB"/>
    <w:rsid w:val="00612923"/>
    <w:rsid w:val="00613250"/>
    <w:rsid w:val="006138AD"/>
    <w:rsid w:val="00613FAC"/>
    <w:rsid w:val="006141CB"/>
    <w:rsid w:val="006142DE"/>
    <w:rsid w:val="006153B2"/>
    <w:rsid w:val="006158B2"/>
    <w:rsid w:val="006159FE"/>
    <w:rsid w:val="0061630B"/>
    <w:rsid w:val="00616B0F"/>
    <w:rsid w:val="00616B23"/>
    <w:rsid w:val="00616DD3"/>
    <w:rsid w:val="0061764C"/>
    <w:rsid w:val="00617A2F"/>
    <w:rsid w:val="00620204"/>
    <w:rsid w:val="00620255"/>
    <w:rsid w:val="00620DEF"/>
    <w:rsid w:val="006217F6"/>
    <w:rsid w:val="00622282"/>
    <w:rsid w:val="00622A56"/>
    <w:rsid w:val="00622C65"/>
    <w:rsid w:val="0062359D"/>
    <w:rsid w:val="00623E05"/>
    <w:rsid w:val="006242CC"/>
    <w:rsid w:val="00624414"/>
    <w:rsid w:val="006246FF"/>
    <w:rsid w:val="006248E8"/>
    <w:rsid w:val="006249AA"/>
    <w:rsid w:val="006256D8"/>
    <w:rsid w:val="00625955"/>
    <w:rsid w:val="0062619D"/>
    <w:rsid w:val="006263AC"/>
    <w:rsid w:val="006272C4"/>
    <w:rsid w:val="00627339"/>
    <w:rsid w:val="0062759A"/>
    <w:rsid w:val="006312B2"/>
    <w:rsid w:val="00631E6A"/>
    <w:rsid w:val="00632110"/>
    <w:rsid w:val="006321D9"/>
    <w:rsid w:val="0063280C"/>
    <w:rsid w:val="00632A2F"/>
    <w:rsid w:val="00632C5E"/>
    <w:rsid w:val="0063364A"/>
    <w:rsid w:val="00633AD6"/>
    <w:rsid w:val="00633C2E"/>
    <w:rsid w:val="0063463F"/>
    <w:rsid w:val="006365D3"/>
    <w:rsid w:val="006367DD"/>
    <w:rsid w:val="006369FE"/>
    <w:rsid w:val="0064015E"/>
    <w:rsid w:val="00640F6E"/>
    <w:rsid w:val="00640FF2"/>
    <w:rsid w:val="00641532"/>
    <w:rsid w:val="00641AF5"/>
    <w:rsid w:val="00641F2F"/>
    <w:rsid w:val="0064208D"/>
    <w:rsid w:val="00642168"/>
    <w:rsid w:val="00642D32"/>
    <w:rsid w:val="00643110"/>
    <w:rsid w:val="00644648"/>
    <w:rsid w:val="00644C47"/>
    <w:rsid w:val="00645233"/>
    <w:rsid w:val="006453BB"/>
    <w:rsid w:val="0064762A"/>
    <w:rsid w:val="00647A8C"/>
    <w:rsid w:val="00647ACB"/>
    <w:rsid w:val="00650738"/>
    <w:rsid w:val="00650885"/>
    <w:rsid w:val="00650FFA"/>
    <w:rsid w:val="00651184"/>
    <w:rsid w:val="00651723"/>
    <w:rsid w:val="006520EA"/>
    <w:rsid w:val="00652BDC"/>
    <w:rsid w:val="00652D19"/>
    <w:rsid w:val="00652F85"/>
    <w:rsid w:val="0065347B"/>
    <w:rsid w:val="006539E2"/>
    <w:rsid w:val="00654328"/>
    <w:rsid w:val="00654E32"/>
    <w:rsid w:val="00654F7A"/>
    <w:rsid w:val="006554B1"/>
    <w:rsid w:val="00656513"/>
    <w:rsid w:val="00656814"/>
    <w:rsid w:val="00656A3A"/>
    <w:rsid w:val="00656F7A"/>
    <w:rsid w:val="00657058"/>
    <w:rsid w:val="006579D3"/>
    <w:rsid w:val="00657D25"/>
    <w:rsid w:val="00660626"/>
    <w:rsid w:val="00660900"/>
    <w:rsid w:val="00660C94"/>
    <w:rsid w:val="0066141F"/>
    <w:rsid w:val="0066224D"/>
    <w:rsid w:val="00662BEA"/>
    <w:rsid w:val="00662EE2"/>
    <w:rsid w:val="006632C3"/>
    <w:rsid w:val="00663E53"/>
    <w:rsid w:val="00665ED2"/>
    <w:rsid w:val="006662AC"/>
    <w:rsid w:val="00666B46"/>
    <w:rsid w:val="006670FF"/>
    <w:rsid w:val="00667122"/>
    <w:rsid w:val="006671A4"/>
    <w:rsid w:val="0066730F"/>
    <w:rsid w:val="0066768B"/>
    <w:rsid w:val="00667822"/>
    <w:rsid w:val="00667873"/>
    <w:rsid w:val="006709CE"/>
    <w:rsid w:val="006715C1"/>
    <w:rsid w:val="0067179B"/>
    <w:rsid w:val="00671897"/>
    <w:rsid w:val="00671960"/>
    <w:rsid w:val="006722F0"/>
    <w:rsid w:val="00672781"/>
    <w:rsid w:val="00672D0B"/>
    <w:rsid w:val="00673A0F"/>
    <w:rsid w:val="006742DE"/>
    <w:rsid w:val="006747DD"/>
    <w:rsid w:val="006767CD"/>
    <w:rsid w:val="0067774F"/>
    <w:rsid w:val="00677C4C"/>
    <w:rsid w:val="00677D8C"/>
    <w:rsid w:val="00677E44"/>
    <w:rsid w:val="00680379"/>
    <w:rsid w:val="0068057B"/>
    <w:rsid w:val="006806BF"/>
    <w:rsid w:val="00680889"/>
    <w:rsid w:val="00680A6F"/>
    <w:rsid w:val="00680B03"/>
    <w:rsid w:val="00680F35"/>
    <w:rsid w:val="00682068"/>
    <w:rsid w:val="006827B2"/>
    <w:rsid w:val="00682879"/>
    <w:rsid w:val="006832B1"/>
    <w:rsid w:val="00683319"/>
    <w:rsid w:val="00683694"/>
    <w:rsid w:val="00683B0E"/>
    <w:rsid w:val="00683F1D"/>
    <w:rsid w:val="006844CE"/>
    <w:rsid w:val="0068467B"/>
    <w:rsid w:val="00684D64"/>
    <w:rsid w:val="006851B6"/>
    <w:rsid w:val="00685A3F"/>
    <w:rsid w:val="00685CD4"/>
    <w:rsid w:val="00686401"/>
    <w:rsid w:val="006876C1"/>
    <w:rsid w:val="00687850"/>
    <w:rsid w:val="00691A5F"/>
    <w:rsid w:val="00691A7D"/>
    <w:rsid w:val="00691EA3"/>
    <w:rsid w:val="0069383C"/>
    <w:rsid w:val="00693C30"/>
    <w:rsid w:val="006947BD"/>
    <w:rsid w:val="00695395"/>
    <w:rsid w:val="00695BDE"/>
    <w:rsid w:val="00695C7F"/>
    <w:rsid w:val="006960AD"/>
    <w:rsid w:val="00696BBD"/>
    <w:rsid w:val="006973D2"/>
    <w:rsid w:val="006A02DC"/>
    <w:rsid w:val="006A0551"/>
    <w:rsid w:val="006A09A2"/>
    <w:rsid w:val="006A09E2"/>
    <w:rsid w:val="006A0F32"/>
    <w:rsid w:val="006A0F67"/>
    <w:rsid w:val="006A11F5"/>
    <w:rsid w:val="006A1555"/>
    <w:rsid w:val="006A18BC"/>
    <w:rsid w:val="006A1B4F"/>
    <w:rsid w:val="006A2218"/>
    <w:rsid w:val="006A296B"/>
    <w:rsid w:val="006A30E9"/>
    <w:rsid w:val="006A338C"/>
    <w:rsid w:val="006A36FE"/>
    <w:rsid w:val="006A3CD4"/>
    <w:rsid w:val="006A3E84"/>
    <w:rsid w:val="006A49FD"/>
    <w:rsid w:val="006A4D44"/>
    <w:rsid w:val="006A5BCD"/>
    <w:rsid w:val="006A5FDE"/>
    <w:rsid w:val="006A6526"/>
    <w:rsid w:val="006A655B"/>
    <w:rsid w:val="006A695B"/>
    <w:rsid w:val="006A6D9A"/>
    <w:rsid w:val="006A6FA5"/>
    <w:rsid w:val="006A6FBF"/>
    <w:rsid w:val="006A74DB"/>
    <w:rsid w:val="006A798E"/>
    <w:rsid w:val="006A7CD1"/>
    <w:rsid w:val="006B2590"/>
    <w:rsid w:val="006B2B0B"/>
    <w:rsid w:val="006B304D"/>
    <w:rsid w:val="006B3C69"/>
    <w:rsid w:val="006B42C3"/>
    <w:rsid w:val="006B440B"/>
    <w:rsid w:val="006B488E"/>
    <w:rsid w:val="006B5E9A"/>
    <w:rsid w:val="006B648B"/>
    <w:rsid w:val="006B666E"/>
    <w:rsid w:val="006B6916"/>
    <w:rsid w:val="006B7D19"/>
    <w:rsid w:val="006C0EA8"/>
    <w:rsid w:val="006C23E2"/>
    <w:rsid w:val="006C27FA"/>
    <w:rsid w:val="006C3722"/>
    <w:rsid w:val="006C4A72"/>
    <w:rsid w:val="006C5272"/>
    <w:rsid w:val="006C5294"/>
    <w:rsid w:val="006C562C"/>
    <w:rsid w:val="006C5912"/>
    <w:rsid w:val="006C63E2"/>
    <w:rsid w:val="006C742B"/>
    <w:rsid w:val="006C7C22"/>
    <w:rsid w:val="006C7CA3"/>
    <w:rsid w:val="006C7D12"/>
    <w:rsid w:val="006D038F"/>
    <w:rsid w:val="006D0707"/>
    <w:rsid w:val="006D0C2C"/>
    <w:rsid w:val="006D1052"/>
    <w:rsid w:val="006D1093"/>
    <w:rsid w:val="006D2E57"/>
    <w:rsid w:val="006D4244"/>
    <w:rsid w:val="006D429D"/>
    <w:rsid w:val="006D4878"/>
    <w:rsid w:val="006D4FCC"/>
    <w:rsid w:val="006D561E"/>
    <w:rsid w:val="006D5DDE"/>
    <w:rsid w:val="006D6332"/>
    <w:rsid w:val="006D643C"/>
    <w:rsid w:val="006D67E9"/>
    <w:rsid w:val="006D6DBD"/>
    <w:rsid w:val="006D6F3B"/>
    <w:rsid w:val="006D7408"/>
    <w:rsid w:val="006E079D"/>
    <w:rsid w:val="006E08C5"/>
    <w:rsid w:val="006E2105"/>
    <w:rsid w:val="006E2618"/>
    <w:rsid w:val="006E2D9C"/>
    <w:rsid w:val="006E33AA"/>
    <w:rsid w:val="006E3920"/>
    <w:rsid w:val="006E3C0C"/>
    <w:rsid w:val="006E3F59"/>
    <w:rsid w:val="006E449A"/>
    <w:rsid w:val="006E4906"/>
    <w:rsid w:val="006E4B4F"/>
    <w:rsid w:val="006E53CD"/>
    <w:rsid w:val="006E5743"/>
    <w:rsid w:val="006E5756"/>
    <w:rsid w:val="006E5B70"/>
    <w:rsid w:val="006E5E0F"/>
    <w:rsid w:val="006E6621"/>
    <w:rsid w:val="006E664F"/>
    <w:rsid w:val="006E6C77"/>
    <w:rsid w:val="006E74D0"/>
    <w:rsid w:val="006E7C1B"/>
    <w:rsid w:val="006E7D57"/>
    <w:rsid w:val="006F05EB"/>
    <w:rsid w:val="006F083C"/>
    <w:rsid w:val="006F0A6E"/>
    <w:rsid w:val="006F0B50"/>
    <w:rsid w:val="006F1A70"/>
    <w:rsid w:val="006F1B04"/>
    <w:rsid w:val="006F1B30"/>
    <w:rsid w:val="006F1B4F"/>
    <w:rsid w:val="006F1D1A"/>
    <w:rsid w:val="006F1DDE"/>
    <w:rsid w:val="006F2509"/>
    <w:rsid w:val="006F2B7E"/>
    <w:rsid w:val="006F3490"/>
    <w:rsid w:val="006F3551"/>
    <w:rsid w:val="006F35AA"/>
    <w:rsid w:val="006F39B5"/>
    <w:rsid w:val="006F3A8E"/>
    <w:rsid w:val="006F3BA8"/>
    <w:rsid w:val="006F419D"/>
    <w:rsid w:val="006F4B44"/>
    <w:rsid w:val="006F5C2D"/>
    <w:rsid w:val="006F5FB9"/>
    <w:rsid w:val="006F769E"/>
    <w:rsid w:val="006F7B0D"/>
    <w:rsid w:val="006F7F3F"/>
    <w:rsid w:val="00700774"/>
    <w:rsid w:val="00700F9C"/>
    <w:rsid w:val="0070123E"/>
    <w:rsid w:val="00701C9E"/>
    <w:rsid w:val="00702604"/>
    <w:rsid w:val="007029F2"/>
    <w:rsid w:val="00702E2F"/>
    <w:rsid w:val="00703AAB"/>
    <w:rsid w:val="00703B67"/>
    <w:rsid w:val="007044D2"/>
    <w:rsid w:val="007047E4"/>
    <w:rsid w:val="00704881"/>
    <w:rsid w:val="00705979"/>
    <w:rsid w:val="007063DE"/>
    <w:rsid w:val="00706A38"/>
    <w:rsid w:val="00706CD7"/>
    <w:rsid w:val="00707119"/>
    <w:rsid w:val="007102C1"/>
    <w:rsid w:val="00710328"/>
    <w:rsid w:val="00710AB7"/>
    <w:rsid w:val="00710BEB"/>
    <w:rsid w:val="00710BEE"/>
    <w:rsid w:val="00711451"/>
    <w:rsid w:val="007117C9"/>
    <w:rsid w:val="00712406"/>
    <w:rsid w:val="00712611"/>
    <w:rsid w:val="00713456"/>
    <w:rsid w:val="00713802"/>
    <w:rsid w:val="007139E2"/>
    <w:rsid w:val="00713A53"/>
    <w:rsid w:val="007158EF"/>
    <w:rsid w:val="00715AA3"/>
    <w:rsid w:val="00715F96"/>
    <w:rsid w:val="007165D3"/>
    <w:rsid w:val="00716807"/>
    <w:rsid w:val="00717AFB"/>
    <w:rsid w:val="00717C13"/>
    <w:rsid w:val="00720094"/>
    <w:rsid w:val="007200EB"/>
    <w:rsid w:val="0072015D"/>
    <w:rsid w:val="0072029E"/>
    <w:rsid w:val="00720339"/>
    <w:rsid w:val="0072090F"/>
    <w:rsid w:val="0072099D"/>
    <w:rsid w:val="007214CB"/>
    <w:rsid w:val="00721844"/>
    <w:rsid w:val="00721973"/>
    <w:rsid w:val="00721A87"/>
    <w:rsid w:val="00721BDA"/>
    <w:rsid w:val="00722401"/>
    <w:rsid w:val="0072320E"/>
    <w:rsid w:val="0072340D"/>
    <w:rsid w:val="007253E2"/>
    <w:rsid w:val="00725C80"/>
    <w:rsid w:val="0072602D"/>
    <w:rsid w:val="0072633B"/>
    <w:rsid w:val="007269AA"/>
    <w:rsid w:val="00726FE3"/>
    <w:rsid w:val="00727E4F"/>
    <w:rsid w:val="007302BA"/>
    <w:rsid w:val="00730432"/>
    <w:rsid w:val="0073070A"/>
    <w:rsid w:val="00730B00"/>
    <w:rsid w:val="00731331"/>
    <w:rsid w:val="00731761"/>
    <w:rsid w:val="00731F7E"/>
    <w:rsid w:val="007325B0"/>
    <w:rsid w:val="0073285E"/>
    <w:rsid w:val="00732E17"/>
    <w:rsid w:val="007330B4"/>
    <w:rsid w:val="0073373B"/>
    <w:rsid w:val="007342BB"/>
    <w:rsid w:val="00734711"/>
    <w:rsid w:val="00734721"/>
    <w:rsid w:val="0073575F"/>
    <w:rsid w:val="00735BBB"/>
    <w:rsid w:val="00736CA5"/>
    <w:rsid w:val="00736E03"/>
    <w:rsid w:val="00737315"/>
    <w:rsid w:val="0073743D"/>
    <w:rsid w:val="007379D2"/>
    <w:rsid w:val="007379E7"/>
    <w:rsid w:val="00737B5C"/>
    <w:rsid w:val="00740461"/>
    <w:rsid w:val="00740C15"/>
    <w:rsid w:val="00740E07"/>
    <w:rsid w:val="007415C9"/>
    <w:rsid w:val="00741B3B"/>
    <w:rsid w:val="00741CF9"/>
    <w:rsid w:val="00741F4B"/>
    <w:rsid w:val="00741F4E"/>
    <w:rsid w:val="00742857"/>
    <w:rsid w:val="00742F69"/>
    <w:rsid w:val="007430AF"/>
    <w:rsid w:val="0074337B"/>
    <w:rsid w:val="007434D4"/>
    <w:rsid w:val="007439EA"/>
    <w:rsid w:val="0074451F"/>
    <w:rsid w:val="007452DD"/>
    <w:rsid w:val="00745867"/>
    <w:rsid w:val="007472F2"/>
    <w:rsid w:val="00747E7E"/>
    <w:rsid w:val="007503BE"/>
    <w:rsid w:val="00750434"/>
    <w:rsid w:val="0075059F"/>
    <w:rsid w:val="00750AC1"/>
    <w:rsid w:val="00750C20"/>
    <w:rsid w:val="00750F9B"/>
    <w:rsid w:val="00751269"/>
    <w:rsid w:val="0075166A"/>
    <w:rsid w:val="00752D8E"/>
    <w:rsid w:val="0075314A"/>
    <w:rsid w:val="007534EC"/>
    <w:rsid w:val="00754D2D"/>
    <w:rsid w:val="0075503D"/>
    <w:rsid w:val="007558E7"/>
    <w:rsid w:val="00755965"/>
    <w:rsid w:val="00755B77"/>
    <w:rsid w:val="00755BDA"/>
    <w:rsid w:val="00756242"/>
    <w:rsid w:val="00756430"/>
    <w:rsid w:val="0075686D"/>
    <w:rsid w:val="007568CA"/>
    <w:rsid w:val="00756D05"/>
    <w:rsid w:val="007572D3"/>
    <w:rsid w:val="00757F07"/>
    <w:rsid w:val="00757F67"/>
    <w:rsid w:val="00760B8E"/>
    <w:rsid w:val="007611C5"/>
    <w:rsid w:val="00762416"/>
    <w:rsid w:val="00762655"/>
    <w:rsid w:val="00762ABD"/>
    <w:rsid w:val="00762B09"/>
    <w:rsid w:val="00762BA0"/>
    <w:rsid w:val="007630AA"/>
    <w:rsid w:val="007636BC"/>
    <w:rsid w:val="00763A03"/>
    <w:rsid w:val="00763E54"/>
    <w:rsid w:val="00764B05"/>
    <w:rsid w:val="00764D26"/>
    <w:rsid w:val="00764D62"/>
    <w:rsid w:val="00765745"/>
    <w:rsid w:val="00766AE4"/>
    <w:rsid w:val="00767B95"/>
    <w:rsid w:val="00767FB2"/>
    <w:rsid w:val="00770343"/>
    <w:rsid w:val="00770B9D"/>
    <w:rsid w:val="00770EA3"/>
    <w:rsid w:val="00771CE1"/>
    <w:rsid w:val="00772753"/>
    <w:rsid w:val="00772789"/>
    <w:rsid w:val="007727EC"/>
    <w:rsid w:val="00772817"/>
    <w:rsid w:val="007733D7"/>
    <w:rsid w:val="007739A9"/>
    <w:rsid w:val="00773EA3"/>
    <w:rsid w:val="00774AEB"/>
    <w:rsid w:val="007755A6"/>
    <w:rsid w:val="00775BAC"/>
    <w:rsid w:val="00776100"/>
    <w:rsid w:val="007767CB"/>
    <w:rsid w:val="00776CA4"/>
    <w:rsid w:val="007778A9"/>
    <w:rsid w:val="007808F9"/>
    <w:rsid w:val="0078150A"/>
    <w:rsid w:val="00781CD0"/>
    <w:rsid w:val="00781E9F"/>
    <w:rsid w:val="0078248E"/>
    <w:rsid w:val="00782560"/>
    <w:rsid w:val="0078266B"/>
    <w:rsid w:val="0078290F"/>
    <w:rsid w:val="00782A7A"/>
    <w:rsid w:val="00783C35"/>
    <w:rsid w:val="0078418B"/>
    <w:rsid w:val="00784617"/>
    <w:rsid w:val="007851BE"/>
    <w:rsid w:val="0078548A"/>
    <w:rsid w:val="007856C5"/>
    <w:rsid w:val="0078679C"/>
    <w:rsid w:val="00786C2A"/>
    <w:rsid w:val="00787353"/>
    <w:rsid w:val="00787E0B"/>
    <w:rsid w:val="00787ED8"/>
    <w:rsid w:val="007901CD"/>
    <w:rsid w:val="007903D8"/>
    <w:rsid w:val="00790B90"/>
    <w:rsid w:val="007912C8"/>
    <w:rsid w:val="007917A1"/>
    <w:rsid w:val="00791A22"/>
    <w:rsid w:val="007929F8"/>
    <w:rsid w:val="00792C2E"/>
    <w:rsid w:val="00792CDD"/>
    <w:rsid w:val="00792FFC"/>
    <w:rsid w:val="00793176"/>
    <w:rsid w:val="00793271"/>
    <w:rsid w:val="00793621"/>
    <w:rsid w:val="00793B51"/>
    <w:rsid w:val="00794195"/>
    <w:rsid w:val="007943FB"/>
    <w:rsid w:val="00794C75"/>
    <w:rsid w:val="00794CA7"/>
    <w:rsid w:val="00794EF7"/>
    <w:rsid w:val="007950C6"/>
    <w:rsid w:val="0079538F"/>
    <w:rsid w:val="00795FC5"/>
    <w:rsid w:val="00796300"/>
    <w:rsid w:val="007964D2"/>
    <w:rsid w:val="00796927"/>
    <w:rsid w:val="00796AD2"/>
    <w:rsid w:val="00796EBC"/>
    <w:rsid w:val="0079723C"/>
    <w:rsid w:val="007974B4"/>
    <w:rsid w:val="00797D86"/>
    <w:rsid w:val="007A0530"/>
    <w:rsid w:val="007A08EB"/>
    <w:rsid w:val="007A11E3"/>
    <w:rsid w:val="007A137F"/>
    <w:rsid w:val="007A159D"/>
    <w:rsid w:val="007A159E"/>
    <w:rsid w:val="007A15D9"/>
    <w:rsid w:val="007A1B7B"/>
    <w:rsid w:val="007A1E6A"/>
    <w:rsid w:val="007A1E9C"/>
    <w:rsid w:val="007A2EC5"/>
    <w:rsid w:val="007A2FC2"/>
    <w:rsid w:val="007A3323"/>
    <w:rsid w:val="007A33DC"/>
    <w:rsid w:val="007A467F"/>
    <w:rsid w:val="007A504D"/>
    <w:rsid w:val="007A570C"/>
    <w:rsid w:val="007A58B0"/>
    <w:rsid w:val="007A6177"/>
    <w:rsid w:val="007A6213"/>
    <w:rsid w:val="007A6600"/>
    <w:rsid w:val="007A678A"/>
    <w:rsid w:val="007A6BF4"/>
    <w:rsid w:val="007A6C4E"/>
    <w:rsid w:val="007A6FD0"/>
    <w:rsid w:val="007A76CF"/>
    <w:rsid w:val="007B0D3C"/>
    <w:rsid w:val="007B11B8"/>
    <w:rsid w:val="007B1462"/>
    <w:rsid w:val="007B16C6"/>
    <w:rsid w:val="007B1B09"/>
    <w:rsid w:val="007B2689"/>
    <w:rsid w:val="007B26A7"/>
    <w:rsid w:val="007B2DCE"/>
    <w:rsid w:val="007B354F"/>
    <w:rsid w:val="007B364E"/>
    <w:rsid w:val="007B36CE"/>
    <w:rsid w:val="007B3A60"/>
    <w:rsid w:val="007B5693"/>
    <w:rsid w:val="007B6FB6"/>
    <w:rsid w:val="007B7607"/>
    <w:rsid w:val="007B78FA"/>
    <w:rsid w:val="007B7EC1"/>
    <w:rsid w:val="007C0901"/>
    <w:rsid w:val="007C150D"/>
    <w:rsid w:val="007C182D"/>
    <w:rsid w:val="007C3959"/>
    <w:rsid w:val="007C3CAA"/>
    <w:rsid w:val="007C3E5A"/>
    <w:rsid w:val="007C4C4D"/>
    <w:rsid w:val="007C53DA"/>
    <w:rsid w:val="007C544F"/>
    <w:rsid w:val="007C57C4"/>
    <w:rsid w:val="007C5FC9"/>
    <w:rsid w:val="007C6951"/>
    <w:rsid w:val="007C6C8B"/>
    <w:rsid w:val="007C6E70"/>
    <w:rsid w:val="007C7028"/>
    <w:rsid w:val="007C70FB"/>
    <w:rsid w:val="007D071D"/>
    <w:rsid w:val="007D0DFF"/>
    <w:rsid w:val="007D1264"/>
    <w:rsid w:val="007D1337"/>
    <w:rsid w:val="007D24B4"/>
    <w:rsid w:val="007D30A3"/>
    <w:rsid w:val="007D31E1"/>
    <w:rsid w:val="007D32A8"/>
    <w:rsid w:val="007D3C1C"/>
    <w:rsid w:val="007D3DF1"/>
    <w:rsid w:val="007D4330"/>
    <w:rsid w:val="007D47B6"/>
    <w:rsid w:val="007D4EB6"/>
    <w:rsid w:val="007D517E"/>
    <w:rsid w:val="007D56AB"/>
    <w:rsid w:val="007D5E61"/>
    <w:rsid w:val="007D6482"/>
    <w:rsid w:val="007D6924"/>
    <w:rsid w:val="007D69D2"/>
    <w:rsid w:val="007D6ACF"/>
    <w:rsid w:val="007D7195"/>
    <w:rsid w:val="007D721D"/>
    <w:rsid w:val="007D729F"/>
    <w:rsid w:val="007D79E4"/>
    <w:rsid w:val="007E01B0"/>
    <w:rsid w:val="007E05E9"/>
    <w:rsid w:val="007E069D"/>
    <w:rsid w:val="007E078F"/>
    <w:rsid w:val="007E0930"/>
    <w:rsid w:val="007E0A94"/>
    <w:rsid w:val="007E0D54"/>
    <w:rsid w:val="007E1302"/>
    <w:rsid w:val="007E1400"/>
    <w:rsid w:val="007E18AD"/>
    <w:rsid w:val="007E22F3"/>
    <w:rsid w:val="007E27E9"/>
    <w:rsid w:val="007E35AD"/>
    <w:rsid w:val="007E404D"/>
    <w:rsid w:val="007E404F"/>
    <w:rsid w:val="007E41FF"/>
    <w:rsid w:val="007E4F7F"/>
    <w:rsid w:val="007E514A"/>
    <w:rsid w:val="007E5367"/>
    <w:rsid w:val="007E564B"/>
    <w:rsid w:val="007E5BE2"/>
    <w:rsid w:val="007E7CA9"/>
    <w:rsid w:val="007F034E"/>
    <w:rsid w:val="007F1573"/>
    <w:rsid w:val="007F1611"/>
    <w:rsid w:val="007F1E10"/>
    <w:rsid w:val="007F27CA"/>
    <w:rsid w:val="007F3FCA"/>
    <w:rsid w:val="007F4C59"/>
    <w:rsid w:val="007F5370"/>
    <w:rsid w:val="007F6349"/>
    <w:rsid w:val="007F6B94"/>
    <w:rsid w:val="007F6EA5"/>
    <w:rsid w:val="007F71F7"/>
    <w:rsid w:val="007F754E"/>
    <w:rsid w:val="007F764D"/>
    <w:rsid w:val="0080025E"/>
    <w:rsid w:val="008012F9"/>
    <w:rsid w:val="0080132A"/>
    <w:rsid w:val="00801D25"/>
    <w:rsid w:val="00801F24"/>
    <w:rsid w:val="00802177"/>
    <w:rsid w:val="008022F8"/>
    <w:rsid w:val="00802E8D"/>
    <w:rsid w:val="008036F1"/>
    <w:rsid w:val="00803834"/>
    <w:rsid w:val="00803960"/>
    <w:rsid w:val="008041C7"/>
    <w:rsid w:val="00804A03"/>
    <w:rsid w:val="00804EC5"/>
    <w:rsid w:val="008053C9"/>
    <w:rsid w:val="008056F9"/>
    <w:rsid w:val="0080655C"/>
    <w:rsid w:val="00807504"/>
    <w:rsid w:val="00807522"/>
    <w:rsid w:val="00807D66"/>
    <w:rsid w:val="00807F50"/>
    <w:rsid w:val="00810627"/>
    <w:rsid w:val="0081098E"/>
    <w:rsid w:val="008109F7"/>
    <w:rsid w:val="008116D0"/>
    <w:rsid w:val="008117CC"/>
    <w:rsid w:val="00811C85"/>
    <w:rsid w:val="00812CA9"/>
    <w:rsid w:val="00812F43"/>
    <w:rsid w:val="00813378"/>
    <w:rsid w:val="008134C5"/>
    <w:rsid w:val="00813975"/>
    <w:rsid w:val="00813C94"/>
    <w:rsid w:val="0081438A"/>
    <w:rsid w:val="008159B7"/>
    <w:rsid w:val="00815D8D"/>
    <w:rsid w:val="00815E85"/>
    <w:rsid w:val="00816331"/>
    <w:rsid w:val="008166CD"/>
    <w:rsid w:val="0081700C"/>
    <w:rsid w:val="008173BA"/>
    <w:rsid w:val="008174AF"/>
    <w:rsid w:val="00817707"/>
    <w:rsid w:val="00817AAA"/>
    <w:rsid w:val="00817B1F"/>
    <w:rsid w:val="00817C10"/>
    <w:rsid w:val="00817DF2"/>
    <w:rsid w:val="008200F8"/>
    <w:rsid w:val="00820BC8"/>
    <w:rsid w:val="008218A2"/>
    <w:rsid w:val="00821932"/>
    <w:rsid w:val="0082207D"/>
    <w:rsid w:val="00822414"/>
    <w:rsid w:val="00822815"/>
    <w:rsid w:val="0082298C"/>
    <w:rsid w:val="00822D3F"/>
    <w:rsid w:val="00823154"/>
    <w:rsid w:val="008234D1"/>
    <w:rsid w:val="00823672"/>
    <w:rsid w:val="00823C0E"/>
    <w:rsid w:val="00824A16"/>
    <w:rsid w:val="00825BCE"/>
    <w:rsid w:val="00825F74"/>
    <w:rsid w:val="00826161"/>
    <w:rsid w:val="00826208"/>
    <w:rsid w:val="00826374"/>
    <w:rsid w:val="008276AA"/>
    <w:rsid w:val="008276F6"/>
    <w:rsid w:val="008277C0"/>
    <w:rsid w:val="00827BDA"/>
    <w:rsid w:val="00827C58"/>
    <w:rsid w:val="00831C87"/>
    <w:rsid w:val="00831CD4"/>
    <w:rsid w:val="00832602"/>
    <w:rsid w:val="008328AB"/>
    <w:rsid w:val="0083445E"/>
    <w:rsid w:val="00835B02"/>
    <w:rsid w:val="00836115"/>
    <w:rsid w:val="00836207"/>
    <w:rsid w:val="0083681E"/>
    <w:rsid w:val="00836E94"/>
    <w:rsid w:val="00837009"/>
    <w:rsid w:val="008373E4"/>
    <w:rsid w:val="0084005B"/>
    <w:rsid w:val="0084010B"/>
    <w:rsid w:val="008401D3"/>
    <w:rsid w:val="0084029F"/>
    <w:rsid w:val="00840D7C"/>
    <w:rsid w:val="00840FE4"/>
    <w:rsid w:val="00841039"/>
    <w:rsid w:val="008412A3"/>
    <w:rsid w:val="008413B5"/>
    <w:rsid w:val="008415AE"/>
    <w:rsid w:val="00841B30"/>
    <w:rsid w:val="00841C3E"/>
    <w:rsid w:val="00841C60"/>
    <w:rsid w:val="00842D1A"/>
    <w:rsid w:val="00842F00"/>
    <w:rsid w:val="00843BED"/>
    <w:rsid w:val="00843C85"/>
    <w:rsid w:val="00844A06"/>
    <w:rsid w:val="008453CF"/>
    <w:rsid w:val="008457BD"/>
    <w:rsid w:val="00845E18"/>
    <w:rsid w:val="00846110"/>
    <w:rsid w:val="008469C5"/>
    <w:rsid w:val="0085040B"/>
    <w:rsid w:val="0085086C"/>
    <w:rsid w:val="00850BC8"/>
    <w:rsid w:val="00850C7D"/>
    <w:rsid w:val="00850EC4"/>
    <w:rsid w:val="0085125E"/>
    <w:rsid w:val="00851725"/>
    <w:rsid w:val="00851790"/>
    <w:rsid w:val="00851D96"/>
    <w:rsid w:val="008520B3"/>
    <w:rsid w:val="0085235F"/>
    <w:rsid w:val="00852658"/>
    <w:rsid w:val="00853FDD"/>
    <w:rsid w:val="00855597"/>
    <w:rsid w:val="008555CB"/>
    <w:rsid w:val="00855781"/>
    <w:rsid w:val="008562B7"/>
    <w:rsid w:val="008567DB"/>
    <w:rsid w:val="00856FD5"/>
    <w:rsid w:val="00857528"/>
    <w:rsid w:val="008578E6"/>
    <w:rsid w:val="008579FB"/>
    <w:rsid w:val="00857B0F"/>
    <w:rsid w:val="00857BBE"/>
    <w:rsid w:val="00860383"/>
    <w:rsid w:val="008606E3"/>
    <w:rsid w:val="008607E5"/>
    <w:rsid w:val="00860EA5"/>
    <w:rsid w:val="00860FD4"/>
    <w:rsid w:val="008618A4"/>
    <w:rsid w:val="00861966"/>
    <w:rsid w:val="0086200F"/>
    <w:rsid w:val="0086261B"/>
    <w:rsid w:val="00862680"/>
    <w:rsid w:val="00862E35"/>
    <w:rsid w:val="008631A4"/>
    <w:rsid w:val="0086323C"/>
    <w:rsid w:val="008638D6"/>
    <w:rsid w:val="00863B31"/>
    <w:rsid w:val="00863DDF"/>
    <w:rsid w:val="00863FBE"/>
    <w:rsid w:val="008640AB"/>
    <w:rsid w:val="008641FE"/>
    <w:rsid w:val="00864500"/>
    <w:rsid w:val="008652FB"/>
    <w:rsid w:val="00865792"/>
    <w:rsid w:val="00865B53"/>
    <w:rsid w:val="008665D6"/>
    <w:rsid w:val="00866BA2"/>
    <w:rsid w:val="00867036"/>
    <w:rsid w:val="00867427"/>
    <w:rsid w:val="008679A1"/>
    <w:rsid w:val="00870A6A"/>
    <w:rsid w:val="00870D56"/>
    <w:rsid w:val="00871576"/>
    <w:rsid w:val="008715D3"/>
    <w:rsid w:val="00872154"/>
    <w:rsid w:val="0087219A"/>
    <w:rsid w:val="008728E8"/>
    <w:rsid w:val="00872A25"/>
    <w:rsid w:val="00873780"/>
    <w:rsid w:val="00873913"/>
    <w:rsid w:val="00873C7E"/>
    <w:rsid w:val="0087497F"/>
    <w:rsid w:val="00874D00"/>
    <w:rsid w:val="0087535D"/>
    <w:rsid w:val="00875B79"/>
    <w:rsid w:val="008761D9"/>
    <w:rsid w:val="00876C45"/>
    <w:rsid w:val="00876CF8"/>
    <w:rsid w:val="008771DB"/>
    <w:rsid w:val="00877EF8"/>
    <w:rsid w:val="00880D05"/>
    <w:rsid w:val="00880DD1"/>
    <w:rsid w:val="008814C2"/>
    <w:rsid w:val="008820AC"/>
    <w:rsid w:val="0088262D"/>
    <w:rsid w:val="008827E3"/>
    <w:rsid w:val="00882881"/>
    <w:rsid w:val="00882FEC"/>
    <w:rsid w:val="008835EB"/>
    <w:rsid w:val="00883B59"/>
    <w:rsid w:val="00883C00"/>
    <w:rsid w:val="0088430D"/>
    <w:rsid w:val="00884CE2"/>
    <w:rsid w:val="00885787"/>
    <w:rsid w:val="00885CA9"/>
    <w:rsid w:val="008869C9"/>
    <w:rsid w:val="00886ABC"/>
    <w:rsid w:val="00887036"/>
    <w:rsid w:val="00890248"/>
    <w:rsid w:val="00890A12"/>
    <w:rsid w:val="00892002"/>
    <w:rsid w:val="00892290"/>
    <w:rsid w:val="008922E8"/>
    <w:rsid w:val="00892414"/>
    <w:rsid w:val="008924E6"/>
    <w:rsid w:val="00892841"/>
    <w:rsid w:val="0089291C"/>
    <w:rsid w:val="00892C0D"/>
    <w:rsid w:val="008934C8"/>
    <w:rsid w:val="00893CDD"/>
    <w:rsid w:val="00893E65"/>
    <w:rsid w:val="0089403B"/>
    <w:rsid w:val="00894CC6"/>
    <w:rsid w:val="00895098"/>
    <w:rsid w:val="00895361"/>
    <w:rsid w:val="00895740"/>
    <w:rsid w:val="008959B9"/>
    <w:rsid w:val="008965DA"/>
    <w:rsid w:val="008967B5"/>
    <w:rsid w:val="00896ABE"/>
    <w:rsid w:val="00896B5A"/>
    <w:rsid w:val="00897072"/>
    <w:rsid w:val="008976F9"/>
    <w:rsid w:val="00897CFA"/>
    <w:rsid w:val="008A0136"/>
    <w:rsid w:val="008A0348"/>
    <w:rsid w:val="008A0E30"/>
    <w:rsid w:val="008A11C9"/>
    <w:rsid w:val="008A2E52"/>
    <w:rsid w:val="008A30A1"/>
    <w:rsid w:val="008A454C"/>
    <w:rsid w:val="008A4783"/>
    <w:rsid w:val="008A5563"/>
    <w:rsid w:val="008A57A2"/>
    <w:rsid w:val="008A60E3"/>
    <w:rsid w:val="008A664B"/>
    <w:rsid w:val="008A6930"/>
    <w:rsid w:val="008B03CC"/>
    <w:rsid w:val="008B0B06"/>
    <w:rsid w:val="008B0CB8"/>
    <w:rsid w:val="008B1387"/>
    <w:rsid w:val="008B3030"/>
    <w:rsid w:val="008B3919"/>
    <w:rsid w:val="008B4238"/>
    <w:rsid w:val="008B453D"/>
    <w:rsid w:val="008B4689"/>
    <w:rsid w:val="008B4920"/>
    <w:rsid w:val="008B4A1D"/>
    <w:rsid w:val="008B4FCE"/>
    <w:rsid w:val="008B6240"/>
    <w:rsid w:val="008B6664"/>
    <w:rsid w:val="008B6AA8"/>
    <w:rsid w:val="008B7C41"/>
    <w:rsid w:val="008C0F35"/>
    <w:rsid w:val="008C2219"/>
    <w:rsid w:val="008C27AD"/>
    <w:rsid w:val="008C3629"/>
    <w:rsid w:val="008C3F54"/>
    <w:rsid w:val="008C4016"/>
    <w:rsid w:val="008C5AFE"/>
    <w:rsid w:val="008C6A6D"/>
    <w:rsid w:val="008C6E1E"/>
    <w:rsid w:val="008C7729"/>
    <w:rsid w:val="008C7B44"/>
    <w:rsid w:val="008D0473"/>
    <w:rsid w:val="008D0A25"/>
    <w:rsid w:val="008D19AE"/>
    <w:rsid w:val="008D1B9B"/>
    <w:rsid w:val="008D1C08"/>
    <w:rsid w:val="008D1D3D"/>
    <w:rsid w:val="008D1D4F"/>
    <w:rsid w:val="008D1E19"/>
    <w:rsid w:val="008D2171"/>
    <w:rsid w:val="008D23DD"/>
    <w:rsid w:val="008D26FC"/>
    <w:rsid w:val="008D37A8"/>
    <w:rsid w:val="008D41AE"/>
    <w:rsid w:val="008D53E8"/>
    <w:rsid w:val="008D5700"/>
    <w:rsid w:val="008D600C"/>
    <w:rsid w:val="008D69B3"/>
    <w:rsid w:val="008D6B3A"/>
    <w:rsid w:val="008D6E3E"/>
    <w:rsid w:val="008D7EBD"/>
    <w:rsid w:val="008E01AE"/>
    <w:rsid w:val="008E0583"/>
    <w:rsid w:val="008E098A"/>
    <w:rsid w:val="008E0B24"/>
    <w:rsid w:val="008E23ED"/>
    <w:rsid w:val="008E2C4B"/>
    <w:rsid w:val="008E3127"/>
    <w:rsid w:val="008E3291"/>
    <w:rsid w:val="008E32C4"/>
    <w:rsid w:val="008E330C"/>
    <w:rsid w:val="008E3617"/>
    <w:rsid w:val="008E3A7B"/>
    <w:rsid w:val="008E3F6A"/>
    <w:rsid w:val="008E41F1"/>
    <w:rsid w:val="008E42D6"/>
    <w:rsid w:val="008E441A"/>
    <w:rsid w:val="008E46F2"/>
    <w:rsid w:val="008E4C43"/>
    <w:rsid w:val="008E5CAC"/>
    <w:rsid w:val="008E5E76"/>
    <w:rsid w:val="008E5E90"/>
    <w:rsid w:val="008E64CB"/>
    <w:rsid w:val="008F0147"/>
    <w:rsid w:val="008F070F"/>
    <w:rsid w:val="008F088D"/>
    <w:rsid w:val="008F1BB8"/>
    <w:rsid w:val="008F1FD4"/>
    <w:rsid w:val="008F2024"/>
    <w:rsid w:val="008F2086"/>
    <w:rsid w:val="008F20BC"/>
    <w:rsid w:val="008F26ED"/>
    <w:rsid w:val="008F29DC"/>
    <w:rsid w:val="008F412C"/>
    <w:rsid w:val="008F46C0"/>
    <w:rsid w:val="008F5366"/>
    <w:rsid w:val="008F558F"/>
    <w:rsid w:val="008F56E8"/>
    <w:rsid w:val="008F5710"/>
    <w:rsid w:val="008F5A2B"/>
    <w:rsid w:val="008F5B58"/>
    <w:rsid w:val="008F691B"/>
    <w:rsid w:val="008F6AB0"/>
    <w:rsid w:val="008F7BEF"/>
    <w:rsid w:val="009009CA"/>
    <w:rsid w:val="00900E1F"/>
    <w:rsid w:val="009014E5"/>
    <w:rsid w:val="009017BE"/>
    <w:rsid w:val="009020BE"/>
    <w:rsid w:val="009026AB"/>
    <w:rsid w:val="009037AF"/>
    <w:rsid w:val="00903FB4"/>
    <w:rsid w:val="0090463A"/>
    <w:rsid w:val="0090473D"/>
    <w:rsid w:val="00904B93"/>
    <w:rsid w:val="00904D3E"/>
    <w:rsid w:val="009052F9"/>
    <w:rsid w:val="009063BE"/>
    <w:rsid w:val="009072C4"/>
    <w:rsid w:val="00910458"/>
    <w:rsid w:val="00910940"/>
    <w:rsid w:val="009125DC"/>
    <w:rsid w:val="009126E3"/>
    <w:rsid w:val="00912A92"/>
    <w:rsid w:val="00912CB6"/>
    <w:rsid w:val="009135C6"/>
    <w:rsid w:val="00913F72"/>
    <w:rsid w:val="009141F5"/>
    <w:rsid w:val="00914436"/>
    <w:rsid w:val="009144A0"/>
    <w:rsid w:val="009144B6"/>
    <w:rsid w:val="0091453C"/>
    <w:rsid w:val="00914EAB"/>
    <w:rsid w:val="00914EBF"/>
    <w:rsid w:val="009157A2"/>
    <w:rsid w:val="009158D6"/>
    <w:rsid w:val="00915DB6"/>
    <w:rsid w:val="00915F98"/>
    <w:rsid w:val="00916EC9"/>
    <w:rsid w:val="0091709B"/>
    <w:rsid w:val="00917272"/>
    <w:rsid w:val="00917BC0"/>
    <w:rsid w:val="0092082C"/>
    <w:rsid w:val="00920DCF"/>
    <w:rsid w:val="00921391"/>
    <w:rsid w:val="009219DF"/>
    <w:rsid w:val="00921E30"/>
    <w:rsid w:val="0092248A"/>
    <w:rsid w:val="009225E2"/>
    <w:rsid w:val="00922871"/>
    <w:rsid w:val="00922B8F"/>
    <w:rsid w:val="009234F5"/>
    <w:rsid w:val="00924401"/>
    <w:rsid w:val="009244CE"/>
    <w:rsid w:val="009245C3"/>
    <w:rsid w:val="00924C64"/>
    <w:rsid w:val="00924E9C"/>
    <w:rsid w:val="009254C5"/>
    <w:rsid w:val="00925BCE"/>
    <w:rsid w:val="00925D65"/>
    <w:rsid w:val="00926711"/>
    <w:rsid w:val="0092683D"/>
    <w:rsid w:val="00927866"/>
    <w:rsid w:val="00927B97"/>
    <w:rsid w:val="00930257"/>
    <w:rsid w:val="009305D4"/>
    <w:rsid w:val="00930A1A"/>
    <w:rsid w:val="00930A6D"/>
    <w:rsid w:val="00931587"/>
    <w:rsid w:val="0093161D"/>
    <w:rsid w:val="00931F31"/>
    <w:rsid w:val="0093271B"/>
    <w:rsid w:val="00932AF2"/>
    <w:rsid w:val="00932B46"/>
    <w:rsid w:val="0093368A"/>
    <w:rsid w:val="00934122"/>
    <w:rsid w:val="0093447B"/>
    <w:rsid w:val="00934E16"/>
    <w:rsid w:val="009355D7"/>
    <w:rsid w:val="00935CA2"/>
    <w:rsid w:val="00935FE2"/>
    <w:rsid w:val="00936319"/>
    <w:rsid w:val="00936739"/>
    <w:rsid w:val="009369FD"/>
    <w:rsid w:val="009374CC"/>
    <w:rsid w:val="0093763E"/>
    <w:rsid w:val="009377EE"/>
    <w:rsid w:val="00937B96"/>
    <w:rsid w:val="00937C6D"/>
    <w:rsid w:val="00940054"/>
    <w:rsid w:val="00940A9A"/>
    <w:rsid w:val="00940D07"/>
    <w:rsid w:val="00941A5F"/>
    <w:rsid w:val="0094224D"/>
    <w:rsid w:val="00942323"/>
    <w:rsid w:val="00942668"/>
    <w:rsid w:val="00942B25"/>
    <w:rsid w:val="00942E65"/>
    <w:rsid w:val="00944A25"/>
    <w:rsid w:val="00944C1B"/>
    <w:rsid w:val="00944EB3"/>
    <w:rsid w:val="00944ED9"/>
    <w:rsid w:val="009452B3"/>
    <w:rsid w:val="009463A8"/>
    <w:rsid w:val="00946C58"/>
    <w:rsid w:val="00947B04"/>
    <w:rsid w:val="00950485"/>
    <w:rsid w:val="009506A6"/>
    <w:rsid w:val="00950D68"/>
    <w:rsid w:val="00951055"/>
    <w:rsid w:val="009512F8"/>
    <w:rsid w:val="0095133B"/>
    <w:rsid w:val="00951BEA"/>
    <w:rsid w:val="009522D9"/>
    <w:rsid w:val="00952440"/>
    <w:rsid w:val="00952795"/>
    <w:rsid w:val="009547B1"/>
    <w:rsid w:val="009572F6"/>
    <w:rsid w:val="00957849"/>
    <w:rsid w:val="00960405"/>
    <w:rsid w:val="00960FE1"/>
    <w:rsid w:val="009613F5"/>
    <w:rsid w:val="009619F4"/>
    <w:rsid w:val="00961C7C"/>
    <w:rsid w:val="00961D23"/>
    <w:rsid w:val="009625E3"/>
    <w:rsid w:val="00962C04"/>
    <w:rsid w:val="00963020"/>
    <w:rsid w:val="009631AD"/>
    <w:rsid w:val="00963664"/>
    <w:rsid w:val="009637E4"/>
    <w:rsid w:val="00963D4A"/>
    <w:rsid w:val="00964185"/>
    <w:rsid w:val="009646C5"/>
    <w:rsid w:val="00964774"/>
    <w:rsid w:val="00964808"/>
    <w:rsid w:val="00964AFB"/>
    <w:rsid w:val="00964CD0"/>
    <w:rsid w:val="00965428"/>
    <w:rsid w:val="009659EA"/>
    <w:rsid w:val="009665DD"/>
    <w:rsid w:val="009669C7"/>
    <w:rsid w:val="00966FB9"/>
    <w:rsid w:val="00967D46"/>
    <w:rsid w:val="009700E1"/>
    <w:rsid w:val="00971013"/>
    <w:rsid w:val="00971D3E"/>
    <w:rsid w:val="009727D9"/>
    <w:rsid w:val="00973811"/>
    <w:rsid w:val="0097433A"/>
    <w:rsid w:val="0097498B"/>
    <w:rsid w:val="00975C69"/>
    <w:rsid w:val="009766CD"/>
    <w:rsid w:val="0097691A"/>
    <w:rsid w:val="00976BA2"/>
    <w:rsid w:val="009772A7"/>
    <w:rsid w:val="009777C0"/>
    <w:rsid w:val="00977AC6"/>
    <w:rsid w:val="00977B14"/>
    <w:rsid w:val="009800F7"/>
    <w:rsid w:val="00980B70"/>
    <w:rsid w:val="00980F63"/>
    <w:rsid w:val="009811B2"/>
    <w:rsid w:val="0098157D"/>
    <w:rsid w:val="00981874"/>
    <w:rsid w:val="009819B7"/>
    <w:rsid w:val="00981C62"/>
    <w:rsid w:val="00981CA4"/>
    <w:rsid w:val="009820A6"/>
    <w:rsid w:val="00982B0D"/>
    <w:rsid w:val="0098379F"/>
    <w:rsid w:val="009838C6"/>
    <w:rsid w:val="00984586"/>
    <w:rsid w:val="009855A9"/>
    <w:rsid w:val="00985FBF"/>
    <w:rsid w:val="00986070"/>
    <w:rsid w:val="00986736"/>
    <w:rsid w:val="00986EE2"/>
    <w:rsid w:val="00986F3D"/>
    <w:rsid w:val="00987758"/>
    <w:rsid w:val="00990636"/>
    <w:rsid w:val="00990ADD"/>
    <w:rsid w:val="009912D9"/>
    <w:rsid w:val="00992F31"/>
    <w:rsid w:val="00993524"/>
    <w:rsid w:val="0099385F"/>
    <w:rsid w:val="00993A1A"/>
    <w:rsid w:val="00994BA9"/>
    <w:rsid w:val="00995F09"/>
    <w:rsid w:val="00996A67"/>
    <w:rsid w:val="00996D8F"/>
    <w:rsid w:val="00996EB4"/>
    <w:rsid w:val="00996EC5"/>
    <w:rsid w:val="00996FC2"/>
    <w:rsid w:val="00997099"/>
    <w:rsid w:val="009A0883"/>
    <w:rsid w:val="009A15C6"/>
    <w:rsid w:val="009A1763"/>
    <w:rsid w:val="009A1C50"/>
    <w:rsid w:val="009A1EB4"/>
    <w:rsid w:val="009A2972"/>
    <w:rsid w:val="009A2AE4"/>
    <w:rsid w:val="009A2B10"/>
    <w:rsid w:val="009A2D55"/>
    <w:rsid w:val="009A2E67"/>
    <w:rsid w:val="009A3137"/>
    <w:rsid w:val="009A34EF"/>
    <w:rsid w:val="009A35F6"/>
    <w:rsid w:val="009A3AD3"/>
    <w:rsid w:val="009A42FA"/>
    <w:rsid w:val="009A5055"/>
    <w:rsid w:val="009A6952"/>
    <w:rsid w:val="009A6C6A"/>
    <w:rsid w:val="009A6C97"/>
    <w:rsid w:val="009A7213"/>
    <w:rsid w:val="009A72C6"/>
    <w:rsid w:val="009A73EA"/>
    <w:rsid w:val="009A79F9"/>
    <w:rsid w:val="009A7C66"/>
    <w:rsid w:val="009B0D66"/>
    <w:rsid w:val="009B0FD7"/>
    <w:rsid w:val="009B17EE"/>
    <w:rsid w:val="009B2E58"/>
    <w:rsid w:val="009B3BFF"/>
    <w:rsid w:val="009B42DE"/>
    <w:rsid w:val="009B4D45"/>
    <w:rsid w:val="009B54EE"/>
    <w:rsid w:val="009B6302"/>
    <w:rsid w:val="009B65AB"/>
    <w:rsid w:val="009B6B16"/>
    <w:rsid w:val="009B6BC5"/>
    <w:rsid w:val="009B79BE"/>
    <w:rsid w:val="009B7E9B"/>
    <w:rsid w:val="009B7F26"/>
    <w:rsid w:val="009B7FE2"/>
    <w:rsid w:val="009C0007"/>
    <w:rsid w:val="009C0FD8"/>
    <w:rsid w:val="009C16E2"/>
    <w:rsid w:val="009C2225"/>
    <w:rsid w:val="009C2BBA"/>
    <w:rsid w:val="009C3AE5"/>
    <w:rsid w:val="009C43BF"/>
    <w:rsid w:val="009C4AD3"/>
    <w:rsid w:val="009C4AF3"/>
    <w:rsid w:val="009C4CC5"/>
    <w:rsid w:val="009C51BC"/>
    <w:rsid w:val="009C55CF"/>
    <w:rsid w:val="009C5828"/>
    <w:rsid w:val="009C6354"/>
    <w:rsid w:val="009C651F"/>
    <w:rsid w:val="009C6626"/>
    <w:rsid w:val="009C6B45"/>
    <w:rsid w:val="009C74BC"/>
    <w:rsid w:val="009C794A"/>
    <w:rsid w:val="009C7B24"/>
    <w:rsid w:val="009C7BF8"/>
    <w:rsid w:val="009D0C41"/>
    <w:rsid w:val="009D0C8B"/>
    <w:rsid w:val="009D0C91"/>
    <w:rsid w:val="009D0E2C"/>
    <w:rsid w:val="009D1CE7"/>
    <w:rsid w:val="009D1D25"/>
    <w:rsid w:val="009D2098"/>
    <w:rsid w:val="009D244B"/>
    <w:rsid w:val="009D2EE9"/>
    <w:rsid w:val="009D2F10"/>
    <w:rsid w:val="009D3031"/>
    <w:rsid w:val="009D3368"/>
    <w:rsid w:val="009D3DC4"/>
    <w:rsid w:val="009D4491"/>
    <w:rsid w:val="009D496B"/>
    <w:rsid w:val="009D4980"/>
    <w:rsid w:val="009D5747"/>
    <w:rsid w:val="009D5966"/>
    <w:rsid w:val="009D59A4"/>
    <w:rsid w:val="009D612E"/>
    <w:rsid w:val="009D7A98"/>
    <w:rsid w:val="009D7C1C"/>
    <w:rsid w:val="009E020B"/>
    <w:rsid w:val="009E0505"/>
    <w:rsid w:val="009E0637"/>
    <w:rsid w:val="009E0C15"/>
    <w:rsid w:val="009E0CA3"/>
    <w:rsid w:val="009E0E23"/>
    <w:rsid w:val="009E1455"/>
    <w:rsid w:val="009E1A7C"/>
    <w:rsid w:val="009E1AFC"/>
    <w:rsid w:val="009E20E5"/>
    <w:rsid w:val="009E21BD"/>
    <w:rsid w:val="009E2285"/>
    <w:rsid w:val="009E23FA"/>
    <w:rsid w:val="009E2449"/>
    <w:rsid w:val="009E249A"/>
    <w:rsid w:val="009E29CB"/>
    <w:rsid w:val="009E2A42"/>
    <w:rsid w:val="009E2C46"/>
    <w:rsid w:val="009E3048"/>
    <w:rsid w:val="009E3184"/>
    <w:rsid w:val="009E32F1"/>
    <w:rsid w:val="009E398C"/>
    <w:rsid w:val="009E41DB"/>
    <w:rsid w:val="009E4715"/>
    <w:rsid w:val="009E4A08"/>
    <w:rsid w:val="009E5213"/>
    <w:rsid w:val="009E5897"/>
    <w:rsid w:val="009E5C3C"/>
    <w:rsid w:val="009E5D67"/>
    <w:rsid w:val="009E6489"/>
    <w:rsid w:val="009E64CE"/>
    <w:rsid w:val="009E6635"/>
    <w:rsid w:val="009E73C4"/>
    <w:rsid w:val="009E7E5C"/>
    <w:rsid w:val="009F001C"/>
    <w:rsid w:val="009F01FE"/>
    <w:rsid w:val="009F06E0"/>
    <w:rsid w:val="009F0B76"/>
    <w:rsid w:val="009F0C46"/>
    <w:rsid w:val="009F0FAB"/>
    <w:rsid w:val="009F11F4"/>
    <w:rsid w:val="009F12EB"/>
    <w:rsid w:val="009F16B3"/>
    <w:rsid w:val="009F186D"/>
    <w:rsid w:val="009F1882"/>
    <w:rsid w:val="009F2A0B"/>
    <w:rsid w:val="009F35A5"/>
    <w:rsid w:val="009F4A81"/>
    <w:rsid w:val="009F4B74"/>
    <w:rsid w:val="009F4E9D"/>
    <w:rsid w:val="009F5E5B"/>
    <w:rsid w:val="009F5E71"/>
    <w:rsid w:val="009F6445"/>
    <w:rsid w:val="009F6446"/>
    <w:rsid w:val="009F6C29"/>
    <w:rsid w:val="009F70A1"/>
    <w:rsid w:val="009F788E"/>
    <w:rsid w:val="00A00644"/>
    <w:rsid w:val="00A008AA"/>
    <w:rsid w:val="00A014C7"/>
    <w:rsid w:val="00A02917"/>
    <w:rsid w:val="00A02990"/>
    <w:rsid w:val="00A03A70"/>
    <w:rsid w:val="00A03E3F"/>
    <w:rsid w:val="00A03F94"/>
    <w:rsid w:val="00A04496"/>
    <w:rsid w:val="00A04A97"/>
    <w:rsid w:val="00A04B72"/>
    <w:rsid w:val="00A05118"/>
    <w:rsid w:val="00A05156"/>
    <w:rsid w:val="00A057A8"/>
    <w:rsid w:val="00A069CC"/>
    <w:rsid w:val="00A07624"/>
    <w:rsid w:val="00A077B1"/>
    <w:rsid w:val="00A10912"/>
    <w:rsid w:val="00A1095E"/>
    <w:rsid w:val="00A11009"/>
    <w:rsid w:val="00A1182A"/>
    <w:rsid w:val="00A12304"/>
    <w:rsid w:val="00A123B6"/>
    <w:rsid w:val="00A128AA"/>
    <w:rsid w:val="00A12EE0"/>
    <w:rsid w:val="00A13F2E"/>
    <w:rsid w:val="00A13FD2"/>
    <w:rsid w:val="00A14A61"/>
    <w:rsid w:val="00A14DC7"/>
    <w:rsid w:val="00A14E84"/>
    <w:rsid w:val="00A15444"/>
    <w:rsid w:val="00A158CB"/>
    <w:rsid w:val="00A15A88"/>
    <w:rsid w:val="00A16965"/>
    <w:rsid w:val="00A1705D"/>
    <w:rsid w:val="00A175FB"/>
    <w:rsid w:val="00A17CAE"/>
    <w:rsid w:val="00A202B0"/>
    <w:rsid w:val="00A2056A"/>
    <w:rsid w:val="00A20CDC"/>
    <w:rsid w:val="00A21013"/>
    <w:rsid w:val="00A2119D"/>
    <w:rsid w:val="00A21257"/>
    <w:rsid w:val="00A2162B"/>
    <w:rsid w:val="00A2191F"/>
    <w:rsid w:val="00A21A42"/>
    <w:rsid w:val="00A2249C"/>
    <w:rsid w:val="00A22987"/>
    <w:rsid w:val="00A229E7"/>
    <w:rsid w:val="00A22D8D"/>
    <w:rsid w:val="00A239C5"/>
    <w:rsid w:val="00A23ADE"/>
    <w:rsid w:val="00A24449"/>
    <w:rsid w:val="00A24AB1"/>
    <w:rsid w:val="00A24AC6"/>
    <w:rsid w:val="00A24BD6"/>
    <w:rsid w:val="00A24EEC"/>
    <w:rsid w:val="00A25736"/>
    <w:rsid w:val="00A2647A"/>
    <w:rsid w:val="00A26E59"/>
    <w:rsid w:val="00A270C9"/>
    <w:rsid w:val="00A27B95"/>
    <w:rsid w:val="00A27C5F"/>
    <w:rsid w:val="00A30542"/>
    <w:rsid w:val="00A309F8"/>
    <w:rsid w:val="00A30B1F"/>
    <w:rsid w:val="00A31288"/>
    <w:rsid w:val="00A316CB"/>
    <w:rsid w:val="00A31999"/>
    <w:rsid w:val="00A321D8"/>
    <w:rsid w:val="00A3225B"/>
    <w:rsid w:val="00A32652"/>
    <w:rsid w:val="00A32A6C"/>
    <w:rsid w:val="00A33424"/>
    <w:rsid w:val="00A33922"/>
    <w:rsid w:val="00A33AC0"/>
    <w:rsid w:val="00A35A83"/>
    <w:rsid w:val="00A35B5E"/>
    <w:rsid w:val="00A36794"/>
    <w:rsid w:val="00A36798"/>
    <w:rsid w:val="00A367FA"/>
    <w:rsid w:val="00A36871"/>
    <w:rsid w:val="00A37B7C"/>
    <w:rsid w:val="00A37C24"/>
    <w:rsid w:val="00A37E2A"/>
    <w:rsid w:val="00A4095F"/>
    <w:rsid w:val="00A41ECD"/>
    <w:rsid w:val="00A42047"/>
    <w:rsid w:val="00A4245B"/>
    <w:rsid w:val="00A42E9C"/>
    <w:rsid w:val="00A434ED"/>
    <w:rsid w:val="00A4355A"/>
    <w:rsid w:val="00A43756"/>
    <w:rsid w:val="00A439BD"/>
    <w:rsid w:val="00A43FF4"/>
    <w:rsid w:val="00A44A7F"/>
    <w:rsid w:val="00A44CAA"/>
    <w:rsid w:val="00A45F6D"/>
    <w:rsid w:val="00A476B2"/>
    <w:rsid w:val="00A47BB6"/>
    <w:rsid w:val="00A50021"/>
    <w:rsid w:val="00A503EB"/>
    <w:rsid w:val="00A5052A"/>
    <w:rsid w:val="00A5053C"/>
    <w:rsid w:val="00A50619"/>
    <w:rsid w:val="00A51871"/>
    <w:rsid w:val="00A51D01"/>
    <w:rsid w:val="00A521BD"/>
    <w:rsid w:val="00A525F6"/>
    <w:rsid w:val="00A52A51"/>
    <w:rsid w:val="00A52FB2"/>
    <w:rsid w:val="00A53CBC"/>
    <w:rsid w:val="00A55104"/>
    <w:rsid w:val="00A55508"/>
    <w:rsid w:val="00A5553C"/>
    <w:rsid w:val="00A5570E"/>
    <w:rsid w:val="00A6059F"/>
    <w:rsid w:val="00A60693"/>
    <w:rsid w:val="00A60806"/>
    <w:rsid w:val="00A60B76"/>
    <w:rsid w:val="00A6155C"/>
    <w:rsid w:val="00A620E3"/>
    <w:rsid w:val="00A62285"/>
    <w:rsid w:val="00A62530"/>
    <w:rsid w:val="00A62A51"/>
    <w:rsid w:val="00A63603"/>
    <w:rsid w:val="00A63B24"/>
    <w:rsid w:val="00A63C66"/>
    <w:rsid w:val="00A6473B"/>
    <w:rsid w:val="00A666DB"/>
    <w:rsid w:val="00A66E02"/>
    <w:rsid w:val="00A66F9C"/>
    <w:rsid w:val="00A6758A"/>
    <w:rsid w:val="00A7031D"/>
    <w:rsid w:val="00A70EC9"/>
    <w:rsid w:val="00A710E5"/>
    <w:rsid w:val="00A7189E"/>
    <w:rsid w:val="00A723C2"/>
    <w:rsid w:val="00A732FE"/>
    <w:rsid w:val="00A737A3"/>
    <w:rsid w:val="00A7438D"/>
    <w:rsid w:val="00A74D56"/>
    <w:rsid w:val="00A750B2"/>
    <w:rsid w:val="00A75DD8"/>
    <w:rsid w:val="00A76305"/>
    <w:rsid w:val="00A76564"/>
    <w:rsid w:val="00A76B0E"/>
    <w:rsid w:val="00A76BFC"/>
    <w:rsid w:val="00A76DCD"/>
    <w:rsid w:val="00A772A6"/>
    <w:rsid w:val="00A776B2"/>
    <w:rsid w:val="00A77863"/>
    <w:rsid w:val="00A77A24"/>
    <w:rsid w:val="00A77C9B"/>
    <w:rsid w:val="00A80576"/>
    <w:rsid w:val="00A80588"/>
    <w:rsid w:val="00A80AD3"/>
    <w:rsid w:val="00A82622"/>
    <w:rsid w:val="00A837B2"/>
    <w:rsid w:val="00A83985"/>
    <w:rsid w:val="00A83B77"/>
    <w:rsid w:val="00A83FB3"/>
    <w:rsid w:val="00A849B3"/>
    <w:rsid w:val="00A84AAF"/>
    <w:rsid w:val="00A84C16"/>
    <w:rsid w:val="00A84D68"/>
    <w:rsid w:val="00A858A5"/>
    <w:rsid w:val="00A85EF3"/>
    <w:rsid w:val="00A8745C"/>
    <w:rsid w:val="00A8757D"/>
    <w:rsid w:val="00A90156"/>
    <w:rsid w:val="00A904D5"/>
    <w:rsid w:val="00A9135D"/>
    <w:rsid w:val="00A916B7"/>
    <w:rsid w:val="00A91A64"/>
    <w:rsid w:val="00A9220C"/>
    <w:rsid w:val="00A922D3"/>
    <w:rsid w:val="00A924A9"/>
    <w:rsid w:val="00A93401"/>
    <w:rsid w:val="00A93865"/>
    <w:rsid w:val="00A93CFF"/>
    <w:rsid w:val="00A9426B"/>
    <w:rsid w:val="00A94A57"/>
    <w:rsid w:val="00A950AA"/>
    <w:rsid w:val="00A95816"/>
    <w:rsid w:val="00A958A6"/>
    <w:rsid w:val="00A95B0E"/>
    <w:rsid w:val="00A97416"/>
    <w:rsid w:val="00A97E82"/>
    <w:rsid w:val="00AA0229"/>
    <w:rsid w:val="00AA0311"/>
    <w:rsid w:val="00AA0399"/>
    <w:rsid w:val="00AA05CA"/>
    <w:rsid w:val="00AA0620"/>
    <w:rsid w:val="00AA0BAD"/>
    <w:rsid w:val="00AA0D60"/>
    <w:rsid w:val="00AA0E48"/>
    <w:rsid w:val="00AA11EC"/>
    <w:rsid w:val="00AA221E"/>
    <w:rsid w:val="00AA2981"/>
    <w:rsid w:val="00AA2E59"/>
    <w:rsid w:val="00AA3A10"/>
    <w:rsid w:val="00AA3C29"/>
    <w:rsid w:val="00AA3F8E"/>
    <w:rsid w:val="00AA3FA3"/>
    <w:rsid w:val="00AA41BF"/>
    <w:rsid w:val="00AA4A0F"/>
    <w:rsid w:val="00AA4CB7"/>
    <w:rsid w:val="00AA4F09"/>
    <w:rsid w:val="00AA4F3E"/>
    <w:rsid w:val="00AA5097"/>
    <w:rsid w:val="00AA52BB"/>
    <w:rsid w:val="00AA5A98"/>
    <w:rsid w:val="00AA5E47"/>
    <w:rsid w:val="00AA5F67"/>
    <w:rsid w:val="00AA67EC"/>
    <w:rsid w:val="00AA69F5"/>
    <w:rsid w:val="00AA6BEC"/>
    <w:rsid w:val="00AA74CC"/>
    <w:rsid w:val="00AA7572"/>
    <w:rsid w:val="00AA7EF1"/>
    <w:rsid w:val="00AB04E9"/>
    <w:rsid w:val="00AB07C6"/>
    <w:rsid w:val="00AB07D2"/>
    <w:rsid w:val="00AB083A"/>
    <w:rsid w:val="00AB1D87"/>
    <w:rsid w:val="00AB21FE"/>
    <w:rsid w:val="00AB25E8"/>
    <w:rsid w:val="00AB2E16"/>
    <w:rsid w:val="00AB3C5A"/>
    <w:rsid w:val="00AB435C"/>
    <w:rsid w:val="00AB5455"/>
    <w:rsid w:val="00AB560B"/>
    <w:rsid w:val="00AB5867"/>
    <w:rsid w:val="00AB6316"/>
    <w:rsid w:val="00AB68EB"/>
    <w:rsid w:val="00AB6EC4"/>
    <w:rsid w:val="00AB6F32"/>
    <w:rsid w:val="00AB7323"/>
    <w:rsid w:val="00AB74FE"/>
    <w:rsid w:val="00AB7635"/>
    <w:rsid w:val="00AB7F75"/>
    <w:rsid w:val="00AC040E"/>
    <w:rsid w:val="00AC0AF5"/>
    <w:rsid w:val="00AC12B3"/>
    <w:rsid w:val="00AC1BD3"/>
    <w:rsid w:val="00AC1E6E"/>
    <w:rsid w:val="00AC1F86"/>
    <w:rsid w:val="00AC2556"/>
    <w:rsid w:val="00AC39DD"/>
    <w:rsid w:val="00AC4B17"/>
    <w:rsid w:val="00AC4B71"/>
    <w:rsid w:val="00AC5108"/>
    <w:rsid w:val="00AC54D5"/>
    <w:rsid w:val="00AC5568"/>
    <w:rsid w:val="00AC585A"/>
    <w:rsid w:val="00AC5ACF"/>
    <w:rsid w:val="00AC6213"/>
    <w:rsid w:val="00AC66AE"/>
    <w:rsid w:val="00AC67CE"/>
    <w:rsid w:val="00AC69C7"/>
    <w:rsid w:val="00AC6A65"/>
    <w:rsid w:val="00AC6B63"/>
    <w:rsid w:val="00AC78F8"/>
    <w:rsid w:val="00AC7D7B"/>
    <w:rsid w:val="00AD0550"/>
    <w:rsid w:val="00AD067E"/>
    <w:rsid w:val="00AD0706"/>
    <w:rsid w:val="00AD0877"/>
    <w:rsid w:val="00AD1915"/>
    <w:rsid w:val="00AD1A86"/>
    <w:rsid w:val="00AD1D2C"/>
    <w:rsid w:val="00AD2266"/>
    <w:rsid w:val="00AD23A4"/>
    <w:rsid w:val="00AD2929"/>
    <w:rsid w:val="00AD3301"/>
    <w:rsid w:val="00AD367C"/>
    <w:rsid w:val="00AD36F9"/>
    <w:rsid w:val="00AD3862"/>
    <w:rsid w:val="00AD421D"/>
    <w:rsid w:val="00AD4A82"/>
    <w:rsid w:val="00AD4B6B"/>
    <w:rsid w:val="00AD4BE3"/>
    <w:rsid w:val="00AD5256"/>
    <w:rsid w:val="00AD542A"/>
    <w:rsid w:val="00AD57B7"/>
    <w:rsid w:val="00AD5A81"/>
    <w:rsid w:val="00AD5C3A"/>
    <w:rsid w:val="00AD605D"/>
    <w:rsid w:val="00AD6086"/>
    <w:rsid w:val="00AD67A8"/>
    <w:rsid w:val="00AD6B3A"/>
    <w:rsid w:val="00AE0583"/>
    <w:rsid w:val="00AE07C9"/>
    <w:rsid w:val="00AE1604"/>
    <w:rsid w:val="00AE1903"/>
    <w:rsid w:val="00AE21AE"/>
    <w:rsid w:val="00AE458B"/>
    <w:rsid w:val="00AE4D94"/>
    <w:rsid w:val="00AE57F6"/>
    <w:rsid w:val="00AE5B46"/>
    <w:rsid w:val="00AE6030"/>
    <w:rsid w:val="00AE77A8"/>
    <w:rsid w:val="00AE7AB3"/>
    <w:rsid w:val="00AE7DFE"/>
    <w:rsid w:val="00AF0470"/>
    <w:rsid w:val="00AF069E"/>
    <w:rsid w:val="00AF09B7"/>
    <w:rsid w:val="00AF09DB"/>
    <w:rsid w:val="00AF0D1A"/>
    <w:rsid w:val="00AF2125"/>
    <w:rsid w:val="00AF219D"/>
    <w:rsid w:val="00AF2A1C"/>
    <w:rsid w:val="00AF3083"/>
    <w:rsid w:val="00AF335C"/>
    <w:rsid w:val="00AF3542"/>
    <w:rsid w:val="00AF3EFC"/>
    <w:rsid w:val="00AF489B"/>
    <w:rsid w:val="00AF4E00"/>
    <w:rsid w:val="00AF5080"/>
    <w:rsid w:val="00AF559A"/>
    <w:rsid w:val="00AF5668"/>
    <w:rsid w:val="00AF6A62"/>
    <w:rsid w:val="00AF6AF3"/>
    <w:rsid w:val="00AF6CC6"/>
    <w:rsid w:val="00AF6EB5"/>
    <w:rsid w:val="00AF6F97"/>
    <w:rsid w:val="00AF74A5"/>
    <w:rsid w:val="00AF7571"/>
    <w:rsid w:val="00AF75C1"/>
    <w:rsid w:val="00AF7634"/>
    <w:rsid w:val="00AF76B0"/>
    <w:rsid w:val="00AF78AC"/>
    <w:rsid w:val="00B007B0"/>
    <w:rsid w:val="00B009FD"/>
    <w:rsid w:val="00B02088"/>
    <w:rsid w:val="00B03357"/>
    <w:rsid w:val="00B03ADD"/>
    <w:rsid w:val="00B05465"/>
    <w:rsid w:val="00B05B8E"/>
    <w:rsid w:val="00B05DBD"/>
    <w:rsid w:val="00B0621D"/>
    <w:rsid w:val="00B106B9"/>
    <w:rsid w:val="00B10B61"/>
    <w:rsid w:val="00B10C47"/>
    <w:rsid w:val="00B10CDB"/>
    <w:rsid w:val="00B11E7C"/>
    <w:rsid w:val="00B12046"/>
    <w:rsid w:val="00B126CE"/>
    <w:rsid w:val="00B13238"/>
    <w:rsid w:val="00B13306"/>
    <w:rsid w:val="00B1358E"/>
    <w:rsid w:val="00B13675"/>
    <w:rsid w:val="00B13A51"/>
    <w:rsid w:val="00B13AD7"/>
    <w:rsid w:val="00B13EA5"/>
    <w:rsid w:val="00B14864"/>
    <w:rsid w:val="00B15484"/>
    <w:rsid w:val="00B15F5D"/>
    <w:rsid w:val="00B16108"/>
    <w:rsid w:val="00B162FB"/>
    <w:rsid w:val="00B16B81"/>
    <w:rsid w:val="00B1728B"/>
    <w:rsid w:val="00B177A4"/>
    <w:rsid w:val="00B2036D"/>
    <w:rsid w:val="00B2056C"/>
    <w:rsid w:val="00B21ABD"/>
    <w:rsid w:val="00B224AA"/>
    <w:rsid w:val="00B23534"/>
    <w:rsid w:val="00B23547"/>
    <w:rsid w:val="00B24242"/>
    <w:rsid w:val="00B247C6"/>
    <w:rsid w:val="00B24880"/>
    <w:rsid w:val="00B25802"/>
    <w:rsid w:val="00B2596A"/>
    <w:rsid w:val="00B25F06"/>
    <w:rsid w:val="00B2718B"/>
    <w:rsid w:val="00B303A2"/>
    <w:rsid w:val="00B308A1"/>
    <w:rsid w:val="00B30ED6"/>
    <w:rsid w:val="00B31936"/>
    <w:rsid w:val="00B31ACD"/>
    <w:rsid w:val="00B31DB0"/>
    <w:rsid w:val="00B321BC"/>
    <w:rsid w:val="00B32670"/>
    <w:rsid w:val="00B336CF"/>
    <w:rsid w:val="00B33918"/>
    <w:rsid w:val="00B339E0"/>
    <w:rsid w:val="00B33ABF"/>
    <w:rsid w:val="00B33F64"/>
    <w:rsid w:val="00B345D8"/>
    <w:rsid w:val="00B3491A"/>
    <w:rsid w:val="00B34FD6"/>
    <w:rsid w:val="00B355D1"/>
    <w:rsid w:val="00B35B15"/>
    <w:rsid w:val="00B35D94"/>
    <w:rsid w:val="00B35E4D"/>
    <w:rsid w:val="00B36075"/>
    <w:rsid w:val="00B36179"/>
    <w:rsid w:val="00B364E8"/>
    <w:rsid w:val="00B36741"/>
    <w:rsid w:val="00B37482"/>
    <w:rsid w:val="00B37C11"/>
    <w:rsid w:val="00B37F89"/>
    <w:rsid w:val="00B40434"/>
    <w:rsid w:val="00B40622"/>
    <w:rsid w:val="00B4084C"/>
    <w:rsid w:val="00B40C43"/>
    <w:rsid w:val="00B40C66"/>
    <w:rsid w:val="00B41FAE"/>
    <w:rsid w:val="00B42819"/>
    <w:rsid w:val="00B43227"/>
    <w:rsid w:val="00B43291"/>
    <w:rsid w:val="00B437EF"/>
    <w:rsid w:val="00B43D30"/>
    <w:rsid w:val="00B44A4C"/>
    <w:rsid w:val="00B4514E"/>
    <w:rsid w:val="00B45204"/>
    <w:rsid w:val="00B4524D"/>
    <w:rsid w:val="00B455BF"/>
    <w:rsid w:val="00B45E70"/>
    <w:rsid w:val="00B45FCB"/>
    <w:rsid w:val="00B45FFD"/>
    <w:rsid w:val="00B46D10"/>
    <w:rsid w:val="00B46D39"/>
    <w:rsid w:val="00B46E81"/>
    <w:rsid w:val="00B4727B"/>
    <w:rsid w:val="00B476F6"/>
    <w:rsid w:val="00B479AE"/>
    <w:rsid w:val="00B47DDE"/>
    <w:rsid w:val="00B5016F"/>
    <w:rsid w:val="00B5076E"/>
    <w:rsid w:val="00B50AC7"/>
    <w:rsid w:val="00B51394"/>
    <w:rsid w:val="00B51410"/>
    <w:rsid w:val="00B51575"/>
    <w:rsid w:val="00B51C6C"/>
    <w:rsid w:val="00B51CCB"/>
    <w:rsid w:val="00B51E6D"/>
    <w:rsid w:val="00B526C8"/>
    <w:rsid w:val="00B52BD5"/>
    <w:rsid w:val="00B52EF3"/>
    <w:rsid w:val="00B53CC1"/>
    <w:rsid w:val="00B5479E"/>
    <w:rsid w:val="00B54836"/>
    <w:rsid w:val="00B54C06"/>
    <w:rsid w:val="00B55914"/>
    <w:rsid w:val="00B55F8D"/>
    <w:rsid w:val="00B5636B"/>
    <w:rsid w:val="00B564BC"/>
    <w:rsid w:val="00B56755"/>
    <w:rsid w:val="00B56B80"/>
    <w:rsid w:val="00B56BB9"/>
    <w:rsid w:val="00B56C2E"/>
    <w:rsid w:val="00B57965"/>
    <w:rsid w:val="00B57B43"/>
    <w:rsid w:val="00B57F6A"/>
    <w:rsid w:val="00B6006A"/>
    <w:rsid w:val="00B60423"/>
    <w:rsid w:val="00B60FB2"/>
    <w:rsid w:val="00B612DF"/>
    <w:rsid w:val="00B613E8"/>
    <w:rsid w:val="00B613F6"/>
    <w:rsid w:val="00B6205B"/>
    <w:rsid w:val="00B629D5"/>
    <w:rsid w:val="00B62C46"/>
    <w:rsid w:val="00B63BAE"/>
    <w:rsid w:val="00B63E32"/>
    <w:rsid w:val="00B63F95"/>
    <w:rsid w:val="00B64001"/>
    <w:rsid w:val="00B6465E"/>
    <w:rsid w:val="00B6490E"/>
    <w:rsid w:val="00B649F6"/>
    <w:rsid w:val="00B653C5"/>
    <w:rsid w:val="00B653E1"/>
    <w:rsid w:val="00B6543A"/>
    <w:rsid w:val="00B65D2F"/>
    <w:rsid w:val="00B66368"/>
    <w:rsid w:val="00B668CC"/>
    <w:rsid w:val="00B66C3D"/>
    <w:rsid w:val="00B66D0E"/>
    <w:rsid w:val="00B67051"/>
    <w:rsid w:val="00B67601"/>
    <w:rsid w:val="00B67D8D"/>
    <w:rsid w:val="00B705E7"/>
    <w:rsid w:val="00B70C9D"/>
    <w:rsid w:val="00B70F3B"/>
    <w:rsid w:val="00B7154A"/>
    <w:rsid w:val="00B72051"/>
    <w:rsid w:val="00B7229E"/>
    <w:rsid w:val="00B724CF"/>
    <w:rsid w:val="00B73849"/>
    <w:rsid w:val="00B75564"/>
    <w:rsid w:val="00B75736"/>
    <w:rsid w:val="00B76301"/>
    <w:rsid w:val="00B76B7C"/>
    <w:rsid w:val="00B7743B"/>
    <w:rsid w:val="00B801EB"/>
    <w:rsid w:val="00B80596"/>
    <w:rsid w:val="00B8084C"/>
    <w:rsid w:val="00B80CED"/>
    <w:rsid w:val="00B8155A"/>
    <w:rsid w:val="00B81CFA"/>
    <w:rsid w:val="00B8202A"/>
    <w:rsid w:val="00B82BAF"/>
    <w:rsid w:val="00B834A5"/>
    <w:rsid w:val="00B843A8"/>
    <w:rsid w:val="00B84AC9"/>
    <w:rsid w:val="00B84D58"/>
    <w:rsid w:val="00B84EE2"/>
    <w:rsid w:val="00B850F8"/>
    <w:rsid w:val="00B85419"/>
    <w:rsid w:val="00B856CA"/>
    <w:rsid w:val="00B8573E"/>
    <w:rsid w:val="00B85828"/>
    <w:rsid w:val="00B8679C"/>
    <w:rsid w:val="00B869F7"/>
    <w:rsid w:val="00B86D16"/>
    <w:rsid w:val="00B86EA6"/>
    <w:rsid w:val="00B875E3"/>
    <w:rsid w:val="00B87EA1"/>
    <w:rsid w:val="00B90185"/>
    <w:rsid w:val="00B90702"/>
    <w:rsid w:val="00B90F3F"/>
    <w:rsid w:val="00B912C6"/>
    <w:rsid w:val="00B91877"/>
    <w:rsid w:val="00B91C5E"/>
    <w:rsid w:val="00B92E8C"/>
    <w:rsid w:val="00B93534"/>
    <w:rsid w:val="00B935E4"/>
    <w:rsid w:val="00B935FA"/>
    <w:rsid w:val="00B9366C"/>
    <w:rsid w:val="00B9374F"/>
    <w:rsid w:val="00B93764"/>
    <w:rsid w:val="00B93EB1"/>
    <w:rsid w:val="00B93FB9"/>
    <w:rsid w:val="00B942F4"/>
    <w:rsid w:val="00B94798"/>
    <w:rsid w:val="00B94A3F"/>
    <w:rsid w:val="00B94B50"/>
    <w:rsid w:val="00B94B7B"/>
    <w:rsid w:val="00B94E36"/>
    <w:rsid w:val="00B951B7"/>
    <w:rsid w:val="00B95A10"/>
    <w:rsid w:val="00B95AC8"/>
    <w:rsid w:val="00B95F08"/>
    <w:rsid w:val="00B961BB"/>
    <w:rsid w:val="00B962B2"/>
    <w:rsid w:val="00B965F7"/>
    <w:rsid w:val="00B969CB"/>
    <w:rsid w:val="00B970BD"/>
    <w:rsid w:val="00B973F6"/>
    <w:rsid w:val="00B97702"/>
    <w:rsid w:val="00B97B90"/>
    <w:rsid w:val="00BA0C43"/>
    <w:rsid w:val="00BA1E0B"/>
    <w:rsid w:val="00BA238E"/>
    <w:rsid w:val="00BA2E04"/>
    <w:rsid w:val="00BA3105"/>
    <w:rsid w:val="00BA39FE"/>
    <w:rsid w:val="00BA481E"/>
    <w:rsid w:val="00BA5048"/>
    <w:rsid w:val="00BA5B08"/>
    <w:rsid w:val="00BA5D5B"/>
    <w:rsid w:val="00BA5EA3"/>
    <w:rsid w:val="00BA5F02"/>
    <w:rsid w:val="00BA6860"/>
    <w:rsid w:val="00BA6F95"/>
    <w:rsid w:val="00BA7549"/>
    <w:rsid w:val="00BB0CEB"/>
    <w:rsid w:val="00BB1371"/>
    <w:rsid w:val="00BB17BC"/>
    <w:rsid w:val="00BB195B"/>
    <w:rsid w:val="00BB227E"/>
    <w:rsid w:val="00BB2562"/>
    <w:rsid w:val="00BB2A26"/>
    <w:rsid w:val="00BB34CE"/>
    <w:rsid w:val="00BB3DD7"/>
    <w:rsid w:val="00BB42BF"/>
    <w:rsid w:val="00BB484F"/>
    <w:rsid w:val="00BB57A1"/>
    <w:rsid w:val="00BB5CB9"/>
    <w:rsid w:val="00BB6102"/>
    <w:rsid w:val="00BB6246"/>
    <w:rsid w:val="00BB64DD"/>
    <w:rsid w:val="00BB6643"/>
    <w:rsid w:val="00BB6691"/>
    <w:rsid w:val="00BB777F"/>
    <w:rsid w:val="00BC1574"/>
    <w:rsid w:val="00BC19F4"/>
    <w:rsid w:val="00BC219C"/>
    <w:rsid w:val="00BC21F4"/>
    <w:rsid w:val="00BC2307"/>
    <w:rsid w:val="00BC254F"/>
    <w:rsid w:val="00BC3635"/>
    <w:rsid w:val="00BC375C"/>
    <w:rsid w:val="00BC37E6"/>
    <w:rsid w:val="00BC3A28"/>
    <w:rsid w:val="00BC3D2B"/>
    <w:rsid w:val="00BC419E"/>
    <w:rsid w:val="00BC4702"/>
    <w:rsid w:val="00BC4945"/>
    <w:rsid w:val="00BC4C79"/>
    <w:rsid w:val="00BC54FF"/>
    <w:rsid w:val="00BC55F1"/>
    <w:rsid w:val="00BC5AF6"/>
    <w:rsid w:val="00BC5C4D"/>
    <w:rsid w:val="00BC634B"/>
    <w:rsid w:val="00BC696E"/>
    <w:rsid w:val="00BC6D6E"/>
    <w:rsid w:val="00BC7020"/>
    <w:rsid w:val="00BC73B6"/>
    <w:rsid w:val="00BC7968"/>
    <w:rsid w:val="00BC7C5E"/>
    <w:rsid w:val="00BC7CEB"/>
    <w:rsid w:val="00BD0314"/>
    <w:rsid w:val="00BD08AA"/>
    <w:rsid w:val="00BD0CD5"/>
    <w:rsid w:val="00BD16BF"/>
    <w:rsid w:val="00BD19C5"/>
    <w:rsid w:val="00BD1AB8"/>
    <w:rsid w:val="00BD1E43"/>
    <w:rsid w:val="00BD2569"/>
    <w:rsid w:val="00BD4EFA"/>
    <w:rsid w:val="00BD518D"/>
    <w:rsid w:val="00BD5376"/>
    <w:rsid w:val="00BD5F92"/>
    <w:rsid w:val="00BD6883"/>
    <w:rsid w:val="00BD6C4B"/>
    <w:rsid w:val="00BD7087"/>
    <w:rsid w:val="00BD76FE"/>
    <w:rsid w:val="00BD7FF5"/>
    <w:rsid w:val="00BE074E"/>
    <w:rsid w:val="00BE108C"/>
    <w:rsid w:val="00BE1114"/>
    <w:rsid w:val="00BE2359"/>
    <w:rsid w:val="00BE2497"/>
    <w:rsid w:val="00BE3299"/>
    <w:rsid w:val="00BE33C9"/>
    <w:rsid w:val="00BE3551"/>
    <w:rsid w:val="00BE3902"/>
    <w:rsid w:val="00BE4521"/>
    <w:rsid w:val="00BE53A2"/>
    <w:rsid w:val="00BE582A"/>
    <w:rsid w:val="00BE5943"/>
    <w:rsid w:val="00BE5A7F"/>
    <w:rsid w:val="00BE62B6"/>
    <w:rsid w:val="00BE6BD4"/>
    <w:rsid w:val="00BE7A32"/>
    <w:rsid w:val="00BF0921"/>
    <w:rsid w:val="00BF16C5"/>
    <w:rsid w:val="00BF1B6A"/>
    <w:rsid w:val="00BF29AD"/>
    <w:rsid w:val="00BF30ED"/>
    <w:rsid w:val="00BF351B"/>
    <w:rsid w:val="00BF3841"/>
    <w:rsid w:val="00BF3D57"/>
    <w:rsid w:val="00BF4859"/>
    <w:rsid w:val="00BF4AD7"/>
    <w:rsid w:val="00BF5199"/>
    <w:rsid w:val="00BF58C1"/>
    <w:rsid w:val="00BF5C8C"/>
    <w:rsid w:val="00BF6067"/>
    <w:rsid w:val="00BF6B6B"/>
    <w:rsid w:val="00BF6DAE"/>
    <w:rsid w:val="00BF7485"/>
    <w:rsid w:val="00BF7652"/>
    <w:rsid w:val="00BF7A28"/>
    <w:rsid w:val="00C001DA"/>
    <w:rsid w:val="00C007BF"/>
    <w:rsid w:val="00C00C4E"/>
    <w:rsid w:val="00C00E27"/>
    <w:rsid w:val="00C01954"/>
    <w:rsid w:val="00C0198E"/>
    <w:rsid w:val="00C01AB1"/>
    <w:rsid w:val="00C01C94"/>
    <w:rsid w:val="00C01DC0"/>
    <w:rsid w:val="00C01FA9"/>
    <w:rsid w:val="00C0209C"/>
    <w:rsid w:val="00C02737"/>
    <w:rsid w:val="00C0370C"/>
    <w:rsid w:val="00C03B4D"/>
    <w:rsid w:val="00C040C4"/>
    <w:rsid w:val="00C04472"/>
    <w:rsid w:val="00C04F9D"/>
    <w:rsid w:val="00C05AEC"/>
    <w:rsid w:val="00C06069"/>
    <w:rsid w:val="00C0666D"/>
    <w:rsid w:val="00C07B44"/>
    <w:rsid w:val="00C07B7C"/>
    <w:rsid w:val="00C10317"/>
    <w:rsid w:val="00C10A6C"/>
    <w:rsid w:val="00C10C1D"/>
    <w:rsid w:val="00C1118F"/>
    <w:rsid w:val="00C1164C"/>
    <w:rsid w:val="00C11737"/>
    <w:rsid w:val="00C11CA4"/>
    <w:rsid w:val="00C1215F"/>
    <w:rsid w:val="00C12640"/>
    <w:rsid w:val="00C12845"/>
    <w:rsid w:val="00C12B33"/>
    <w:rsid w:val="00C12E9C"/>
    <w:rsid w:val="00C1303E"/>
    <w:rsid w:val="00C136F8"/>
    <w:rsid w:val="00C13A5F"/>
    <w:rsid w:val="00C1468B"/>
    <w:rsid w:val="00C14D27"/>
    <w:rsid w:val="00C1592F"/>
    <w:rsid w:val="00C15B98"/>
    <w:rsid w:val="00C15FEF"/>
    <w:rsid w:val="00C16F9C"/>
    <w:rsid w:val="00C177E6"/>
    <w:rsid w:val="00C17EF9"/>
    <w:rsid w:val="00C20180"/>
    <w:rsid w:val="00C20980"/>
    <w:rsid w:val="00C2127B"/>
    <w:rsid w:val="00C21F5C"/>
    <w:rsid w:val="00C227D7"/>
    <w:rsid w:val="00C22AC4"/>
    <w:rsid w:val="00C239FB"/>
    <w:rsid w:val="00C24459"/>
    <w:rsid w:val="00C2492D"/>
    <w:rsid w:val="00C2583F"/>
    <w:rsid w:val="00C258AF"/>
    <w:rsid w:val="00C25FF3"/>
    <w:rsid w:val="00C26638"/>
    <w:rsid w:val="00C27403"/>
    <w:rsid w:val="00C279B8"/>
    <w:rsid w:val="00C27A14"/>
    <w:rsid w:val="00C300CB"/>
    <w:rsid w:val="00C30293"/>
    <w:rsid w:val="00C30C39"/>
    <w:rsid w:val="00C30F2A"/>
    <w:rsid w:val="00C3197C"/>
    <w:rsid w:val="00C31CC4"/>
    <w:rsid w:val="00C32947"/>
    <w:rsid w:val="00C336AC"/>
    <w:rsid w:val="00C33D92"/>
    <w:rsid w:val="00C34F0E"/>
    <w:rsid w:val="00C353E9"/>
    <w:rsid w:val="00C358A6"/>
    <w:rsid w:val="00C35977"/>
    <w:rsid w:val="00C37974"/>
    <w:rsid w:val="00C409CA"/>
    <w:rsid w:val="00C40A76"/>
    <w:rsid w:val="00C40B18"/>
    <w:rsid w:val="00C411B5"/>
    <w:rsid w:val="00C41345"/>
    <w:rsid w:val="00C4193B"/>
    <w:rsid w:val="00C41B73"/>
    <w:rsid w:val="00C41BF5"/>
    <w:rsid w:val="00C42C65"/>
    <w:rsid w:val="00C42D6A"/>
    <w:rsid w:val="00C43138"/>
    <w:rsid w:val="00C43457"/>
    <w:rsid w:val="00C434B6"/>
    <w:rsid w:val="00C437DE"/>
    <w:rsid w:val="00C43BA3"/>
    <w:rsid w:val="00C44233"/>
    <w:rsid w:val="00C44432"/>
    <w:rsid w:val="00C44762"/>
    <w:rsid w:val="00C44892"/>
    <w:rsid w:val="00C453FD"/>
    <w:rsid w:val="00C4582B"/>
    <w:rsid w:val="00C45C95"/>
    <w:rsid w:val="00C466F3"/>
    <w:rsid w:val="00C46BA6"/>
    <w:rsid w:val="00C46C95"/>
    <w:rsid w:val="00C46D0D"/>
    <w:rsid w:val="00C47890"/>
    <w:rsid w:val="00C47BBA"/>
    <w:rsid w:val="00C502C7"/>
    <w:rsid w:val="00C507F5"/>
    <w:rsid w:val="00C50A60"/>
    <w:rsid w:val="00C5135E"/>
    <w:rsid w:val="00C5190D"/>
    <w:rsid w:val="00C523C8"/>
    <w:rsid w:val="00C5360F"/>
    <w:rsid w:val="00C5373B"/>
    <w:rsid w:val="00C537A1"/>
    <w:rsid w:val="00C53EFB"/>
    <w:rsid w:val="00C541A9"/>
    <w:rsid w:val="00C54707"/>
    <w:rsid w:val="00C54A7B"/>
    <w:rsid w:val="00C54ED7"/>
    <w:rsid w:val="00C55315"/>
    <w:rsid w:val="00C56A9C"/>
    <w:rsid w:val="00C573A5"/>
    <w:rsid w:val="00C57604"/>
    <w:rsid w:val="00C57E1D"/>
    <w:rsid w:val="00C57EC6"/>
    <w:rsid w:val="00C61073"/>
    <w:rsid w:val="00C61E5F"/>
    <w:rsid w:val="00C623FA"/>
    <w:rsid w:val="00C6285E"/>
    <w:rsid w:val="00C62E53"/>
    <w:rsid w:val="00C63ED0"/>
    <w:rsid w:val="00C648D4"/>
    <w:rsid w:val="00C64B5A"/>
    <w:rsid w:val="00C64C66"/>
    <w:rsid w:val="00C6516D"/>
    <w:rsid w:val="00C65960"/>
    <w:rsid w:val="00C65F2F"/>
    <w:rsid w:val="00C66045"/>
    <w:rsid w:val="00C660DC"/>
    <w:rsid w:val="00C66149"/>
    <w:rsid w:val="00C661CE"/>
    <w:rsid w:val="00C66295"/>
    <w:rsid w:val="00C66A71"/>
    <w:rsid w:val="00C66B91"/>
    <w:rsid w:val="00C66D98"/>
    <w:rsid w:val="00C6715C"/>
    <w:rsid w:val="00C67273"/>
    <w:rsid w:val="00C67CD6"/>
    <w:rsid w:val="00C67DA8"/>
    <w:rsid w:val="00C70114"/>
    <w:rsid w:val="00C706C5"/>
    <w:rsid w:val="00C70C7B"/>
    <w:rsid w:val="00C716F3"/>
    <w:rsid w:val="00C71B65"/>
    <w:rsid w:val="00C7299B"/>
    <w:rsid w:val="00C72C40"/>
    <w:rsid w:val="00C72DA7"/>
    <w:rsid w:val="00C73C79"/>
    <w:rsid w:val="00C750E9"/>
    <w:rsid w:val="00C755CD"/>
    <w:rsid w:val="00C7588D"/>
    <w:rsid w:val="00C76EC0"/>
    <w:rsid w:val="00C77122"/>
    <w:rsid w:val="00C77C86"/>
    <w:rsid w:val="00C80714"/>
    <w:rsid w:val="00C80AAB"/>
    <w:rsid w:val="00C80AE6"/>
    <w:rsid w:val="00C80F69"/>
    <w:rsid w:val="00C829C8"/>
    <w:rsid w:val="00C82E9E"/>
    <w:rsid w:val="00C83051"/>
    <w:rsid w:val="00C8334D"/>
    <w:rsid w:val="00C83640"/>
    <w:rsid w:val="00C83AF2"/>
    <w:rsid w:val="00C846E4"/>
    <w:rsid w:val="00C8473C"/>
    <w:rsid w:val="00C858F8"/>
    <w:rsid w:val="00C85B42"/>
    <w:rsid w:val="00C85FE3"/>
    <w:rsid w:val="00C86B30"/>
    <w:rsid w:val="00C86D29"/>
    <w:rsid w:val="00C86D4C"/>
    <w:rsid w:val="00C86F6D"/>
    <w:rsid w:val="00C8714B"/>
    <w:rsid w:val="00C87660"/>
    <w:rsid w:val="00C87BBD"/>
    <w:rsid w:val="00C904E4"/>
    <w:rsid w:val="00C91CF8"/>
    <w:rsid w:val="00C92137"/>
    <w:rsid w:val="00C92315"/>
    <w:rsid w:val="00C92896"/>
    <w:rsid w:val="00C928DE"/>
    <w:rsid w:val="00C92CBA"/>
    <w:rsid w:val="00C92E41"/>
    <w:rsid w:val="00C933E6"/>
    <w:rsid w:val="00C9345E"/>
    <w:rsid w:val="00C93D4D"/>
    <w:rsid w:val="00C94288"/>
    <w:rsid w:val="00C9462D"/>
    <w:rsid w:val="00C94F92"/>
    <w:rsid w:val="00C954EC"/>
    <w:rsid w:val="00C95541"/>
    <w:rsid w:val="00C95FB9"/>
    <w:rsid w:val="00C9643B"/>
    <w:rsid w:val="00C96458"/>
    <w:rsid w:val="00C96949"/>
    <w:rsid w:val="00C96AD1"/>
    <w:rsid w:val="00C96D00"/>
    <w:rsid w:val="00C978F6"/>
    <w:rsid w:val="00C9796B"/>
    <w:rsid w:val="00CA0C04"/>
    <w:rsid w:val="00CA1159"/>
    <w:rsid w:val="00CA167B"/>
    <w:rsid w:val="00CA1C37"/>
    <w:rsid w:val="00CA388F"/>
    <w:rsid w:val="00CA45C0"/>
    <w:rsid w:val="00CA57C8"/>
    <w:rsid w:val="00CA5D77"/>
    <w:rsid w:val="00CA6157"/>
    <w:rsid w:val="00CA6511"/>
    <w:rsid w:val="00CA66A9"/>
    <w:rsid w:val="00CA69B1"/>
    <w:rsid w:val="00CA74AC"/>
    <w:rsid w:val="00CB07CD"/>
    <w:rsid w:val="00CB0971"/>
    <w:rsid w:val="00CB0D78"/>
    <w:rsid w:val="00CB1980"/>
    <w:rsid w:val="00CB340C"/>
    <w:rsid w:val="00CB3BA4"/>
    <w:rsid w:val="00CB4AEC"/>
    <w:rsid w:val="00CB595D"/>
    <w:rsid w:val="00CB5BF7"/>
    <w:rsid w:val="00CB6709"/>
    <w:rsid w:val="00CB6D57"/>
    <w:rsid w:val="00CB727F"/>
    <w:rsid w:val="00CC11BE"/>
    <w:rsid w:val="00CC178F"/>
    <w:rsid w:val="00CC239A"/>
    <w:rsid w:val="00CC26D9"/>
    <w:rsid w:val="00CC30FE"/>
    <w:rsid w:val="00CC35A6"/>
    <w:rsid w:val="00CC3ED8"/>
    <w:rsid w:val="00CC4080"/>
    <w:rsid w:val="00CC41B1"/>
    <w:rsid w:val="00CC4564"/>
    <w:rsid w:val="00CC4A5A"/>
    <w:rsid w:val="00CC4D8D"/>
    <w:rsid w:val="00CC53D1"/>
    <w:rsid w:val="00CC5834"/>
    <w:rsid w:val="00CC5A16"/>
    <w:rsid w:val="00CC5F6D"/>
    <w:rsid w:val="00CC686F"/>
    <w:rsid w:val="00CC68B4"/>
    <w:rsid w:val="00CC6CA3"/>
    <w:rsid w:val="00CC6FBD"/>
    <w:rsid w:val="00CC713C"/>
    <w:rsid w:val="00CC7A60"/>
    <w:rsid w:val="00CC7A90"/>
    <w:rsid w:val="00CD066A"/>
    <w:rsid w:val="00CD144D"/>
    <w:rsid w:val="00CD1847"/>
    <w:rsid w:val="00CD1963"/>
    <w:rsid w:val="00CD256E"/>
    <w:rsid w:val="00CD3684"/>
    <w:rsid w:val="00CD3886"/>
    <w:rsid w:val="00CD39C7"/>
    <w:rsid w:val="00CD49CD"/>
    <w:rsid w:val="00CD4B7B"/>
    <w:rsid w:val="00CD4E27"/>
    <w:rsid w:val="00CD4EC9"/>
    <w:rsid w:val="00CD580D"/>
    <w:rsid w:val="00CD5D89"/>
    <w:rsid w:val="00CD6190"/>
    <w:rsid w:val="00CD77BE"/>
    <w:rsid w:val="00CD787B"/>
    <w:rsid w:val="00CE052D"/>
    <w:rsid w:val="00CE059D"/>
    <w:rsid w:val="00CE0606"/>
    <w:rsid w:val="00CE1260"/>
    <w:rsid w:val="00CE16F8"/>
    <w:rsid w:val="00CE1D94"/>
    <w:rsid w:val="00CE2139"/>
    <w:rsid w:val="00CE2343"/>
    <w:rsid w:val="00CE2698"/>
    <w:rsid w:val="00CE376B"/>
    <w:rsid w:val="00CE4168"/>
    <w:rsid w:val="00CE4DFA"/>
    <w:rsid w:val="00CE5093"/>
    <w:rsid w:val="00CE539D"/>
    <w:rsid w:val="00CE5E9F"/>
    <w:rsid w:val="00CE603E"/>
    <w:rsid w:val="00CE60E2"/>
    <w:rsid w:val="00CE62DD"/>
    <w:rsid w:val="00CE6332"/>
    <w:rsid w:val="00CE6ECA"/>
    <w:rsid w:val="00CE7A73"/>
    <w:rsid w:val="00CE7B8D"/>
    <w:rsid w:val="00CF0D91"/>
    <w:rsid w:val="00CF1109"/>
    <w:rsid w:val="00CF123D"/>
    <w:rsid w:val="00CF139E"/>
    <w:rsid w:val="00CF16A7"/>
    <w:rsid w:val="00CF2242"/>
    <w:rsid w:val="00CF24DC"/>
    <w:rsid w:val="00CF2AB1"/>
    <w:rsid w:val="00CF311B"/>
    <w:rsid w:val="00CF355C"/>
    <w:rsid w:val="00CF35CF"/>
    <w:rsid w:val="00CF38FE"/>
    <w:rsid w:val="00CF4053"/>
    <w:rsid w:val="00CF535D"/>
    <w:rsid w:val="00CF5842"/>
    <w:rsid w:val="00CF5995"/>
    <w:rsid w:val="00CF5A38"/>
    <w:rsid w:val="00CF5B84"/>
    <w:rsid w:val="00CF66B7"/>
    <w:rsid w:val="00CF6CE0"/>
    <w:rsid w:val="00CF7370"/>
    <w:rsid w:val="00CF7BCA"/>
    <w:rsid w:val="00D00CA3"/>
    <w:rsid w:val="00D01530"/>
    <w:rsid w:val="00D01B96"/>
    <w:rsid w:val="00D01E71"/>
    <w:rsid w:val="00D0212D"/>
    <w:rsid w:val="00D02887"/>
    <w:rsid w:val="00D02998"/>
    <w:rsid w:val="00D02E51"/>
    <w:rsid w:val="00D02F7E"/>
    <w:rsid w:val="00D030F3"/>
    <w:rsid w:val="00D03316"/>
    <w:rsid w:val="00D0397F"/>
    <w:rsid w:val="00D03ABA"/>
    <w:rsid w:val="00D03B00"/>
    <w:rsid w:val="00D057FB"/>
    <w:rsid w:val="00D05A2E"/>
    <w:rsid w:val="00D067B5"/>
    <w:rsid w:val="00D0680C"/>
    <w:rsid w:val="00D1053A"/>
    <w:rsid w:val="00D10549"/>
    <w:rsid w:val="00D1075E"/>
    <w:rsid w:val="00D10768"/>
    <w:rsid w:val="00D10B26"/>
    <w:rsid w:val="00D116FC"/>
    <w:rsid w:val="00D1191C"/>
    <w:rsid w:val="00D121B9"/>
    <w:rsid w:val="00D1241F"/>
    <w:rsid w:val="00D12502"/>
    <w:rsid w:val="00D1260D"/>
    <w:rsid w:val="00D1308A"/>
    <w:rsid w:val="00D132A0"/>
    <w:rsid w:val="00D13F8A"/>
    <w:rsid w:val="00D1425E"/>
    <w:rsid w:val="00D143E0"/>
    <w:rsid w:val="00D1455B"/>
    <w:rsid w:val="00D1471D"/>
    <w:rsid w:val="00D149A5"/>
    <w:rsid w:val="00D149E2"/>
    <w:rsid w:val="00D154A4"/>
    <w:rsid w:val="00D17607"/>
    <w:rsid w:val="00D17A1B"/>
    <w:rsid w:val="00D17B1E"/>
    <w:rsid w:val="00D20679"/>
    <w:rsid w:val="00D2103B"/>
    <w:rsid w:val="00D2181B"/>
    <w:rsid w:val="00D22050"/>
    <w:rsid w:val="00D234EB"/>
    <w:rsid w:val="00D2368B"/>
    <w:rsid w:val="00D23FE9"/>
    <w:rsid w:val="00D24966"/>
    <w:rsid w:val="00D24FB0"/>
    <w:rsid w:val="00D256FA"/>
    <w:rsid w:val="00D2581E"/>
    <w:rsid w:val="00D25FFA"/>
    <w:rsid w:val="00D2677B"/>
    <w:rsid w:val="00D279BB"/>
    <w:rsid w:val="00D30424"/>
    <w:rsid w:val="00D308D5"/>
    <w:rsid w:val="00D30C09"/>
    <w:rsid w:val="00D30C7D"/>
    <w:rsid w:val="00D3168B"/>
    <w:rsid w:val="00D31929"/>
    <w:rsid w:val="00D3227E"/>
    <w:rsid w:val="00D322EA"/>
    <w:rsid w:val="00D32716"/>
    <w:rsid w:val="00D33B6A"/>
    <w:rsid w:val="00D33C59"/>
    <w:rsid w:val="00D343CB"/>
    <w:rsid w:val="00D3469A"/>
    <w:rsid w:val="00D348D9"/>
    <w:rsid w:val="00D349F9"/>
    <w:rsid w:val="00D34C8B"/>
    <w:rsid w:val="00D34F22"/>
    <w:rsid w:val="00D35271"/>
    <w:rsid w:val="00D358C2"/>
    <w:rsid w:val="00D35E14"/>
    <w:rsid w:val="00D366AD"/>
    <w:rsid w:val="00D36754"/>
    <w:rsid w:val="00D36E1B"/>
    <w:rsid w:val="00D37196"/>
    <w:rsid w:val="00D376D4"/>
    <w:rsid w:val="00D37872"/>
    <w:rsid w:val="00D37F6D"/>
    <w:rsid w:val="00D4066F"/>
    <w:rsid w:val="00D40F8A"/>
    <w:rsid w:val="00D41036"/>
    <w:rsid w:val="00D417BC"/>
    <w:rsid w:val="00D41BBC"/>
    <w:rsid w:val="00D41FA1"/>
    <w:rsid w:val="00D4264B"/>
    <w:rsid w:val="00D427F2"/>
    <w:rsid w:val="00D431E4"/>
    <w:rsid w:val="00D43449"/>
    <w:rsid w:val="00D43505"/>
    <w:rsid w:val="00D4352F"/>
    <w:rsid w:val="00D43C99"/>
    <w:rsid w:val="00D43DA8"/>
    <w:rsid w:val="00D43FF9"/>
    <w:rsid w:val="00D44E87"/>
    <w:rsid w:val="00D4523B"/>
    <w:rsid w:val="00D45563"/>
    <w:rsid w:val="00D45CDF"/>
    <w:rsid w:val="00D47906"/>
    <w:rsid w:val="00D47CDA"/>
    <w:rsid w:val="00D502DF"/>
    <w:rsid w:val="00D50959"/>
    <w:rsid w:val="00D50CED"/>
    <w:rsid w:val="00D516DC"/>
    <w:rsid w:val="00D5224C"/>
    <w:rsid w:val="00D532E1"/>
    <w:rsid w:val="00D53355"/>
    <w:rsid w:val="00D5348E"/>
    <w:rsid w:val="00D541F3"/>
    <w:rsid w:val="00D542EE"/>
    <w:rsid w:val="00D55161"/>
    <w:rsid w:val="00D555E9"/>
    <w:rsid w:val="00D55BFE"/>
    <w:rsid w:val="00D5640A"/>
    <w:rsid w:val="00D564FA"/>
    <w:rsid w:val="00D567F8"/>
    <w:rsid w:val="00D56ABC"/>
    <w:rsid w:val="00D56BDF"/>
    <w:rsid w:val="00D573EC"/>
    <w:rsid w:val="00D57626"/>
    <w:rsid w:val="00D60148"/>
    <w:rsid w:val="00D608FD"/>
    <w:rsid w:val="00D613BB"/>
    <w:rsid w:val="00D623A7"/>
    <w:rsid w:val="00D62DB0"/>
    <w:rsid w:val="00D62E36"/>
    <w:rsid w:val="00D62E94"/>
    <w:rsid w:val="00D632E6"/>
    <w:rsid w:val="00D63787"/>
    <w:rsid w:val="00D63EB0"/>
    <w:rsid w:val="00D63F14"/>
    <w:rsid w:val="00D64FA8"/>
    <w:rsid w:val="00D65374"/>
    <w:rsid w:val="00D659A8"/>
    <w:rsid w:val="00D65AB7"/>
    <w:rsid w:val="00D65E7B"/>
    <w:rsid w:val="00D65FE9"/>
    <w:rsid w:val="00D66DA2"/>
    <w:rsid w:val="00D67407"/>
    <w:rsid w:val="00D67699"/>
    <w:rsid w:val="00D67980"/>
    <w:rsid w:val="00D710E6"/>
    <w:rsid w:val="00D7169B"/>
    <w:rsid w:val="00D726A2"/>
    <w:rsid w:val="00D7284E"/>
    <w:rsid w:val="00D728CC"/>
    <w:rsid w:val="00D730EE"/>
    <w:rsid w:val="00D7323A"/>
    <w:rsid w:val="00D73353"/>
    <w:rsid w:val="00D733F1"/>
    <w:rsid w:val="00D7362E"/>
    <w:rsid w:val="00D73D39"/>
    <w:rsid w:val="00D747B2"/>
    <w:rsid w:val="00D748D4"/>
    <w:rsid w:val="00D74B03"/>
    <w:rsid w:val="00D75ACE"/>
    <w:rsid w:val="00D75AF4"/>
    <w:rsid w:val="00D767A2"/>
    <w:rsid w:val="00D7695D"/>
    <w:rsid w:val="00D776DC"/>
    <w:rsid w:val="00D802DE"/>
    <w:rsid w:val="00D80479"/>
    <w:rsid w:val="00D813C6"/>
    <w:rsid w:val="00D815DC"/>
    <w:rsid w:val="00D817D6"/>
    <w:rsid w:val="00D818B7"/>
    <w:rsid w:val="00D822E7"/>
    <w:rsid w:val="00D8284E"/>
    <w:rsid w:val="00D82FBE"/>
    <w:rsid w:val="00D830CB"/>
    <w:rsid w:val="00D846A7"/>
    <w:rsid w:val="00D84755"/>
    <w:rsid w:val="00D84F8E"/>
    <w:rsid w:val="00D8525A"/>
    <w:rsid w:val="00D85EB6"/>
    <w:rsid w:val="00D865E2"/>
    <w:rsid w:val="00D901B7"/>
    <w:rsid w:val="00D903E3"/>
    <w:rsid w:val="00D90627"/>
    <w:rsid w:val="00D90891"/>
    <w:rsid w:val="00D92DE7"/>
    <w:rsid w:val="00D93339"/>
    <w:rsid w:val="00D9379B"/>
    <w:rsid w:val="00D93A4D"/>
    <w:rsid w:val="00D94312"/>
    <w:rsid w:val="00D95003"/>
    <w:rsid w:val="00D9527B"/>
    <w:rsid w:val="00D95739"/>
    <w:rsid w:val="00D957D6"/>
    <w:rsid w:val="00D95EA9"/>
    <w:rsid w:val="00D95ED9"/>
    <w:rsid w:val="00D961CB"/>
    <w:rsid w:val="00D9659F"/>
    <w:rsid w:val="00D96A26"/>
    <w:rsid w:val="00D96B9C"/>
    <w:rsid w:val="00D9749D"/>
    <w:rsid w:val="00DA05DE"/>
    <w:rsid w:val="00DA09E5"/>
    <w:rsid w:val="00DA0C99"/>
    <w:rsid w:val="00DA163B"/>
    <w:rsid w:val="00DA1A0C"/>
    <w:rsid w:val="00DA1F98"/>
    <w:rsid w:val="00DA2167"/>
    <w:rsid w:val="00DA2F35"/>
    <w:rsid w:val="00DA328E"/>
    <w:rsid w:val="00DA3BC0"/>
    <w:rsid w:val="00DA4431"/>
    <w:rsid w:val="00DA47CA"/>
    <w:rsid w:val="00DA4C8F"/>
    <w:rsid w:val="00DA539C"/>
    <w:rsid w:val="00DA5460"/>
    <w:rsid w:val="00DA5DCA"/>
    <w:rsid w:val="00DA5FD0"/>
    <w:rsid w:val="00DA62F9"/>
    <w:rsid w:val="00DA7235"/>
    <w:rsid w:val="00DA7AC3"/>
    <w:rsid w:val="00DB062C"/>
    <w:rsid w:val="00DB074D"/>
    <w:rsid w:val="00DB0C29"/>
    <w:rsid w:val="00DB12B8"/>
    <w:rsid w:val="00DB16F5"/>
    <w:rsid w:val="00DB1CB7"/>
    <w:rsid w:val="00DB1E9A"/>
    <w:rsid w:val="00DB2148"/>
    <w:rsid w:val="00DB26E9"/>
    <w:rsid w:val="00DB2834"/>
    <w:rsid w:val="00DB2C14"/>
    <w:rsid w:val="00DB2FF1"/>
    <w:rsid w:val="00DB3DD6"/>
    <w:rsid w:val="00DB4A57"/>
    <w:rsid w:val="00DB4B51"/>
    <w:rsid w:val="00DB5D0E"/>
    <w:rsid w:val="00DB6D2E"/>
    <w:rsid w:val="00DB7400"/>
    <w:rsid w:val="00DB7C16"/>
    <w:rsid w:val="00DC0128"/>
    <w:rsid w:val="00DC105D"/>
    <w:rsid w:val="00DC191D"/>
    <w:rsid w:val="00DC1AEE"/>
    <w:rsid w:val="00DC21F3"/>
    <w:rsid w:val="00DC3398"/>
    <w:rsid w:val="00DC36B9"/>
    <w:rsid w:val="00DC4136"/>
    <w:rsid w:val="00DC4F75"/>
    <w:rsid w:val="00DC5FEF"/>
    <w:rsid w:val="00DC69A5"/>
    <w:rsid w:val="00DC69AD"/>
    <w:rsid w:val="00DC7D85"/>
    <w:rsid w:val="00DD061C"/>
    <w:rsid w:val="00DD16C7"/>
    <w:rsid w:val="00DD1D44"/>
    <w:rsid w:val="00DD1EF3"/>
    <w:rsid w:val="00DD2218"/>
    <w:rsid w:val="00DD27EE"/>
    <w:rsid w:val="00DD28BA"/>
    <w:rsid w:val="00DD29D9"/>
    <w:rsid w:val="00DD2BB4"/>
    <w:rsid w:val="00DD37E7"/>
    <w:rsid w:val="00DD3C73"/>
    <w:rsid w:val="00DD485C"/>
    <w:rsid w:val="00DD524E"/>
    <w:rsid w:val="00DD60E5"/>
    <w:rsid w:val="00DD6786"/>
    <w:rsid w:val="00DD6C24"/>
    <w:rsid w:val="00DD6F5E"/>
    <w:rsid w:val="00DD74E2"/>
    <w:rsid w:val="00DD7D97"/>
    <w:rsid w:val="00DE0132"/>
    <w:rsid w:val="00DE1513"/>
    <w:rsid w:val="00DE25CD"/>
    <w:rsid w:val="00DE2A1F"/>
    <w:rsid w:val="00DE2C8F"/>
    <w:rsid w:val="00DE2E15"/>
    <w:rsid w:val="00DE37BF"/>
    <w:rsid w:val="00DE3F8B"/>
    <w:rsid w:val="00DE3FCB"/>
    <w:rsid w:val="00DE4179"/>
    <w:rsid w:val="00DE5AF8"/>
    <w:rsid w:val="00DE5C8F"/>
    <w:rsid w:val="00DE5FB6"/>
    <w:rsid w:val="00DE721D"/>
    <w:rsid w:val="00DE73DC"/>
    <w:rsid w:val="00DE7490"/>
    <w:rsid w:val="00DF0267"/>
    <w:rsid w:val="00DF03C2"/>
    <w:rsid w:val="00DF03F5"/>
    <w:rsid w:val="00DF065C"/>
    <w:rsid w:val="00DF0D28"/>
    <w:rsid w:val="00DF0E98"/>
    <w:rsid w:val="00DF189A"/>
    <w:rsid w:val="00DF1A18"/>
    <w:rsid w:val="00DF20CC"/>
    <w:rsid w:val="00DF2DC6"/>
    <w:rsid w:val="00DF3341"/>
    <w:rsid w:val="00DF3C77"/>
    <w:rsid w:val="00DF3CE8"/>
    <w:rsid w:val="00DF40BD"/>
    <w:rsid w:val="00DF44F6"/>
    <w:rsid w:val="00DF4515"/>
    <w:rsid w:val="00DF4540"/>
    <w:rsid w:val="00DF4861"/>
    <w:rsid w:val="00DF4CE3"/>
    <w:rsid w:val="00DF5B1E"/>
    <w:rsid w:val="00DF5B6A"/>
    <w:rsid w:val="00DF5D19"/>
    <w:rsid w:val="00DF63F5"/>
    <w:rsid w:val="00DF66DC"/>
    <w:rsid w:val="00DF72C4"/>
    <w:rsid w:val="00DF74C9"/>
    <w:rsid w:val="00DF7679"/>
    <w:rsid w:val="00DF77B4"/>
    <w:rsid w:val="00DF7E0C"/>
    <w:rsid w:val="00E002DC"/>
    <w:rsid w:val="00E00D4B"/>
    <w:rsid w:val="00E00E10"/>
    <w:rsid w:val="00E01021"/>
    <w:rsid w:val="00E0156D"/>
    <w:rsid w:val="00E01686"/>
    <w:rsid w:val="00E01892"/>
    <w:rsid w:val="00E035C8"/>
    <w:rsid w:val="00E03874"/>
    <w:rsid w:val="00E038EB"/>
    <w:rsid w:val="00E0415D"/>
    <w:rsid w:val="00E04610"/>
    <w:rsid w:val="00E047BB"/>
    <w:rsid w:val="00E0524B"/>
    <w:rsid w:val="00E062C1"/>
    <w:rsid w:val="00E0653B"/>
    <w:rsid w:val="00E1004D"/>
    <w:rsid w:val="00E10734"/>
    <w:rsid w:val="00E11648"/>
    <w:rsid w:val="00E118B8"/>
    <w:rsid w:val="00E1268E"/>
    <w:rsid w:val="00E12A23"/>
    <w:rsid w:val="00E13074"/>
    <w:rsid w:val="00E15217"/>
    <w:rsid w:val="00E1534A"/>
    <w:rsid w:val="00E15CFF"/>
    <w:rsid w:val="00E164AA"/>
    <w:rsid w:val="00E167A6"/>
    <w:rsid w:val="00E20283"/>
    <w:rsid w:val="00E20841"/>
    <w:rsid w:val="00E209C6"/>
    <w:rsid w:val="00E213E3"/>
    <w:rsid w:val="00E214FC"/>
    <w:rsid w:val="00E21BAF"/>
    <w:rsid w:val="00E21D32"/>
    <w:rsid w:val="00E221CC"/>
    <w:rsid w:val="00E22295"/>
    <w:rsid w:val="00E22362"/>
    <w:rsid w:val="00E23353"/>
    <w:rsid w:val="00E23365"/>
    <w:rsid w:val="00E235B4"/>
    <w:rsid w:val="00E23F5A"/>
    <w:rsid w:val="00E23FC1"/>
    <w:rsid w:val="00E2429B"/>
    <w:rsid w:val="00E24B79"/>
    <w:rsid w:val="00E25530"/>
    <w:rsid w:val="00E25759"/>
    <w:rsid w:val="00E260B3"/>
    <w:rsid w:val="00E26B2C"/>
    <w:rsid w:val="00E270E6"/>
    <w:rsid w:val="00E302BB"/>
    <w:rsid w:val="00E306AE"/>
    <w:rsid w:val="00E30B3C"/>
    <w:rsid w:val="00E31AA7"/>
    <w:rsid w:val="00E31B82"/>
    <w:rsid w:val="00E31BCB"/>
    <w:rsid w:val="00E31D69"/>
    <w:rsid w:val="00E32CC5"/>
    <w:rsid w:val="00E33176"/>
    <w:rsid w:val="00E336D7"/>
    <w:rsid w:val="00E33B8B"/>
    <w:rsid w:val="00E33DB9"/>
    <w:rsid w:val="00E358B7"/>
    <w:rsid w:val="00E35C8D"/>
    <w:rsid w:val="00E36956"/>
    <w:rsid w:val="00E36C3B"/>
    <w:rsid w:val="00E370F7"/>
    <w:rsid w:val="00E37F49"/>
    <w:rsid w:val="00E4015A"/>
    <w:rsid w:val="00E4027C"/>
    <w:rsid w:val="00E404CC"/>
    <w:rsid w:val="00E406B0"/>
    <w:rsid w:val="00E40A13"/>
    <w:rsid w:val="00E41511"/>
    <w:rsid w:val="00E41E21"/>
    <w:rsid w:val="00E42B8F"/>
    <w:rsid w:val="00E4314D"/>
    <w:rsid w:val="00E435D2"/>
    <w:rsid w:val="00E43707"/>
    <w:rsid w:val="00E438D7"/>
    <w:rsid w:val="00E439C5"/>
    <w:rsid w:val="00E44289"/>
    <w:rsid w:val="00E44523"/>
    <w:rsid w:val="00E445E3"/>
    <w:rsid w:val="00E44CF4"/>
    <w:rsid w:val="00E44F0C"/>
    <w:rsid w:val="00E45395"/>
    <w:rsid w:val="00E45D7F"/>
    <w:rsid w:val="00E46442"/>
    <w:rsid w:val="00E46C4B"/>
    <w:rsid w:val="00E46EC7"/>
    <w:rsid w:val="00E473C9"/>
    <w:rsid w:val="00E50097"/>
    <w:rsid w:val="00E50294"/>
    <w:rsid w:val="00E505BD"/>
    <w:rsid w:val="00E50CFD"/>
    <w:rsid w:val="00E514B2"/>
    <w:rsid w:val="00E517B6"/>
    <w:rsid w:val="00E527B0"/>
    <w:rsid w:val="00E5386D"/>
    <w:rsid w:val="00E541D5"/>
    <w:rsid w:val="00E5455F"/>
    <w:rsid w:val="00E5498E"/>
    <w:rsid w:val="00E54D9B"/>
    <w:rsid w:val="00E55599"/>
    <w:rsid w:val="00E56193"/>
    <w:rsid w:val="00E56EE5"/>
    <w:rsid w:val="00E572B7"/>
    <w:rsid w:val="00E57532"/>
    <w:rsid w:val="00E57A8E"/>
    <w:rsid w:val="00E603C3"/>
    <w:rsid w:val="00E612FC"/>
    <w:rsid w:val="00E61D5F"/>
    <w:rsid w:val="00E625C3"/>
    <w:rsid w:val="00E62687"/>
    <w:rsid w:val="00E63100"/>
    <w:rsid w:val="00E6312A"/>
    <w:rsid w:val="00E63BD9"/>
    <w:rsid w:val="00E646F6"/>
    <w:rsid w:val="00E649BB"/>
    <w:rsid w:val="00E64BAF"/>
    <w:rsid w:val="00E651DF"/>
    <w:rsid w:val="00E657C6"/>
    <w:rsid w:val="00E6648E"/>
    <w:rsid w:val="00E667EE"/>
    <w:rsid w:val="00E66AA6"/>
    <w:rsid w:val="00E6779D"/>
    <w:rsid w:val="00E67F13"/>
    <w:rsid w:val="00E67FDC"/>
    <w:rsid w:val="00E70A1F"/>
    <w:rsid w:val="00E70C0D"/>
    <w:rsid w:val="00E70CDB"/>
    <w:rsid w:val="00E70D1B"/>
    <w:rsid w:val="00E71076"/>
    <w:rsid w:val="00E712F0"/>
    <w:rsid w:val="00E71FF7"/>
    <w:rsid w:val="00E72025"/>
    <w:rsid w:val="00E726C1"/>
    <w:rsid w:val="00E7347D"/>
    <w:rsid w:val="00E7382B"/>
    <w:rsid w:val="00E74489"/>
    <w:rsid w:val="00E746AC"/>
    <w:rsid w:val="00E76100"/>
    <w:rsid w:val="00E766E2"/>
    <w:rsid w:val="00E76A44"/>
    <w:rsid w:val="00E76C94"/>
    <w:rsid w:val="00E774A0"/>
    <w:rsid w:val="00E774DB"/>
    <w:rsid w:val="00E77CB9"/>
    <w:rsid w:val="00E805E2"/>
    <w:rsid w:val="00E80DAE"/>
    <w:rsid w:val="00E8173B"/>
    <w:rsid w:val="00E817CB"/>
    <w:rsid w:val="00E81EEE"/>
    <w:rsid w:val="00E8283B"/>
    <w:rsid w:val="00E82CAC"/>
    <w:rsid w:val="00E82D8E"/>
    <w:rsid w:val="00E82DE5"/>
    <w:rsid w:val="00E836CA"/>
    <w:rsid w:val="00E83EC9"/>
    <w:rsid w:val="00E8427F"/>
    <w:rsid w:val="00E84B5A"/>
    <w:rsid w:val="00E8599F"/>
    <w:rsid w:val="00E85E19"/>
    <w:rsid w:val="00E860EE"/>
    <w:rsid w:val="00E862E2"/>
    <w:rsid w:val="00E86B3B"/>
    <w:rsid w:val="00E86C04"/>
    <w:rsid w:val="00E87318"/>
    <w:rsid w:val="00E874C3"/>
    <w:rsid w:val="00E903AA"/>
    <w:rsid w:val="00E90A7F"/>
    <w:rsid w:val="00E90EB0"/>
    <w:rsid w:val="00E915C2"/>
    <w:rsid w:val="00E92D66"/>
    <w:rsid w:val="00E93EAC"/>
    <w:rsid w:val="00E9454A"/>
    <w:rsid w:val="00E945F4"/>
    <w:rsid w:val="00E950F8"/>
    <w:rsid w:val="00E958E3"/>
    <w:rsid w:val="00E96998"/>
    <w:rsid w:val="00E96DD6"/>
    <w:rsid w:val="00E9719A"/>
    <w:rsid w:val="00E976E4"/>
    <w:rsid w:val="00E97CC0"/>
    <w:rsid w:val="00E97E24"/>
    <w:rsid w:val="00EA0176"/>
    <w:rsid w:val="00EA0755"/>
    <w:rsid w:val="00EA0B0E"/>
    <w:rsid w:val="00EA1739"/>
    <w:rsid w:val="00EA1743"/>
    <w:rsid w:val="00EA24C3"/>
    <w:rsid w:val="00EA32E0"/>
    <w:rsid w:val="00EA4C3F"/>
    <w:rsid w:val="00EA4EA9"/>
    <w:rsid w:val="00EA503E"/>
    <w:rsid w:val="00EA5939"/>
    <w:rsid w:val="00EA73C0"/>
    <w:rsid w:val="00EA76B0"/>
    <w:rsid w:val="00EA7815"/>
    <w:rsid w:val="00EB00EA"/>
    <w:rsid w:val="00EB0945"/>
    <w:rsid w:val="00EB0BDB"/>
    <w:rsid w:val="00EB137E"/>
    <w:rsid w:val="00EB1834"/>
    <w:rsid w:val="00EB1F63"/>
    <w:rsid w:val="00EB2094"/>
    <w:rsid w:val="00EB2449"/>
    <w:rsid w:val="00EB2C28"/>
    <w:rsid w:val="00EB3286"/>
    <w:rsid w:val="00EB3F51"/>
    <w:rsid w:val="00EB4271"/>
    <w:rsid w:val="00EB451B"/>
    <w:rsid w:val="00EB4588"/>
    <w:rsid w:val="00EB4CF4"/>
    <w:rsid w:val="00EB50F1"/>
    <w:rsid w:val="00EB513C"/>
    <w:rsid w:val="00EB5610"/>
    <w:rsid w:val="00EB5698"/>
    <w:rsid w:val="00EB5D0C"/>
    <w:rsid w:val="00EB63EF"/>
    <w:rsid w:val="00EB64CC"/>
    <w:rsid w:val="00EB6509"/>
    <w:rsid w:val="00EB6747"/>
    <w:rsid w:val="00EB6770"/>
    <w:rsid w:val="00EB71F7"/>
    <w:rsid w:val="00EB7525"/>
    <w:rsid w:val="00EB75CB"/>
    <w:rsid w:val="00EB7C31"/>
    <w:rsid w:val="00EC02BB"/>
    <w:rsid w:val="00EC09B5"/>
    <w:rsid w:val="00EC0AEA"/>
    <w:rsid w:val="00EC0D4A"/>
    <w:rsid w:val="00EC0D50"/>
    <w:rsid w:val="00EC0EB1"/>
    <w:rsid w:val="00EC1A0C"/>
    <w:rsid w:val="00EC1DA6"/>
    <w:rsid w:val="00EC2900"/>
    <w:rsid w:val="00EC35B4"/>
    <w:rsid w:val="00EC3B1A"/>
    <w:rsid w:val="00EC3DF6"/>
    <w:rsid w:val="00EC432B"/>
    <w:rsid w:val="00EC4716"/>
    <w:rsid w:val="00EC483B"/>
    <w:rsid w:val="00EC4E01"/>
    <w:rsid w:val="00EC4EE9"/>
    <w:rsid w:val="00EC558C"/>
    <w:rsid w:val="00EC5935"/>
    <w:rsid w:val="00EC5B97"/>
    <w:rsid w:val="00EC600B"/>
    <w:rsid w:val="00EC6761"/>
    <w:rsid w:val="00EC78C6"/>
    <w:rsid w:val="00EC7B7C"/>
    <w:rsid w:val="00EC7C12"/>
    <w:rsid w:val="00EC7EAC"/>
    <w:rsid w:val="00ED04C8"/>
    <w:rsid w:val="00ED09F3"/>
    <w:rsid w:val="00ED0ED7"/>
    <w:rsid w:val="00ED1164"/>
    <w:rsid w:val="00ED1C84"/>
    <w:rsid w:val="00ED1E2A"/>
    <w:rsid w:val="00ED31B3"/>
    <w:rsid w:val="00ED4271"/>
    <w:rsid w:val="00ED488E"/>
    <w:rsid w:val="00ED5074"/>
    <w:rsid w:val="00ED55CF"/>
    <w:rsid w:val="00ED5662"/>
    <w:rsid w:val="00ED59F7"/>
    <w:rsid w:val="00ED5B05"/>
    <w:rsid w:val="00ED71BE"/>
    <w:rsid w:val="00ED7428"/>
    <w:rsid w:val="00ED7A2A"/>
    <w:rsid w:val="00EE02C4"/>
    <w:rsid w:val="00EE04DE"/>
    <w:rsid w:val="00EE0540"/>
    <w:rsid w:val="00EE09DD"/>
    <w:rsid w:val="00EE0A22"/>
    <w:rsid w:val="00EE0AE7"/>
    <w:rsid w:val="00EE0E3B"/>
    <w:rsid w:val="00EE0EAF"/>
    <w:rsid w:val="00EE1FE1"/>
    <w:rsid w:val="00EE242C"/>
    <w:rsid w:val="00EE2778"/>
    <w:rsid w:val="00EE3165"/>
    <w:rsid w:val="00EE373A"/>
    <w:rsid w:val="00EE37EB"/>
    <w:rsid w:val="00EE40B1"/>
    <w:rsid w:val="00EE416D"/>
    <w:rsid w:val="00EE47EA"/>
    <w:rsid w:val="00EE4D05"/>
    <w:rsid w:val="00EE4D67"/>
    <w:rsid w:val="00EE4DD8"/>
    <w:rsid w:val="00EE54DD"/>
    <w:rsid w:val="00EE5700"/>
    <w:rsid w:val="00EE5E10"/>
    <w:rsid w:val="00EE61E8"/>
    <w:rsid w:val="00EE70DA"/>
    <w:rsid w:val="00EE786E"/>
    <w:rsid w:val="00EE7BAF"/>
    <w:rsid w:val="00EE7F16"/>
    <w:rsid w:val="00EF0065"/>
    <w:rsid w:val="00EF1606"/>
    <w:rsid w:val="00EF1B1B"/>
    <w:rsid w:val="00EF1D00"/>
    <w:rsid w:val="00EF1FF1"/>
    <w:rsid w:val="00EF27C3"/>
    <w:rsid w:val="00EF2A0A"/>
    <w:rsid w:val="00EF2D7E"/>
    <w:rsid w:val="00EF31D8"/>
    <w:rsid w:val="00EF34A1"/>
    <w:rsid w:val="00EF4152"/>
    <w:rsid w:val="00EF4D4D"/>
    <w:rsid w:val="00EF4D80"/>
    <w:rsid w:val="00EF4F55"/>
    <w:rsid w:val="00EF55A9"/>
    <w:rsid w:val="00EF5810"/>
    <w:rsid w:val="00EF6208"/>
    <w:rsid w:val="00EF63F8"/>
    <w:rsid w:val="00EF6428"/>
    <w:rsid w:val="00EF6E28"/>
    <w:rsid w:val="00EF75EA"/>
    <w:rsid w:val="00F008B7"/>
    <w:rsid w:val="00F0106C"/>
    <w:rsid w:val="00F012EB"/>
    <w:rsid w:val="00F01645"/>
    <w:rsid w:val="00F02180"/>
    <w:rsid w:val="00F0286D"/>
    <w:rsid w:val="00F02AEC"/>
    <w:rsid w:val="00F03607"/>
    <w:rsid w:val="00F039C3"/>
    <w:rsid w:val="00F03C53"/>
    <w:rsid w:val="00F0406E"/>
    <w:rsid w:val="00F05C17"/>
    <w:rsid w:val="00F05F98"/>
    <w:rsid w:val="00F0604C"/>
    <w:rsid w:val="00F060FC"/>
    <w:rsid w:val="00F0629F"/>
    <w:rsid w:val="00F0635E"/>
    <w:rsid w:val="00F06703"/>
    <w:rsid w:val="00F06C20"/>
    <w:rsid w:val="00F07A54"/>
    <w:rsid w:val="00F07B6A"/>
    <w:rsid w:val="00F07BE9"/>
    <w:rsid w:val="00F11211"/>
    <w:rsid w:val="00F115F4"/>
    <w:rsid w:val="00F1185C"/>
    <w:rsid w:val="00F11879"/>
    <w:rsid w:val="00F11B4F"/>
    <w:rsid w:val="00F11B92"/>
    <w:rsid w:val="00F12C22"/>
    <w:rsid w:val="00F13067"/>
    <w:rsid w:val="00F1322C"/>
    <w:rsid w:val="00F13236"/>
    <w:rsid w:val="00F1346A"/>
    <w:rsid w:val="00F14410"/>
    <w:rsid w:val="00F144CE"/>
    <w:rsid w:val="00F1478D"/>
    <w:rsid w:val="00F14AF6"/>
    <w:rsid w:val="00F1548D"/>
    <w:rsid w:val="00F15621"/>
    <w:rsid w:val="00F15623"/>
    <w:rsid w:val="00F1585B"/>
    <w:rsid w:val="00F15CAA"/>
    <w:rsid w:val="00F15D02"/>
    <w:rsid w:val="00F174A5"/>
    <w:rsid w:val="00F17CEC"/>
    <w:rsid w:val="00F17DE4"/>
    <w:rsid w:val="00F203BF"/>
    <w:rsid w:val="00F20596"/>
    <w:rsid w:val="00F21498"/>
    <w:rsid w:val="00F21565"/>
    <w:rsid w:val="00F21818"/>
    <w:rsid w:val="00F225EE"/>
    <w:rsid w:val="00F227A2"/>
    <w:rsid w:val="00F23493"/>
    <w:rsid w:val="00F23BCD"/>
    <w:rsid w:val="00F23CB2"/>
    <w:rsid w:val="00F241E3"/>
    <w:rsid w:val="00F24DCD"/>
    <w:rsid w:val="00F24E90"/>
    <w:rsid w:val="00F251AD"/>
    <w:rsid w:val="00F254AD"/>
    <w:rsid w:val="00F25A48"/>
    <w:rsid w:val="00F25EFD"/>
    <w:rsid w:val="00F265B6"/>
    <w:rsid w:val="00F275A8"/>
    <w:rsid w:val="00F2767F"/>
    <w:rsid w:val="00F30AAA"/>
    <w:rsid w:val="00F30C31"/>
    <w:rsid w:val="00F30F69"/>
    <w:rsid w:val="00F31ED8"/>
    <w:rsid w:val="00F325E9"/>
    <w:rsid w:val="00F3341B"/>
    <w:rsid w:val="00F334CF"/>
    <w:rsid w:val="00F34A9B"/>
    <w:rsid w:val="00F34F9D"/>
    <w:rsid w:val="00F35102"/>
    <w:rsid w:val="00F352A5"/>
    <w:rsid w:val="00F35342"/>
    <w:rsid w:val="00F357E5"/>
    <w:rsid w:val="00F36C39"/>
    <w:rsid w:val="00F36D7B"/>
    <w:rsid w:val="00F372D1"/>
    <w:rsid w:val="00F3740A"/>
    <w:rsid w:val="00F37721"/>
    <w:rsid w:val="00F378C1"/>
    <w:rsid w:val="00F37BE9"/>
    <w:rsid w:val="00F37EB5"/>
    <w:rsid w:val="00F4092C"/>
    <w:rsid w:val="00F4152C"/>
    <w:rsid w:val="00F41667"/>
    <w:rsid w:val="00F41EDD"/>
    <w:rsid w:val="00F43012"/>
    <w:rsid w:val="00F43549"/>
    <w:rsid w:val="00F43649"/>
    <w:rsid w:val="00F437E5"/>
    <w:rsid w:val="00F43957"/>
    <w:rsid w:val="00F44B20"/>
    <w:rsid w:val="00F450EE"/>
    <w:rsid w:val="00F454ED"/>
    <w:rsid w:val="00F45AFE"/>
    <w:rsid w:val="00F46EFE"/>
    <w:rsid w:val="00F47B19"/>
    <w:rsid w:val="00F47E5A"/>
    <w:rsid w:val="00F502D8"/>
    <w:rsid w:val="00F50B47"/>
    <w:rsid w:val="00F518A9"/>
    <w:rsid w:val="00F527EC"/>
    <w:rsid w:val="00F528B3"/>
    <w:rsid w:val="00F532A1"/>
    <w:rsid w:val="00F53322"/>
    <w:rsid w:val="00F5345C"/>
    <w:rsid w:val="00F5385E"/>
    <w:rsid w:val="00F539B7"/>
    <w:rsid w:val="00F53F60"/>
    <w:rsid w:val="00F540FF"/>
    <w:rsid w:val="00F545DE"/>
    <w:rsid w:val="00F54AE4"/>
    <w:rsid w:val="00F553DB"/>
    <w:rsid w:val="00F556E3"/>
    <w:rsid w:val="00F56068"/>
    <w:rsid w:val="00F561D3"/>
    <w:rsid w:val="00F56F75"/>
    <w:rsid w:val="00F5702F"/>
    <w:rsid w:val="00F57286"/>
    <w:rsid w:val="00F577CB"/>
    <w:rsid w:val="00F57C78"/>
    <w:rsid w:val="00F60085"/>
    <w:rsid w:val="00F60A16"/>
    <w:rsid w:val="00F61F44"/>
    <w:rsid w:val="00F63470"/>
    <w:rsid w:val="00F63CF3"/>
    <w:rsid w:val="00F64317"/>
    <w:rsid w:val="00F651D6"/>
    <w:rsid w:val="00F65C9F"/>
    <w:rsid w:val="00F66511"/>
    <w:rsid w:val="00F6657F"/>
    <w:rsid w:val="00F67086"/>
    <w:rsid w:val="00F6733A"/>
    <w:rsid w:val="00F67B03"/>
    <w:rsid w:val="00F67BEA"/>
    <w:rsid w:val="00F67C4A"/>
    <w:rsid w:val="00F70129"/>
    <w:rsid w:val="00F702DF"/>
    <w:rsid w:val="00F70428"/>
    <w:rsid w:val="00F705DA"/>
    <w:rsid w:val="00F70719"/>
    <w:rsid w:val="00F7150C"/>
    <w:rsid w:val="00F716D4"/>
    <w:rsid w:val="00F72BFB"/>
    <w:rsid w:val="00F72D55"/>
    <w:rsid w:val="00F73268"/>
    <w:rsid w:val="00F7331F"/>
    <w:rsid w:val="00F734C1"/>
    <w:rsid w:val="00F73C6E"/>
    <w:rsid w:val="00F74002"/>
    <w:rsid w:val="00F74285"/>
    <w:rsid w:val="00F745A8"/>
    <w:rsid w:val="00F7485C"/>
    <w:rsid w:val="00F75CB8"/>
    <w:rsid w:val="00F76B6A"/>
    <w:rsid w:val="00F76F72"/>
    <w:rsid w:val="00F771FD"/>
    <w:rsid w:val="00F777E4"/>
    <w:rsid w:val="00F77E8A"/>
    <w:rsid w:val="00F802B8"/>
    <w:rsid w:val="00F80C48"/>
    <w:rsid w:val="00F81304"/>
    <w:rsid w:val="00F819E1"/>
    <w:rsid w:val="00F82002"/>
    <w:rsid w:val="00F82557"/>
    <w:rsid w:val="00F82B39"/>
    <w:rsid w:val="00F82C07"/>
    <w:rsid w:val="00F82DB6"/>
    <w:rsid w:val="00F8354B"/>
    <w:rsid w:val="00F835A4"/>
    <w:rsid w:val="00F83935"/>
    <w:rsid w:val="00F8473E"/>
    <w:rsid w:val="00F84C30"/>
    <w:rsid w:val="00F8549E"/>
    <w:rsid w:val="00F86658"/>
    <w:rsid w:val="00F86880"/>
    <w:rsid w:val="00F87175"/>
    <w:rsid w:val="00F87238"/>
    <w:rsid w:val="00F87C1F"/>
    <w:rsid w:val="00F87E39"/>
    <w:rsid w:val="00F87F2B"/>
    <w:rsid w:val="00F90240"/>
    <w:rsid w:val="00F9068C"/>
    <w:rsid w:val="00F9133F"/>
    <w:rsid w:val="00F917E1"/>
    <w:rsid w:val="00F91DCD"/>
    <w:rsid w:val="00F922E3"/>
    <w:rsid w:val="00F933C1"/>
    <w:rsid w:val="00F9361A"/>
    <w:rsid w:val="00F9397D"/>
    <w:rsid w:val="00F93AEA"/>
    <w:rsid w:val="00F94749"/>
    <w:rsid w:val="00F94AC4"/>
    <w:rsid w:val="00F94D90"/>
    <w:rsid w:val="00F955A0"/>
    <w:rsid w:val="00F95656"/>
    <w:rsid w:val="00F96AAB"/>
    <w:rsid w:val="00F96F57"/>
    <w:rsid w:val="00F976CE"/>
    <w:rsid w:val="00F97732"/>
    <w:rsid w:val="00F97E82"/>
    <w:rsid w:val="00FA095A"/>
    <w:rsid w:val="00FA0D3B"/>
    <w:rsid w:val="00FA119F"/>
    <w:rsid w:val="00FA13CF"/>
    <w:rsid w:val="00FA25B6"/>
    <w:rsid w:val="00FA2B5C"/>
    <w:rsid w:val="00FA3368"/>
    <w:rsid w:val="00FA3D06"/>
    <w:rsid w:val="00FA46E6"/>
    <w:rsid w:val="00FA4CBF"/>
    <w:rsid w:val="00FA5A19"/>
    <w:rsid w:val="00FA63AD"/>
    <w:rsid w:val="00FA7208"/>
    <w:rsid w:val="00FA741B"/>
    <w:rsid w:val="00FA77DD"/>
    <w:rsid w:val="00FA7E3E"/>
    <w:rsid w:val="00FB00F4"/>
    <w:rsid w:val="00FB0880"/>
    <w:rsid w:val="00FB0968"/>
    <w:rsid w:val="00FB0E2A"/>
    <w:rsid w:val="00FB194E"/>
    <w:rsid w:val="00FB26AF"/>
    <w:rsid w:val="00FB2C78"/>
    <w:rsid w:val="00FB2F2B"/>
    <w:rsid w:val="00FB302C"/>
    <w:rsid w:val="00FB37B0"/>
    <w:rsid w:val="00FB394F"/>
    <w:rsid w:val="00FB3B26"/>
    <w:rsid w:val="00FB424B"/>
    <w:rsid w:val="00FB5440"/>
    <w:rsid w:val="00FB62AB"/>
    <w:rsid w:val="00FB645A"/>
    <w:rsid w:val="00FB6A14"/>
    <w:rsid w:val="00FB6A17"/>
    <w:rsid w:val="00FB6E14"/>
    <w:rsid w:val="00FB6FD9"/>
    <w:rsid w:val="00FB7295"/>
    <w:rsid w:val="00FB72D3"/>
    <w:rsid w:val="00FB7679"/>
    <w:rsid w:val="00FB7BC5"/>
    <w:rsid w:val="00FC10A4"/>
    <w:rsid w:val="00FC11A9"/>
    <w:rsid w:val="00FC1306"/>
    <w:rsid w:val="00FC1637"/>
    <w:rsid w:val="00FC176B"/>
    <w:rsid w:val="00FC1C34"/>
    <w:rsid w:val="00FC1D49"/>
    <w:rsid w:val="00FC256E"/>
    <w:rsid w:val="00FC3BB4"/>
    <w:rsid w:val="00FC3C5E"/>
    <w:rsid w:val="00FC3E20"/>
    <w:rsid w:val="00FC41D5"/>
    <w:rsid w:val="00FC4DFF"/>
    <w:rsid w:val="00FC55ED"/>
    <w:rsid w:val="00FC5CC3"/>
    <w:rsid w:val="00FC6087"/>
    <w:rsid w:val="00FC6636"/>
    <w:rsid w:val="00FC6F28"/>
    <w:rsid w:val="00FC772F"/>
    <w:rsid w:val="00FC7CDA"/>
    <w:rsid w:val="00FC7E46"/>
    <w:rsid w:val="00FC7F85"/>
    <w:rsid w:val="00FD13C2"/>
    <w:rsid w:val="00FD2637"/>
    <w:rsid w:val="00FD2A25"/>
    <w:rsid w:val="00FD348A"/>
    <w:rsid w:val="00FD3518"/>
    <w:rsid w:val="00FD38E4"/>
    <w:rsid w:val="00FD4E55"/>
    <w:rsid w:val="00FD63A0"/>
    <w:rsid w:val="00FD649D"/>
    <w:rsid w:val="00FD679B"/>
    <w:rsid w:val="00FD6C79"/>
    <w:rsid w:val="00FD727C"/>
    <w:rsid w:val="00FD77CB"/>
    <w:rsid w:val="00FE0056"/>
    <w:rsid w:val="00FE0433"/>
    <w:rsid w:val="00FE0E27"/>
    <w:rsid w:val="00FE0F2A"/>
    <w:rsid w:val="00FE176D"/>
    <w:rsid w:val="00FE230D"/>
    <w:rsid w:val="00FE258D"/>
    <w:rsid w:val="00FE26F6"/>
    <w:rsid w:val="00FE2C54"/>
    <w:rsid w:val="00FE3566"/>
    <w:rsid w:val="00FE41FC"/>
    <w:rsid w:val="00FE45E5"/>
    <w:rsid w:val="00FE4902"/>
    <w:rsid w:val="00FE4A8E"/>
    <w:rsid w:val="00FE58FA"/>
    <w:rsid w:val="00FE6253"/>
    <w:rsid w:val="00FE6523"/>
    <w:rsid w:val="00FE6837"/>
    <w:rsid w:val="00FE7297"/>
    <w:rsid w:val="00FE74EC"/>
    <w:rsid w:val="00FE7C2F"/>
    <w:rsid w:val="00FE7C38"/>
    <w:rsid w:val="00FF04F2"/>
    <w:rsid w:val="00FF08B8"/>
    <w:rsid w:val="00FF1323"/>
    <w:rsid w:val="00FF1600"/>
    <w:rsid w:val="00FF174B"/>
    <w:rsid w:val="00FF2A32"/>
    <w:rsid w:val="00FF2E4E"/>
    <w:rsid w:val="00FF311B"/>
    <w:rsid w:val="00FF3189"/>
    <w:rsid w:val="00FF32CE"/>
    <w:rsid w:val="00FF3A29"/>
    <w:rsid w:val="00FF500E"/>
    <w:rsid w:val="00FF5370"/>
    <w:rsid w:val="00FF53C9"/>
    <w:rsid w:val="00FF557D"/>
    <w:rsid w:val="00FF5885"/>
    <w:rsid w:val="00FF5BAC"/>
    <w:rsid w:val="00FF5D82"/>
    <w:rsid w:val="00FF63B3"/>
    <w:rsid w:val="00FF6481"/>
    <w:rsid w:val="00FF668E"/>
    <w:rsid w:val="00FF68FA"/>
    <w:rsid w:val="00FF71E7"/>
    <w:rsid w:val="00FF7626"/>
    <w:rsid w:val="00FF7B57"/>
    <w:rsid w:val="0103164E"/>
    <w:rsid w:val="010709D5"/>
    <w:rsid w:val="01122130"/>
    <w:rsid w:val="0117225E"/>
    <w:rsid w:val="011E021E"/>
    <w:rsid w:val="01223610"/>
    <w:rsid w:val="012B42E8"/>
    <w:rsid w:val="012C7642"/>
    <w:rsid w:val="01320680"/>
    <w:rsid w:val="013703CF"/>
    <w:rsid w:val="01373E82"/>
    <w:rsid w:val="013A526B"/>
    <w:rsid w:val="013D4B60"/>
    <w:rsid w:val="013F7605"/>
    <w:rsid w:val="014028B7"/>
    <w:rsid w:val="014918D7"/>
    <w:rsid w:val="014B7979"/>
    <w:rsid w:val="014D6483"/>
    <w:rsid w:val="014F0EBB"/>
    <w:rsid w:val="01521C8D"/>
    <w:rsid w:val="01597637"/>
    <w:rsid w:val="015F7851"/>
    <w:rsid w:val="01666915"/>
    <w:rsid w:val="01671BDD"/>
    <w:rsid w:val="01684C81"/>
    <w:rsid w:val="016A35FA"/>
    <w:rsid w:val="016B5865"/>
    <w:rsid w:val="016E1D0C"/>
    <w:rsid w:val="01724FA5"/>
    <w:rsid w:val="01743121"/>
    <w:rsid w:val="0175713A"/>
    <w:rsid w:val="0185025A"/>
    <w:rsid w:val="01891A67"/>
    <w:rsid w:val="01A50648"/>
    <w:rsid w:val="01A82A93"/>
    <w:rsid w:val="01AC12C8"/>
    <w:rsid w:val="01BA5BBE"/>
    <w:rsid w:val="01BB5A85"/>
    <w:rsid w:val="01BD33BB"/>
    <w:rsid w:val="01C51AAC"/>
    <w:rsid w:val="01C70CFF"/>
    <w:rsid w:val="01C755A5"/>
    <w:rsid w:val="01C84FC5"/>
    <w:rsid w:val="01CB15F2"/>
    <w:rsid w:val="01D628BE"/>
    <w:rsid w:val="01D838BE"/>
    <w:rsid w:val="01DB72C6"/>
    <w:rsid w:val="01DF7C0F"/>
    <w:rsid w:val="01E027E4"/>
    <w:rsid w:val="01E823A5"/>
    <w:rsid w:val="01F37AE1"/>
    <w:rsid w:val="02063968"/>
    <w:rsid w:val="0206753D"/>
    <w:rsid w:val="02085FB6"/>
    <w:rsid w:val="0216715F"/>
    <w:rsid w:val="0217718A"/>
    <w:rsid w:val="021A075C"/>
    <w:rsid w:val="021C30AB"/>
    <w:rsid w:val="021E73DE"/>
    <w:rsid w:val="021F6013"/>
    <w:rsid w:val="02253604"/>
    <w:rsid w:val="023152DB"/>
    <w:rsid w:val="023451A0"/>
    <w:rsid w:val="023A109F"/>
    <w:rsid w:val="024145F8"/>
    <w:rsid w:val="02444BF9"/>
    <w:rsid w:val="0248052C"/>
    <w:rsid w:val="024A3C6A"/>
    <w:rsid w:val="024D6822"/>
    <w:rsid w:val="025054C8"/>
    <w:rsid w:val="02633DD5"/>
    <w:rsid w:val="026E5504"/>
    <w:rsid w:val="027125E7"/>
    <w:rsid w:val="02753E85"/>
    <w:rsid w:val="027E086A"/>
    <w:rsid w:val="02852D9C"/>
    <w:rsid w:val="028A4DC2"/>
    <w:rsid w:val="028B3B4E"/>
    <w:rsid w:val="029A38EC"/>
    <w:rsid w:val="029F6EAC"/>
    <w:rsid w:val="02A72119"/>
    <w:rsid w:val="02AB725B"/>
    <w:rsid w:val="02B341E8"/>
    <w:rsid w:val="02B40E52"/>
    <w:rsid w:val="02B60495"/>
    <w:rsid w:val="02B61689"/>
    <w:rsid w:val="02B82118"/>
    <w:rsid w:val="02BA12E1"/>
    <w:rsid w:val="02BC346B"/>
    <w:rsid w:val="02C23318"/>
    <w:rsid w:val="02C272B3"/>
    <w:rsid w:val="02D74385"/>
    <w:rsid w:val="02E013AF"/>
    <w:rsid w:val="02E11AC0"/>
    <w:rsid w:val="02E828A9"/>
    <w:rsid w:val="02ED12BC"/>
    <w:rsid w:val="02EE634D"/>
    <w:rsid w:val="02F33B1A"/>
    <w:rsid w:val="02F66888"/>
    <w:rsid w:val="02FA58CD"/>
    <w:rsid w:val="03083A13"/>
    <w:rsid w:val="030943D8"/>
    <w:rsid w:val="030A6F2F"/>
    <w:rsid w:val="03107C97"/>
    <w:rsid w:val="03162A63"/>
    <w:rsid w:val="031A770B"/>
    <w:rsid w:val="032C298F"/>
    <w:rsid w:val="032E3BE3"/>
    <w:rsid w:val="033459BE"/>
    <w:rsid w:val="03370BB9"/>
    <w:rsid w:val="0341214E"/>
    <w:rsid w:val="034328A9"/>
    <w:rsid w:val="0343533A"/>
    <w:rsid w:val="03441E07"/>
    <w:rsid w:val="03467BDD"/>
    <w:rsid w:val="034D09F9"/>
    <w:rsid w:val="0363068D"/>
    <w:rsid w:val="03675EC4"/>
    <w:rsid w:val="03736775"/>
    <w:rsid w:val="03746914"/>
    <w:rsid w:val="03774F35"/>
    <w:rsid w:val="037C1244"/>
    <w:rsid w:val="0386292D"/>
    <w:rsid w:val="03866FAD"/>
    <w:rsid w:val="03882911"/>
    <w:rsid w:val="039667A9"/>
    <w:rsid w:val="039C4176"/>
    <w:rsid w:val="039D18E6"/>
    <w:rsid w:val="039D65D4"/>
    <w:rsid w:val="039E5164"/>
    <w:rsid w:val="03AF70F5"/>
    <w:rsid w:val="03BA61F3"/>
    <w:rsid w:val="03BB7C4B"/>
    <w:rsid w:val="03C32DC3"/>
    <w:rsid w:val="03CB21A2"/>
    <w:rsid w:val="03D33D1F"/>
    <w:rsid w:val="03DC0893"/>
    <w:rsid w:val="03E26E9D"/>
    <w:rsid w:val="03E65279"/>
    <w:rsid w:val="03F333DD"/>
    <w:rsid w:val="04000625"/>
    <w:rsid w:val="04195758"/>
    <w:rsid w:val="041A2328"/>
    <w:rsid w:val="041C1A1D"/>
    <w:rsid w:val="04201C93"/>
    <w:rsid w:val="042041B1"/>
    <w:rsid w:val="0426409E"/>
    <w:rsid w:val="04341860"/>
    <w:rsid w:val="043974A5"/>
    <w:rsid w:val="043A0A7B"/>
    <w:rsid w:val="043C2389"/>
    <w:rsid w:val="043E08CC"/>
    <w:rsid w:val="04422BA3"/>
    <w:rsid w:val="044367F9"/>
    <w:rsid w:val="04442CF2"/>
    <w:rsid w:val="04494535"/>
    <w:rsid w:val="044C4EEA"/>
    <w:rsid w:val="044C6CC0"/>
    <w:rsid w:val="04501303"/>
    <w:rsid w:val="045171A1"/>
    <w:rsid w:val="04584D81"/>
    <w:rsid w:val="04605215"/>
    <w:rsid w:val="046A6A32"/>
    <w:rsid w:val="04746018"/>
    <w:rsid w:val="04781799"/>
    <w:rsid w:val="04804F01"/>
    <w:rsid w:val="04826712"/>
    <w:rsid w:val="048767D9"/>
    <w:rsid w:val="048E56D2"/>
    <w:rsid w:val="04926DD2"/>
    <w:rsid w:val="049A0A94"/>
    <w:rsid w:val="049C7DEF"/>
    <w:rsid w:val="049E490C"/>
    <w:rsid w:val="04A45450"/>
    <w:rsid w:val="04AA7061"/>
    <w:rsid w:val="04AB16AA"/>
    <w:rsid w:val="04AE1654"/>
    <w:rsid w:val="04B32355"/>
    <w:rsid w:val="04BC02DB"/>
    <w:rsid w:val="04C21AB2"/>
    <w:rsid w:val="04CD59F7"/>
    <w:rsid w:val="04D254E7"/>
    <w:rsid w:val="04E409FF"/>
    <w:rsid w:val="04EE2F06"/>
    <w:rsid w:val="04F2316D"/>
    <w:rsid w:val="04F25C61"/>
    <w:rsid w:val="04F63835"/>
    <w:rsid w:val="0502468C"/>
    <w:rsid w:val="051465DA"/>
    <w:rsid w:val="051D0071"/>
    <w:rsid w:val="051E6BC2"/>
    <w:rsid w:val="052B507E"/>
    <w:rsid w:val="052B683E"/>
    <w:rsid w:val="052D5FAC"/>
    <w:rsid w:val="0532605E"/>
    <w:rsid w:val="05380C86"/>
    <w:rsid w:val="053E160B"/>
    <w:rsid w:val="055C7F0C"/>
    <w:rsid w:val="05616943"/>
    <w:rsid w:val="056847E6"/>
    <w:rsid w:val="056922E9"/>
    <w:rsid w:val="057743B8"/>
    <w:rsid w:val="057E66F9"/>
    <w:rsid w:val="0586709B"/>
    <w:rsid w:val="05897CDC"/>
    <w:rsid w:val="058E3AD8"/>
    <w:rsid w:val="059029A4"/>
    <w:rsid w:val="059038F7"/>
    <w:rsid w:val="059039E2"/>
    <w:rsid w:val="059410B8"/>
    <w:rsid w:val="05960378"/>
    <w:rsid w:val="05995D02"/>
    <w:rsid w:val="05A84EC8"/>
    <w:rsid w:val="05AA5FDA"/>
    <w:rsid w:val="05B34400"/>
    <w:rsid w:val="05BA2D92"/>
    <w:rsid w:val="05C06902"/>
    <w:rsid w:val="05C9036D"/>
    <w:rsid w:val="05E0766C"/>
    <w:rsid w:val="05E2484B"/>
    <w:rsid w:val="05E25CD6"/>
    <w:rsid w:val="05E97064"/>
    <w:rsid w:val="05F144A2"/>
    <w:rsid w:val="05F56442"/>
    <w:rsid w:val="05F841E7"/>
    <w:rsid w:val="05FA2DB7"/>
    <w:rsid w:val="05FC4CED"/>
    <w:rsid w:val="06217070"/>
    <w:rsid w:val="06300119"/>
    <w:rsid w:val="06361377"/>
    <w:rsid w:val="064128FE"/>
    <w:rsid w:val="065950D7"/>
    <w:rsid w:val="066232F4"/>
    <w:rsid w:val="066C5C04"/>
    <w:rsid w:val="066C60FE"/>
    <w:rsid w:val="066D19F4"/>
    <w:rsid w:val="06710D74"/>
    <w:rsid w:val="0671705A"/>
    <w:rsid w:val="06832AB3"/>
    <w:rsid w:val="06852446"/>
    <w:rsid w:val="06881794"/>
    <w:rsid w:val="069D20E7"/>
    <w:rsid w:val="069E1D32"/>
    <w:rsid w:val="06A91F53"/>
    <w:rsid w:val="06B112FE"/>
    <w:rsid w:val="06C278B5"/>
    <w:rsid w:val="06C90C44"/>
    <w:rsid w:val="06D97725"/>
    <w:rsid w:val="06E61600"/>
    <w:rsid w:val="06E65352"/>
    <w:rsid w:val="06E67D61"/>
    <w:rsid w:val="06ED4CC0"/>
    <w:rsid w:val="06F27A45"/>
    <w:rsid w:val="06F4424D"/>
    <w:rsid w:val="06FF23D6"/>
    <w:rsid w:val="07096CC1"/>
    <w:rsid w:val="070E129E"/>
    <w:rsid w:val="07156876"/>
    <w:rsid w:val="071626FD"/>
    <w:rsid w:val="071B1DE5"/>
    <w:rsid w:val="07333F79"/>
    <w:rsid w:val="07356F37"/>
    <w:rsid w:val="07360D91"/>
    <w:rsid w:val="07400FDC"/>
    <w:rsid w:val="0744651C"/>
    <w:rsid w:val="074B1D32"/>
    <w:rsid w:val="074D03D5"/>
    <w:rsid w:val="07555F40"/>
    <w:rsid w:val="075E1EE4"/>
    <w:rsid w:val="0760737D"/>
    <w:rsid w:val="076338E1"/>
    <w:rsid w:val="0765096C"/>
    <w:rsid w:val="076C3102"/>
    <w:rsid w:val="07780500"/>
    <w:rsid w:val="07815477"/>
    <w:rsid w:val="078D61F9"/>
    <w:rsid w:val="079F3E5F"/>
    <w:rsid w:val="079F4D65"/>
    <w:rsid w:val="07A31D66"/>
    <w:rsid w:val="07AF1BE8"/>
    <w:rsid w:val="07B16D46"/>
    <w:rsid w:val="07C24440"/>
    <w:rsid w:val="07D53A48"/>
    <w:rsid w:val="07DB691B"/>
    <w:rsid w:val="07DC16FD"/>
    <w:rsid w:val="07DD1395"/>
    <w:rsid w:val="07DD3FB9"/>
    <w:rsid w:val="07E13E6C"/>
    <w:rsid w:val="07E25D85"/>
    <w:rsid w:val="07E73520"/>
    <w:rsid w:val="07E86A17"/>
    <w:rsid w:val="07E938E3"/>
    <w:rsid w:val="07EA1CC2"/>
    <w:rsid w:val="07FD655D"/>
    <w:rsid w:val="07FD6770"/>
    <w:rsid w:val="07FE03BA"/>
    <w:rsid w:val="0804450E"/>
    <w:rsid w:val="08092CA5"/>
    <w:rsid w:val="080F637B"/>
    <w:rsid w:val="081401A1"/>
    <w:rsid w:val="08273617"/>
    <w:rsid w:val="08362309"/>
    <w:rsid w:val="084149A7"/>
    <w:rsid w:val="084464AE"/>
    <w:rsid w:val="084674BB"/>
    <w:rsid w:val="0849203C"/>
    <w:rsid w:val="08584C96"/>
    <w:rsid w:val="08603D2F"/>
    <w:rsid w:val="086330FF"/>
    <w:rsid w:val="0863460A"/>
    <w:rsid w:val="086F7812"/>
    <w:rsid w:val="08750F57"/>
    <w:rsid w:val="088542E4"/>
    <w:rsid w:val="08945F49"/>
    <w:rsid w:val="08A003F8"/>
    <w:rsid w:val="08A207B6"/>
    <w:rsid w:val="08A74636"/>
    <w:rsid w:val="08AB3E69"/>
    <w:rsid w:val="08AC5F1C"/>
    <w:rsid w:val="08BA12C7"/>
    <w:rsid w:val="08BB262C"/>
    <w:rsid w:val="08BB4EF0"/>
    <w:rsid w:val="08CA2C41"/>
    <w:rsid w:val="08CB7AEB"/>
    <w:rsid w:val="08CD5364"/>
    <w:rsid w:val="08CE49CC"/>
    <w:rsid w:val="08D567EF"/>
    <w:rsid w:val="08D613F6"/>
    <w:rsid w:val="08DD25A5"/>
    <w:rsid w:val="08DD6D78"/>
    <w:rsid w:val="08DE1D3C"/>
    <w:rsid w:val="08E540F2"/>
    <w:rsid w:val="08E961E2"/>
    <w:rsid w:val="08F355DD"/>
    <w:rsid w:val="08FC3291"/>
    <w:rsid w:val="09000805"/>
    <w:rsid w:val="090B35E0"/>
    <w:rsid w:val="090B609C"/>
    <w:rsid w:val="090C5733"/>
    <w:rsid w:val="09142A93"/>
    <w:rsid w:val="0919430F"/>
    <w:rsid w:val="091E66A9"/>
    <w:rsid w:val="0922439C"/>
    <w:rsid w:val="09231E2E"/>
    <w:rsid w:val="09237A3C"/>
    <w:rsid w:val="092E0802"/>
    <w:rsid w:val="09382BB6"/>
    <w:rsid w:val="093C61C8"/>
    <w:rsid w:val="09453D04"/>
    <w:rsid w:val="094757DA"/>
    <w:rsid w:val="094D6BC3"/>
    <w:rsid w:val="095A2027"/>
    <w:rsid w:val="095B6F5A"/>
    <w:rsid w:val="095E38C5"/>
    <w:rsid w:val="096040A1"/>
    <w:rsid w:val="096133B5"/>
    <w:rsid w:val="096671CF"/>
    <w:rsid w:val="096C231C"/>
    <w:rsid w:val="096C7A32"/>
    <w:rsid w:val="09705F52"/>
    <w:rsid w:val="09784463"/>
    <w:rsid w:val="09837707"/>
    <w:rsid w:val="098F7771"/>
    <w:rsid w:val="0990541A"/>
    <w:rsid w:val="09A01FBD"/>
    <w:rsid w:val="09A14074"/>
    <w:rsid w:val="09B20324"/>
    <w:rsid w:val="09B73BBE"/>
    <w:rsid w:val="09BB19D8"/>
    <w:rsid w:val="09BC05EC"/>
    <w:rsid w:val="09D93006"/>
    <w:rsid w:val="09DE66D1"/>
    <w:rsid w:val="09E03F49"/>
    <w:rsid w:val="09E04884"/>
    <w:rsid w:val="09FC0DB4"/>
    <w:rsid w:val="0A025B8A"/>
    <w:rsid w:val="0A073BAC"/>
    <w:rsid w:val="0A086B52"/>
    <w:rsid w:val="0A087569"/>
    <w:rsid w:val="0A0C0F2A"/>
    <w:rsid w:val="0A113379"/>
    <w:rsid w:val="0A1E418E"/>
    <w:rsid w:val="0A2E3866"/>
    <w:rsid w:val="0A395331"/>
    <w:rsid w:val="0A3E3EA0"/>
    <w:rsid w:val="0A421857"/>
    <w:rsid w:val="0A516136"/>
    <w:rsid w:val="0A535FE9"/>
    <w:rsid w:val="0A546AAE"/>
    <w:rsid w:val="0A5532E1"/>
    <w:rsid w:val="0A58640F"/>
    <w:rsid w:val="0A594504"/>
    <w:rsid w:val="0A5F1A8C"/>
    <w:rsid w:val="0A646B69"/>
    <w:rsid w:val="0A7957F7"/>
    <w:rsid w:val="0A7B30DF"/>
    <w:rsid w:val="0A81244D"/>
    <w:rsid w:val="0A872BB3"/>
    <w:rsid w:val="0A905466"/>
    <w:rsid w:val="0A91152F"/>
    <w:rsid w:val="0A9D7797"/>
    <w:rsid w:val="0AAA5E46"/>
    <w:rsid w:val="0AAF25D0"/>
    <w:rsid w:val="0AC97464"/>
    <w:rsid w:val="0AD07F17"/>
    <w:rsid w:val="0ADB6702"/>
    <w:rsid w:val="0ADD266E"/>
    <w:rsid w:val="0AE25915"/>
    <w:rsid w:val="0AEC3731"/>
    <w:rsid w:val="0AEE3F8D"/>
    <w:rsid w:val="0AF5341C"/>
    <w:rsid w:val="0AF8222D"/>
    <w:rsid w:val="0AFE727D"/>
    <w:rsid w:val="0AFF59E4"/>
    <w:rsid w:val="0B024724"/>
    <w:rsid w:val="0B026EC9"/>
    <w:rsid w:val="0B031239"/>
    <w:rsid w:val="0B0B60B1"/>
    <w:rsid w:val="0B0F4C01"/>
    <w:rsid w:val="0B1445C7"/>
    <w:rsid w:val="0B1A2357"/>
    <w:rsid w:val="0B1D703B"/>
    <w:rsid w:val="0B2E4C7A"/>
    <w:rsid w:val="0B47030F"/>
    <w:rsid w:val="0B4C7A7E"/>
    <w:rsid w:val="0B521EB7"/>
    <w:rsid w:val="0B5B683C"/>
    <w:rsid w:val="0B5E58E8"/>
    <w:rsid w:val="0B633415"/>
    <w:rsid w:val="0B637EC8"/>
    <w:rsid w:val="0B665A2B"/>
    <w:rsid w:val="0B6A0309"/>
    <w:rsid w:val="0B733FA1"/>
    <w:rsid w:val="0B8200CC"/>
    <w:rsid w:val="0B896BF3"/>
    <w:rsid w:val="0B8A4885"/>
    <w:rsid w:val="0B8F0DC3"/>
    <w:rsid w:val="0B90363C"/>
    <w:rsid w:val="0B934D98"/>
    <w:rsid w:val="0BA37CB5"/>
    <w:rsid w:val="0BA43F25"/>
    <w:rsid w:val="0BAA250A"/>
    <w:rsid w:val="0BB11F3D"/>
    <w:rsid w:val="0BB210AB"/>
    <w:rsid w:val="0BB410A2"/>
    <w:rsid w:val="0BB45E1D"/>
    <w:rsid w:val="0BB45F4F"/>
    <w:rsid w:val="0BBD3A61"/>
    <w:rsid w:val="0BC4722D"/>
    <w:rsid w:val="0BD630F8"/>
    <w:rsid w:val="0BDA7E08"/>
    <w:rsid w:val="0BDC4385"/>
    <w:rsid w:val="0BE06ACC"/>
    <w:rsid w:val="0BE2577C"/>
    <w:rsid w:val="0BE567B3"/>
    <w:rsid w:val="0BE959F3"/>
    <w:rsid w:val="0BEB2351"/>
    <w:rsid w:val="0C022271"/>
    <w:rsid w:val="0C056A4A"/>
    <w:rsid w:val="0C1A75AB"/>
    <w:rsid w:val="0C2321AD"/>
    <w:rsid w:val="0C283B46"/>
    <w:rsid w:val="0C323A1C"/>
    <w:rsid w:val="0C333588"/>
    <w:rsid w:val="0C347BF3"/>
    <w:rsid w:val="0C4A3FDA"/>
    <w:rsid w:val="0C4F7423"/>
    <w:rsid w:val="0C533D51"/>
    <w:rsid w:val="0C5806CA"/>
    <w:rsid w:val="0C5A0494"/>
    <w:rsid w:val="0C6857A9"/>
    <w:rsid w:val="0C7614A8"/>
    <w:rsid w:val="0C796C68"/>
    <w:rsid w:val="0C8A40D9"/>
    <w:rsid w:val="0C8C7947"/>
    <w:rsid w:val="0C8D65AE"/>
    <w:rsid w:val="0C920DC9"/>
    <w:rsid w:val="0C924D4B"/>
    <w:rsid w:val="0C987B93"/>
    <w:rsid w:val="0C9A3CCB"/>
    <w:rsid w:val="0C9C29A1"/>
    <w:rsid w:val="0CA54576"/>
    <w:rsid w:val="0CAA7D8C"/>
    <w:rsid w:val="0CB51B06"/>
    <w:rsid w:val="0CB56C96"/>
    <w:rsid w:val="0CBF43C2"/>
    <w:rsid w:val="0CC162A1"/>
    <w:rsid w:val="0CC67A7E"/>
    <w:rsid w:val="0CC95CC9"/>
    <w:rsid w:val="0CCC323C"/>
    <w:rsid w:val="0CD039A4"/>
    <w:rsid w:val="0CD976CE"/>
    <w:rsid w:val="0CDE388A"/>
    <w:rsid w:val="0CE562AD"/>
    <w:rsid w:val="0CEF7725"/>
    <w:rsid w:val="0CF25558"/>
    <w:rsid w:val="0CF4009D"/>
    <w:rsid w:val="0CF957B7"/>
    <w:rsid w:val="0CFF24A0"/>
    <w:rsid w:val="0D0764B7"/>
    <w:rsid w:val="0D0A0F90"/>
    <w:rsid w:val="0D0E01E4"/>
    <w:rsid w:val="0D107B62"/>
    <w:rsid w:val="0D181FDD"/>
    <w:rsid w:val="0D1A3FA7"/>
    <w:rsid w:val="0D1D1AB8"/>
    <w:rsid w:val="0D200B23"/>
    <w:rsid w:val="0D2147C4"/>
    <w:rsid w:val="0D247ED5"/>
    <w:rsid w:val="0D2A1D10"/>
    <w:rsid w:val="0D3A284D"/>
    <w:rsid w:val="0D3B5559"/>
    <w:rsid w:val="0D3F776A"/>
    <w:rsid w:val="0D4171EF"/>
    <w:rsid w:val="0D471659"/>
    <w:rsid w:val="0D4B32E4"/>
    <w:rsid w:val="0D4B360C"/>
    <w:rsid w:val="0D4D579A"/>
    <w:rsid w:val="0D5138CD"/>
    <w:rsid w:val="0D5C3454"/>
    <w:rsid w:val="0D5D20CF"/>
    <w:rsid w:val="0D5E7D1D"/>
    <w:rsid w:val="0D615DE6"/>
    <w:rsid w:val="0D6E36EE"/>
    <w:rsid w:val="0D6F2B98"/>
    <w:rsid w:val="0D7252C5"/>
    <w:rsid w:val="0D7412D8"/>
    <w:rsid w:val="0D7A350A"/>
    <w:rsid w:val="0D8571F7"/>
    <w:rsid w:val="0D8722DF"/>
    <w:rsid w:val="0D893C4B"/>
    <w:rsid w:val="0D8F249A"/>
    <w:rsid w:val="0D9017DC"/>
    <w:rsid w:val="0D92483C"/>
    <w:rsid w:val="0D924960"/>
    <w:rsid w:val="0D9364B5"/>
    <w:rsid w:val="0D943D8B"/>
    <w:rsid w:val="0D9A24B0"/>
    <w:rsid w:val="0D9B6198"/>
    <w:rsid w:val="0D9D57F1"/>
    <w:rsid w:val="0DA12E59"/>
    <w:rsid w:val="0DA5364E"/>
    <w:rsid w:val="0DA72ACC"/>
    <w:rsid w:val="0DA823CA"/>
    <w:rsid w:val="0DA864B6"/>
    <w:rsid w:val="0DAA71AB"/>
    <w:rsid w:val="0DB51F60"/>
    <w:rsid w:val="0DB56343"/>
    <w:rsid w:val="0DBC2079"/>
    <w:rsid w:val="0DBF52BC"/>
    <w:rsid w:val="0DBF6AE4"/>
    <w:rsid w:val="0DC43593"/>
    <w:rsid w:val="0DC67CBB"/>
    <w:rsid w:val="0DCE4AB2"/>
    <w:rsid w:val="0DCF532A"/>
    <w:rsid w:val="0DD847A5"/>
    <w:rsid w:val="0DE82F95"/>
    <w:rsid w:val="0DE85E53"/>
    <w:rsid w:val="0DEB5944"/>
    <w:rsid w:val="0DF361B7"/>
    <w:rsid w:val="0E022E02"/>
    <w:rsid w:val="0E024E89"/>
    <w:rsid w:val="0E112818"/>
    <w:rsid w:val="0E11721F"/>
    <w:rsid w:val="0E1869E8"/>
    <w:rsid w:val="0E207F32"/>
    <w:rsid w:val="0E273C96"/>
    <w:rsid w:val="0E2D7D0A"/>
    <w:rsid w:val="0E2E6618"/>
    <w:rsid w:val="0E3335AB"/>
    <w:rsid w:val="0E397C52"/>
    <w:rsid w:val="0E3E2DF2"/>
    <w:rsid w:val="0E4307FB"/>
    <w:rsid w:val="0E575806"/>
    <w:rsid w:val="0E677150"/>
    <w:rsid w:val="0E723CA8"/>
    <w:rsid w:val="0E765DD3"/>
    <w:rsid w:val="0E7A138D"/>
    <w:rsid w:val="0E7D50A5"/>
    <w:rsid w:val="0E88738E"/>
    <w:rsid w:val="0E890D6D"/>
    <w:rsid w:val="0E8D2FE0"/>
    <w:rsid w:val="0E981AE9"/>
    <w:rsid w:val="0E9B09B3"/>
    <w:rsid w:val="0E9E19FC"/>
    <w:rsid w:val="0E9F0F86"/>
    <w:rsid w:val="0EA3344E"/>
    <w:rsid w:val="0EA9667C"/>
    <w:rsid w:val="0EB04B76"/>
    <w:rsid w:val="0EB15DAE"/>
    <w:rsid w:val="0EB24E6B"/>
    <w:rsid w:val="0EB67D00"/>
    <w:rsid w:val="0EB85C17"/>
    <w:rsid w:val="0EC15829"/>
    <w:rsid w:val="0EC273C9"/>
    <w:rsid w:val="0EC341CA"/>
    <w:rsid w:val="0EC41134"/>
    <w:rsid w:val="0EC45CC8"/>
    <w:rsid w:val="0EC75A69"/>
    <w:rsid w:val="0EC80132"/>
    <w:rsid w:val="0ECB1C73"/>
    <w:rsid w:val="0ECB3716"/>
    <w:rsid w:val="0ECE61F5"/>
    <w:rsid w:val="0EDE073C"/>
    <w:rsid w:val="0EE71D96"/>
    <w:rsid w:val="0EEC0414"/>
    <w:rsid w:val="0EEF0AA0"/>
    <w:rsid w:val="0EF64265"/>
    <w:rsid w:val="0EFC6B0A"/>
    <w:rsid w:val="0F001248"/>
    <w:rsid w:val="0F020720"/>
    <w:rsid w:val="0F06240F"/>
    <w:rsid w:val="0F077415"/>
    <w:rsid w:val="0F0F405C"/>
    <w:rsid w:val="0F0F5E39"/>
    <w:rsid w:val="0F103BA9"/>
    <w:rsid w:val="0F114C8A"/>
    <w:rsid w:val="0F124DD3"/>
    <w:rsid w:val="0F1D5659"/>
    <w:rsid w:val="0F1E1F1E"/>
    <w:rsid w:val="0F207422"/>
    <w:rsid w:val="0F210957"/>
    <w:rsid w:val="0F216FFF"/>
    <w:rsid w:val="0F2451FE"/>
    <w:rsid w:val="0F2C7FC2"/>
    <w:rsid w:val="0F39087A"/>
    <w:rsid w:val="0F3E2CA8"/>
    <w:rsid w:val="0F3E49E0"/>
    <w:rsid w:val="0F44355D"/>
    <w:rsid w:val="0F4B05E5"/>
    <w:rsid w:val="0F537DF8"/>
    <w:rsid w:val="0F541FC0"/>
    <w:rsid w:val="0F5C1591"/>
    <w:rsid w:val="0F5D53B4"/>
    <w:rsid w:val="0F606F1E"/>
    <w:rsid w:val="0F60724F"/>
    <w:rsid w:val="0F6E76D2"/>
    <w:rsid w:val="0F702278"/>
    <w:rsid w:val="0F7D35E7"/>
    <w:rsid w:val="0F893B76"/>
    <w:rsid w:val="0F8A27A8"/>
    <w:rsid w:val="0F8E35AD"/>
    <w:rsid w:val="0F9067A2"/>
    <w:rsid w:val="0F9126C2"/>
    <w:rsid w:val="0F920718"/>
    <w:rsid w:val="0F94536C"/>
    <w:rsid w:val="0F9B50CA"/>
    <w:rsid w:val="0FA0606F"/>
    <w:rsid w:val="0FA16875"/>
    <w:rsid w:val="0FA67D74"/>
    <w:rsid w:val="0FAC21BF"/>
    <w:rsid w:val="0FAF21B5"/>
    <w:rsid w:val="0FB240F6"/>
    <w:rsid w:val="0FB650BC"/>
    <w:rsid w:val="0FBA1C0F"/>
    <w:rsid w:val="0FBB2B5C"/>
    <w:rsid w:val="0FC7596C"/>
    <w:rsid w:val="0FC76EFF"/>
    <w:rsid w:val="0FCC4B28"/>
    <w:rsid w:val="0FD57F70"/>
    <w:rsid w:val="0FD57FD8"/>
    <w:rsid w:val="0FD70285"/>
    <w:rsid w:val="0FDD2B23"/>
    <w:rsid w:val="0FE06FA6"/>
    <w:rsid w:val="0FE67223"/>
    <w:rsid w:val="0FF30B39"/>
    <w:rsid w:val="0FF4415F"/>
    <w:rsid w:val="0FFD129F"/>
    <w:rsid w:val="10010209"/>
    <w:rsid w:val="10066A65"/>
    <w:rsid w:val="100C1890"/>
    <w:rsid w:val="101017FB"/>
    <w:rsid w:val="1010346B"/>
    <w:rsid w:val="1011667A"/>
    <w:rsid w:val="10153158"/>
    <w:rsid w:val="10245D14"/>
    <w:rsid w:val="102C6699"/>
    <w:rsid w:val="102F5A50"/>
    <w:rsid w:val="1030293F"/>
    <w:rsid w:val="10347D3B"/>
    <w:rsid w:val="10355D5C"/>
    <w:rsid w:val="1038597A"/>
    <w:rsid w:val="10414426"/>
    <w:rsid w:val="104676E5"/>
    <w:rsid w:val="104C3D42"/>
    <w:rsid w:val="10560A13"/>
    <w:rsid w:val="105E23FD"/>
    <w:rsid w:val="105E57E9"/>
    <w:rsid w:val="10616360"/>
    <w:rsid w:val="1063004A"/>
    <w:rsid w:val="106A4D2D"/>
    <w:rsid w:val="106D0555"/>
    <w:rsid w:val="106D43EE"/>
    <w:rsid w:val="107472AF"/>
    <w:rsid w:val="107953CF"/>
    <w:rsid w:val="108124FF"/>
    <w:rsid w:val="1086286E"/>
    <w:rsid w:val="10886202"/>
    <w:rsid w:val="108C5371"/>
    <w:rsid w:val="109132FB"/>
    <w:rsid w:val="10937656"/>
    <w:rsid w:val="10954A12"/>
    <w:rsid w:val="109844DB"/>
    <w:rsid w:val="109D065E"/>
    <w:rsid w:val="10A12208"/>
    <w:rsid w:val="10AA120B"/>
    <w:rsid w:val="10AF56D6"/>
    <w:rsid w:val="10B0256D"/>
    <w:rsid w:val="10B31D66"/>
    <w:rsid w:val="10B51DA8"/>
    <w:rsid w:val="10B750B2"/>
    <w:rsid w:val="10B85FB1"/>
    <w:rsid w:val="10BF4400"/>
    <w:rsid w:val="10C03B54"/>
    <w:rsid w:val="10C05042"/>
    <w:rsid w:val="10C30121"/>
    <w:rsid w:val="10C85AC8"/>
    <w:rsid w:val="10E703E0"/>
    <w:rsid w:val="10EC1396"/>
    <w:rsid w:val="10F765CC"/>
    <w:rsid w:val="10F9391A"/>
    <w:rsid w:val="110F27D0"/>
    <w:rsid w:val="111534A4"/>
    <w:rsid w:val="113412F3"/>
    <w:rsid w:val="1142224F"/>
    <w:rsid w:val="11460989"/>
    <w:rsid w:val="116011DE"/>
    <w:rsid w:val="11663783"/>
    <w:rsid w:val="116C34B8"/>
    <w:rsid w:val="116D0DFD"/>
    <w:rsid w:val="11700102"/>
    <w:rsid w:val="11776935"/>
    <w:rsid w:val="117F4F8B"/>
    <w:rsid w:val="118268CF"/>
    <w:rsid w:val="118B4AD6"/>
    <w:rsid w:val="118C7E4F"/>
    <w:rsid w:val="11912D26"/>
    <w:rsid w:val="11A371F9"/>
    <w:rsid w:val="11A96601"/>
    <w:rsid w:val="11B4791E"/>
    <w:rsid w:val="11B6697C"/>
    <w:rsid w:val="11B81A48"/>
    <w:rsid w:val="11BA7726"/>
    <w:rsid w:val="11BB0BE7"/>
    <w:rsid w:val="11CD79EB"/>
    <w:rsid w:val="11D73856"/>
    <w:rsid w:val="11E103A7"/>
    <w:rsid w:val="11F201BC"/>
    <w:rsid w:val="11F53C70"/>
    <w:rsid w:val="11F75D96"/>
    <w:rsid w:val="11FA6155"/>
    <w:rsid w:val="11FC3C7B"/>
    <w:rsid w:val="120441CC"/>
    <w:rsid w:val="12046FD4"/>
    <w:rsid w:val="1209283C"/>
    <w:rsid w:val="1209713A"/>
    <w:rsid w:val="121148BC"/>
    <w:rsid w:val="1213225F"/>
    <w:rsid w:val="12171C28"/>
    <w:rsid w:val="121E5C22"/>
    <w:rsid w:val="12362A9B"/>
    <w:rsid w:val="12371CD2"/>
    <w:rsid w:val="1237525D"/>
    <w:rsid w:val="123C6B6C"/>
    <w:rsid w:val="124E0D98"/>
    <w:rsid w:val="12524D74"/>
    <w:rsid w:val="125D514D"/>
    <w:rsid w:val="126C29B2"/>
    <w:rsid w:val="126D648E"/>
    <w:rsid w:val="127722E8"/>
    <w:rsid w:val="127F2F30"/>
    <w:rsid w:val="12871CF5"/>
    <w:rsid w:val="12885C9D"/>
    <w:rsid w:val="128B00CF"/>
    <w:rsid w:val="128C4DB6"/>
    <w:rsid w:val="12912455"/>
    <w:rsid w:val="129C3F9A"/>
    <w:rsid w:val="12A50350"/>
    <w:rsid w:val="12A54D89"/>
    <w:rsid w:val="12AA1929"/>
    <w:rsid w:val="12AC2130"/>
    <w:rsid w:val="12AF3882"/>
    <w:rsid w:val="12AF6276"/>
    <w:rsid w:val="12B37893"/>
    <w:rsid w:val="12B45DF5"/>
    <w:rsid w:val="12B61F40"/>
    <w:rsid w:val="12B70D02"/>
    <w:rsid w:val="12BE56B0"/>
    <w:rsid w:val="12C33C2F"/>
    <w:rsid w:val="12C3662C"/>
    <w:rsid w:val="12CE6519"/>
    <w:rsid w:val="12DB3ED2"/>
    <w:rsid w:val="12DF636E"/>
    <w:rsid w:val="12E143CF"/>
    <w:rsid w:val="12E3320D"/>
    <w:rsid w:val="12E87B9C"/>
    <w:rsid w:val="12ED046F"/>
    <w:rsid w:val="12F02B19"/>
    <w:rsid w:val="12F06FAD"/>
    <w:rsid w:val="12F532F4"/>
    <w:rsid w:val="12F916B7"/>
    <w:rsid w:val="130351FE"/>
    <w:rsid w:val="13076F72"/>
    <w:rsid w:val="13096817"/>
    <w:rsid w:val="130E27D7"/>
    <w:rsid w:val="130F39A7"/>
    <w:rsid w:val="1318427E"/>
    <w:rsid w:val="132C15A8"/>
    <w:rsid w:val="133655BD"/>
    <w:rsid w:val="13384205"/>
    <w:rsid w:val="133B07D3"/>
    <w:rsid w:val="13474CC3"/>
    <w:rsid w:val="13530BE8"/>
    <w:rsid w:val="13660FDD"/>
    <w:rsid w:val="13705C0C"/>
    <w:rsid w:val="137433DF"/>
    <w:rsid w:val="137C1C02"/>
    <w:rsid w:val="13891CFD"/>
    <w:rsid w:val="138C0299"/>
    <w:rsid w:val="13901C58"/>
    <w:rsid w:val="139231D1"/>
    <w:rsid w:val="1396641F"/>
    <w:rsid w:val="13A31C98"/>
    <w:rsid w:val="13A50DE5"/>
    <w:rsid w:val="13AC24A2"/>
    <w:rsid w:val="13B4333E"/>
    <w:rsid w:val="13C17FD8"/>
    <w:rsid w:val="13C20BE2"/>
    <w:rsid w:val="13EE59D6"/>
    <w:rsid w:val="13F62102"/>
    <w:rsid w:val="14027A8F"/>
    <w:rsid w:val="14033A91"/>
    <w:rsid w:val="14041C19"/>
    <w:rsid w:val="140524B3"/>
    <w:rsid w:val="140C7A20"/>
    <w:rsid w:val="140E5EE8"/>
    <w:rsid w:val="14123C2A"/>
    <w:rsid w:val="141433D6"/>
    <w:rsid w:val="14172234"/>
    <w:rsid w:val="141C0605"/>
    <w:rsid w:val="141E641F"/>
    <w:rsid w:val="141F20A2"/>
    <w:rsid w:val="14235253"/>
    <w:rsid w:val="142C42E9"/>
    <w:rsid w:val="142E2F90"/>
    <w:rsid w:val="143040B0"/>
    <w:rsid w:val="14326EA1"/>
    <w:rsid w:val="143339E4"/>
    <w:rsid w:val="143F0C17"/>
    <w:rsid w:val="144C2797"/>
    <w:rsid w:val="14530EC6"/>
    <w:rsid w:val="145340EF"/>
    <w:rsid w:val="145343FD"/>
    <w:rsid w:val="14551D69"/>
    <w:rsid w:val="14594BA0"/>
    <w:rsid w:val="1468384A"/>
    <w:rsid w:val="146B68F0"/>
    <w:rsid w:val="14716197"/>
    <w:rsid w:val="147811E8"/>
    <w:rsid w:val="14781F4B"/>
    <w:rsid w:val="147976DB"/>
    <w:rsid w:val="147D10C1"/>
    <w:rsid w:val="148C7F57"/>
    <w:rsid w:val="14AA01F3"/>
    <w:rsid w:val="14AC3310"/>
    <w:rsid w:val="14B460BF"/>
    <w:rsid w:val="14B7442C"/>
    <w:rsid w:val="14BA4311"/>
    <w:rsid w:val="14BD45AD"/>
    <w:rsid w:val="14BF66F0"/>
    <w:rsid w:val="14C41A19"/>
    <w:rsid w:val="14DE0495"/>
    <w:rsid w:val="15050D2F"/>
    <w:rsid w:val="150925A3"/>
    <w:rsid w:val="1512298A"/>
    <w:rsid w:val="15160D88"/>
    <w:rsid w:val="15170336"/>
    <w:rsid w:val="151F3E61"/>
    <w:rsid w:val="152952C9"/>
    <w:rsid w:val="152C0E7C"/>
    <w:rsid w:val="153356DA"/>
    <w:rsid w:val="15365F6F"/>
    <w:rsid w:val="15395FCB"/>
    <w:rsid w:val="153A6A99"/>
    <w:rsid w:val="153E45AB"/>
    <w:rsid w:val="15440127"/>
    <w:rsid w:val="15477735"/>
    <w:rsid w:val="155E5E03"/>
    <w:rsid w:val="156928C9"/>
    <w:rsid w:val="1571672E"/>
    <w:rsid w:val="15721ED6"/>
    <w:rsid w:val="1576316C"/>
    <w:rsid w:val="157967CE"/>
    <w:rsid w:val="157D228A"/>
    <w:rsid w:val="157E7260"/>
    <w:rsid w:val="158168EB"/>
    <w:rsid w:val="158531D0"/>
    <w:rsid w:val="15885A69"/>
    <w:rsid w:val="15943A8A"/>
    <w:rsid w:val="15980F97"/>
    <w:rsid w:val="159923DF"/>
    <w:rsid w:val="159E1750"/>
    <w:rsid w:val="15AB07C1"/>
    <w:rsid w:val="15B10887"/>
    <w:rsid w:val="15B300BB"/>
    <w:rsid w:val="15B7019F"/>
    <w:rsid w:val="15C052E8"/>
    <w:rsid w:val="15C16602"/>
    <w:rsid w:val="15C916B4"/>
    <w:rsid w:val="15CA464D"/>
    <w:rsid w:val="15CF4CBA"/>
    <w:rsid w:val="15CF545B"/>
    <w:rsid w:val="15D1149A"/>
    <w:rsid w:val="15DF063A"/>
    <w:rsid w:val="15DF2D42"/>
    <w:rsid w:val="15F23975"/>
    <w:rsid w:val="15FC33A8"/>
    <w:rsid w:val="160475A2"/>
    <w:rsid w:val="16081563"/>
    <w:rsid w:val="16097AE3"/>
    <w:rsid w:val="16161684"/>
    <w:rsid w:val="161A545E"/>
    <w:rsid w:val="161B60CB"/>
    <w:rsid w:val="16252D8C"/>
    <w:rsid w:val="162740E0"/>
    <w:rsid w:val="1628513E"/>
    <w:rsid w:val="162D18F5"/>
    <w:rsid w:val="162D452A"/>
    <w:rsid w:val="162E0AC3"/>
    <w:rsid w:val="162E3C56"/>
    <w:rsid w:val="163707F1"/>
    <w:rsid w:val="16435684"/>
    <w:rsid w:val="16442B71"/>
    <w:rsid w:val="16585442"/>
    <w:rsid w:val="16593348"/>
    <w:rsid w:val="16674A5C"/>
    <w:rsid w:val="166D3C4B"/>
    <w:rsid w:val="168E1562"/>
    <w:rsid w:val="16926739"/>
    <w:rsid w:val="16961A85"/>
    <w:rsid w:val="169D5AA1"/>
    <w:rsid w:val="169F288D"/>
    <w:rsid w:val="16AA05ED"/>
    <w:rsid w:val="16AA639C"/>
    <w:rsid w:val="16AB76DA"/>
    <w:rsid w:val="16B11E90"/>
    <w:rsid w:val="16BC44BB"/>
    <w:rsid w:val="16BE02A6"/>
    <w:rsid w:val="16C82EFB"/>
    <w:rsid w:val="16D253E8"/>
    <w:rsid w:val="16DA1689"/>
    <w:rsid w:val="16DE2F03"/>
    <w:rsid w:val="16E5065D"/>
    <w:rsid w:val="16E928B5"/>
    <w:rsid w:val="16EF0253"/>
    <w:rsid w:val="16F05E14"/>
    <w:rsid w:val="16FE3430"/>
    <w:rsid w:val="17076329"/>
    <w:rsid w:val="170D05A7"/>
    <w:rsid w:val="170F0911"/>
    <w:rsid w:val="17125D0E"/>
    <w:rsid w:val="172332B0"/>
    <w:rsid w:val="17261BD4"/>
    <w:rsid w:val="172A0FAC"/>
    <w:rsid w:val="1735378C"/>
    <w:rsid w:val="173808C2"/>
    <w:rsid w:val="17410382"/>
    <w:rsid w:val="174263D8"/>
    <w:rsid w:val="174F0CF1"/>
    <w:rsid w:val="17501714"/>
    <w:rsid w:val="17563920"/>
    <w:rsid w:val="1759079E"/>
    <w:rsid w:val="17620376"/>
    <w:rsid w:val="176470F6"/>
    <w:rsid w:val="17687478"/>
    <w:rsid w:val="177755C9"/>
    <w:rsid w:val="177844D0"/>
    <w:rsid w:val="177F420D"/>
    <w:rsid w:val="17813E0E"/>
    <w:rsid w:val="178169D1"/>
    <w:rsid w:val="17827DC2"/>
    <w:rsid w:val="178D7654"/>
    <w:rsid w:val="17947118"/>
    <w:rsid w:val="179812EB"/>
    <w:rsid w:val="179C31F8"/>
    <w:rsid w:val="179C4192"/>
    <w:rsid w:val="17AC6B96"/>
    <w:rsid w:val="17AE37CA"/>
    <w:rsid w:val="17BF2D2D"/>
    <w:rsid w:val="17C206DD"/>
    <w:rsid w:val="17C40A21"/>
    <w:rsid w:val="17C866FA"/>
    <w:rsid w:val="17DF189D"/>
    <w:rsid w:val="17E256C1"/>
    <w:rsid w:val="17E53DFB"/>
    <w:rsid w:val="17EA2894"/>
    <w:rsid w:val="17F31791"/>
    <w:rsid w:val="17F72407"/>
    <w:rsid w:val="17F7602E"/>
    <w:rsid w:val="17FF44C5"/>
    <w:rsid w:val="180960B9"/>
    <w:rsid w:val="180D1D11"/>
    <w:rsid w:val="181544C5"/>
    <w:rsid w:val="1817345F"/>
    <w:rsid w:val="182863DB"/>
    <w:rsid w:val="182D6D09"/>
    <w:rsid w:val="1833416F"/>
    <w:rsid w:val="18376119"/>
    <w:rsid w:val="183C44F9"/>
    <w:rsid w:val="183D3240"/>
    <w:rsid w:val="183D75B1"/>
    <w:rsid w:val="18422603"/>
    <w:rsid w:val="184A63BA"/>
    <w:rsid w:val="184C3FEE"/>
    <w:rsid w:val="18556639"/>
    <w:rsid w:val="185762B8"/>
    <w:rsid w:val="18583BD5"/>
    <w:rsid w:val="18594186"/>
    <w:rsid w:val="185B1512"/>
    <w:rsid w:val="185B7875"/>
    <w:rsid w:val="18602A8A"/>
    <w:rsid w:val="1864109A"/>
    <w:rsid w:val="18660F05"/>
    <w:rsid w:val="18676672"/>
    <w:rsid w:val="1876090E"/>
    <w:rsid w:val="1877250F"/>
    <w:rsid w:val="18784278"/>
    <w:rsid w:val="188D5FEE"/>
    <w:rsid w:val="18953B09"/>
    <w:rsid w:val="189758F9"/>
    <w:rsid w:val="18A97E2D"/>
    <w:rsid w:val="18AC5D5A"/>
    <w:rsid w:val="18AF6CED"/>
    <w:rsid w:val="18C64FE3"/>
    <w:rsid w:val="18C73D5E"/>
    <w:rsid w:val="18C94AD3"/>
    <w:rsid w:val="18D14D6C"/>
    <w:rsid w:val="18D304DF"/>
    <w:rsid w:val="18D979AB"/>
    <w:rsid w:val="18DA68B3"/>
    <w:rsid w:val="18DF2524"/>
    <w:rsid w:val="18DF7D05"/>
    <w:rsid w:val="18E8176B"/>
    <w:rsid w:val="18E84AFB"/>
    <w:rsid w:val="18EB2430"/>
    <w:rsid w:val="18ED31A6"/>
    <w:rsid w:val="18EE1351"/>
    <w:rsid w:val="18EF5A71"/>
    <w:rsid w:val="18EF64F7"/>
    <w:rsid w:val="18F06FCC"/>
    <w:rsid w:val="18F679F4"/>
    <w:rsid w:val="18F86605"/>
    <w:rsid w:val="18FB6AB1"/>
    <w:rsid w:val="18FD7589"/>
    <w:rsid w:val="19052B64"/>
    <w:rsid w:val="190860C5"/>
    <w:rsid w:val="190921B2"/>
    <w:rsid w:val="190A2E18"/>
    <w:rsid w:val="1913123F"/>
    <w:rsid w:val="19131523"/>
    <w:rsid w:val="191D7BAB"/>
    <w:rsid w:val="19257F5C"/>
    <w:rsid w:val="19273936"/>
    <w:rsid w:val="192A102D"/>
    <w:rsid w:val="193717DC"/>
    <w:rsid w:val="193B0BBE"/>
    <w:rsid w:val="19574714"/>
    <w:rsid w:val="19593259"/>
    <w:rsid w:val="195D3143"/>
    <w:rsid w:val="19654CA9"/>
    <w:rsid w:val="1968609A"/>
    <w:rsid w:val="196F1217"/>
    <w:rsid w:val="197662E8"/>
    <w:rsid w:val="19784A3C"/>
    <w:rsid w:val="197A170E"/>
    <w:rsid w:val="197B7B7C"/>
    <w:rsid w:val="197C669D"/>
    <w:rsid w:val="197E6FE9"/>
    <w:rsid w:val="199B78A1"/>
    <w:rsid w:val="19A01138"/>
    <w:rsid w:val="19A802AB"/>
    <w:rsid w:val="19AA26A6"/>
    <w:rsid w:val="19AA66B3"/>
    <w:rsid w:val="19AC06FF"/>
    <w:rsid w:val="19AC5889"/>
    <w:rsid w:val="19BD0F8A"/>
    <w:rsid w:val="19C6171E"/>
    <w:rsid w:val="19C94420"/>
    <w:rsid w:val="19CB2D1F"/>
    <w:rsid w:val="19D82829"/>
    <w:rsid w:val="19DD58A3"/>
    <w:rsid w:val="19DE3C8A"/>
    <w:rsid w:val="19E00326"/>
    <w:rsid w:val="19E94804"/>
    <w:rsid w:val="19EA2F53"/>
    <w:rsid w:val="19EB38C6"/>
    <w:rsid w:val="19EE14A5"/>
    <w:rsid w:val="19EF078B"/>
    <w:rsid w:val="19F22790"/>
    <w:rsid w:val="19F5308B"/>
    <w:rsid w:val="1A014287"/>
    <w:rsid w:val="1A061133"/>
    <w:rsid w:val="1A063B58"/>
    <w:rsid w:val="1A1646EF"/>
    <w:rsid w:val="1A2A514F"/>
    <w:rsid w:val="1A3A29F6"/>
    <w:rsid w:val="1A3A6E48"/>
    <w:rsid w:val="1A4459DA"/>
    <w:rsid w:val="1A467AC2"/>
    <w:rsid w:val="1A5767E6"/>
    <w:rsid w:val="1A5B59EF"/>
    <w:rsid w:val="1A613663"/>
    <w:rsid w:val="1A651838"/>
    <w:rsid w:val="1A69774C"/>
    <w:rsid w:val="1A715622"/>
    <w:rsid w:val="1A817D9B"/>
    <w:rsid w:val="1A8426F7"/>
    <w:rsid w:val="1A971033"/>
    <w:rsid w:val="1A97143A"/>
    <w:rsid w:val="1AA10294"/>
    <w:rsid w:val="1AA27389"/>
    <w:rsid w:val="1AA42B07"/>
    <w:rsid w:val="1AA475A6"/>
    <w:rsid w:val="1AB21997"/>
    <w:rsid w:val="1AB33FF1"/>
    <w:rsid w:val="1ABB4827"/>
    <w:rsid w:val="1AC70D17"/>
    <w:rsid w:val="1AC7507A"/>
    <w:rsid w:val="1AC91244"/>
    <w:rsid w:val="1AC97273"/>
    <w:rsid w:val="1AD11E52"/>
    <w:rsid w:val="1ADA19B8"/>
    <w:rsid w:val="1ADD6C6E"/>
    <w:rsid w:val="1AEC6857"/>
    <w:rsid w:val="1AF677A2"/>
    <w:rsid w:val="1AFE654C"/>
    <w:rsid w:val="1B0043D4"/>
    <w:rsid w:val="1B1335D0"/>
    <w:rsid w:val="1B1B2741"/>
    <w:rsid w:val="1B2249EB"/>
    <w:rsid w:val="1B237BDB"/>
    <w:rsid w:val="1B26246A"/>
    <w:rsid w:val="1B2D270A"/>
    <w:rsid w:val="1B2E4C6C"/>
    <w:rsid w:val="1B324BB2"/>
    <w:rsid w:val="1B395E41"/>
    <w:rsid w:val="1B3A5C69"/>
    <w:rsid w:val="1B3B21F0"/>
    <w:rsid w:val="1B3B72FA"/>
    <w:rsid w:val="1B4B754B"/>
    <w:rsid w:val="1B523BD9"/>
    <w:rsid w:val="1B555A94"/>
    <w:rsid w:val="1B5A5DCA"/>
    <w:rsid w:val="1B6A1FAE"/>
    <w:rsid w:val="1B6D6507"/>
    <w:rsid w:val="1B6F3553"/>
    <w:rsid w:val="1B8064AA"/>
    <w:rsid w:val="1B82652F"/>
    <w:rsid w:val="1B85454F"/>
    <w:rsid w:val="1B866BA1"/>
    <w:rsid w:val="1B873DBB"/>
    <w:rsid w:val="1B8F31F1"/>
    <w:rsid w:val="1B943D19"/>
    <w:rsid w:val="1B9B3137"/>
    <w:rsid w:val="1B9D5C82"/>
    <w:rsid w:val="1B9F4325"/>
    <w:rsid w:val="1BA43C4F"/>
    <w:rsid w:val="1BB957A2"/>
    <w:rsid w:val="1BC80245"/>
    <w:rsid w:val="1BC93472"/>
    <w:rsid w:val="1BCD0CC2"/>
    <w:rsid w:val="1BD02175"/>
    <w:rsid w:val="1BD257C7"/>
    <w:rsid w:val="1BD36997"/>
    <w:rsid w:val="1BE32EBE"/>
    <w:rsid w:val="1BE6083A"/>
    <w:rsid w:val="1BE74091"/>
    <w:rsid w:val="1BE978A9"/>
    <w:rsid w:val="1BEA3F2E"/>
    <w:rsid w:val="1BFD51C0"/>
    <w:rsid w:val="1C0068A1"/>
    <w:rsid w:val="1C0B137A"/>
    <w:rsid w:val="1C0D1069"/>
    <w:rsid w:val="1C0F7089"/>
    <w:rsid w:val="1C101043"/>
    <w:rsid w:val="1C15196F"/>
    <w:rsid w:val="1C1D4FE8"/>
    <w:rsid w:val="1C2445C4"/>
    <w:rsid w:val="1C25596B"/>
    <w:rsid w:val="1C411ECA"/>
    <w:rsid w:val="1C41559A"/>
    <w:rsid w:val="1C4531BC"/>
    <w:rsid w:val="1C474745"/>
    <w:rsid w:val="1C4969A8"/>
    <w:rsid w:val="1C4B5996"/>
    <w:rsid w:val="1C4E5932"/>
    <w:rsid w:val="1C560821"/>
    <w:rsid w:val="1C5B246A"/>
    <w:rsid w:val="1C614192"/>
    <w:rsid w:val="1C690B86"/>
    <w:rsid w:val="1C7E6B67"/>
    <w:rsid w:val="1C837E6F"/>
    <w:rsid w:val="1C85416C"/>
    <w:rsid w:val="1C8B071F"/>
    <w:rsid w:val="1C8C503C"/>
    <w:rsid w:val="1CA66EB2"/>
    <w:rsid w:val="1CA932CB"/>
    <w:rsid w:val="1CAF4C7E"/>
    <w:rsid w:val="1CB439A5"/>
    <w:rsid w:val="1CB658A0"/>
    <w:rsid w:val="1CC21F65"/>
    <w:rsid w:val="1CC425C5"/>
    <w:rsid w:val="1CCA1CDC"/>
    <w:rsid w:val="1CD06430"/>
    <w:rsid w:val="1CDF0421"/>
    <w:rsid w:val="1CEB326A"/>
    <w:rsid w:val="1CED2ADE"/>
    <w:rsid w:val="1CEF5ED8"/>
    <w:rsid w:val="1CF340DD"/>
    <w:rsid w:val="1CFC5435"/>
    <w:rsid w:val="1D077BC6"/>
    <w:rsid w:val="1D0E10FC"/>
    <w:rsid w:val="1D1A4771"/>
    <w:rsid w:val="1D2648B5"/>
    <w:rsid w:val="1D2E7808"/>
    <w:rsid w:val="1D2F2792"/>
    <w:rsid w:val="1D396318"/>
    <w:rsid w:val="1D4411C6"/>
    <w:rsid w:val="1D4448AD"/>
    <w:rsid w:val="1D4B5FE4"/>
    <w:rsid w:val="1D4C1A5A"/>
    <w:rsid w:val="1D5945C2"/>
    <w:rsid w:val="1D5A219E"/>
    <w:rsid w:val="1D5B4FBC"/>
    <w:rsid w:val="1D675BE2"/>
    <w:rsid w:val="1D6830CE"/>
    <w:rsid w:val="1D704D15"/>
    <w:rsid w:val="1D7373C2"/>
    <w:rsid w:val="1D774481"/>
    <w:rsid w:val="1D783ACA"/>
    <w:rsid w:val="1D7F1C04"/>
    <w:rsid w:val="1D8211CB"/>
    <w:rsid w:val="1D834723"/>
    <w:rsid w:val="1D853DDC"/>
    <w:rsid w:val="1D8E16BB"/>
    <w:rsid w:val="1D975B9E"/>
    <w:rsid w:val="1D9A61C2"/>
    <w:rsid w:val="1DA13929"/>
    <w:rsid w:val="1DA16AB8"/>
    <w:rsid w:val="1DAF737F"/>
    <w:rsid w:val="1DB6261B"/>
    <w:rsid w:val="1DBE4261"/>
    <w:rsid w:val="1DC50D57"/>
    <w:rsid w:val="1DCA1E79"/>
    <w:rsid w:val="1DE55F0B"/>
    <w:rsid w:val="1DFA6B23"/>
    <w:rsid w:val="1E065628"/>
    <w:rsid w:val="1E0C680F"/>
    <w:rsid w:val="1E0D14F4"/>
    <w:rsid w:val="1E101523"/>
    <w:rsid w:val="1E13619C"/>
    <w:rsid w:val="1E213A7F"/>
    <w:rsid w:val="1E240F3E"/>
    <w:rsid w:val="1E242E50"/>
    <w:rsid w:val="1E376DE4"/>
    <w:rsid w:val="1E3A440D"/>
    <w:rsid w:val="1E466E81"/>
    <w:rsid w:val="1E4752F9"/>
    <w:rsid w:val="1E552597"/>
    <w:rsid w:val="1E673A86"/>
    <w:rsid w:val="1E6F3403"/>
    <w:rsid w:val="1E7626F1"/>
    <w:rsid w:val="1E874FC5"/>
    <w:rsid w:val="1E876FC3"/>
    <w:rsid w:val="1E907491"/>
    <w:rsid w:val="1E910643"/>
    <w:rsid w:val="1E9811D0"/>
    <w:rsid w:val="1E9A61AE"/>
    <w:rsid w:val="1EA00084"/>
    <w:rsid w:val="1EA35E99"/>
    <w:rsid w:val="1EAF622B"/>
    <w:rsid w:val="1EB01FAB"/>
    <w:rsid w:val="1EB26795"/>
    <w:rsid w:val="1EBB5CCD"/>
    <w:rsid w:val="1EC260AD"/>
    <w:rsid w:val="1ECA253C"/>
    <w:rsid w:val="1ECF1C7C"/>
    <w:rsid w:val="1ECF4CF4"/>
    <w:rsid w:val="1ED3167F"/>
    <w:rsid w:val="1ED55F80"/>
    <w:rsid w:val="1EE37090"/>
    <w:rsid w:val="1EE40B00"/>
    <w:rsid w:val="1EE45E24"/>
    <w:rsid w:val="1EE70B61"/>
    <w:rsid w:val="1EEB28F1"/>
    <w:rsid w:val="1EEE342F"/>
    <w:rsid w:val="1EF467A7"/>
    <w:rsid w:val="1EFA3C38"/>
    <w:rsid w:val="1F034665"/>
    <w:rsid w:val="1F0540FB"/>
    <w:rsid w:val="1F055522"/>
    <w:rsid w:val="1F185926"/>
    <w:rsid w:val="1F1A215B"/>
    <w:rsid w:val="1F1E077E"/>
    <w:rsid w:val="1F233FCD"/>
    <w:rsid w:val="1F2D7E78"/>
    <w:rsid w:val="1F2F6072"/>
    <w:rsid w:val="1F32696E"/>
    <w:rsid w:val="1F341289"/>
    <w:rsid w:val="1F3A786A"/>
    <w:rsid w:val="1F430CCB"/>
    <w:rsid w:val="1F474020"/>
    <w:rsid w:val="1F486752"/>
    <w:rsid w:val="1F4D5893"/>
    <w:rsid w:val="1F574677"/>
    <w:rsid w:val="1F653ED0"/>
    <w:rsid w:val="1F6B73D5"/>
    <w:rsid w:val="1F70296E"/>
    <w:rsid w:val="1F7B3144"/>
    <w:rsid w:val="1F7B58AD"/>
    <w:rsid w:val="1F7C31BE"/>
    <w:rsid w:val="1F866D00"/>
    <w:rsid w:val="1F923733"/>
    <w:rsid w:val="1F9835DC"/>
    <w:rsid w:val="1FA61EC0"/>
    <w:rsid w:val="1FAD2A59"/>
    <w:rsid w:val="1FB45B75"/>
    <w:rsid w:val="1FBF0B48"/>
    <w:rsid w:val="1FC55AAA"/>
    <w:rsid w:val="1FC750D4"/>
    <w:rsid w:val="1FC925EE"/>
    <w:rsid w:val="1FC92F7D"/>
    <w:rsid w:val="1FD44EAF"/>
    <w:rsid w:val="1FDA1B2F"/>
    <w:rsid w:val="1FDC3BFF"/>
    <w:rsid w:val="1FDD3947"/>
    <w:rsid w:val="1FE10577"/>
    <w:rsid w:val="1FEA77A2"/>
    <w:rsid w:val="1FED3575"/>
    <w:rsid w:val="1FED5DD2"/>
    <w:rsid w:val="1FF07D76"/>
    <w:rsid w:val="1FF64657"/>
    <w:rsid w:val="1FF72308"/>
    <w:rsid w:val="1FF83993"/>
    <w:rsid w:val="1FFA0B8D"/>
    <w:rsid w:val="1FFB1A16"/>
    <w:rsid w:val="200069CA"/>
    <w:rsid w:val="20017C7F"/>
    <w:rsid w:val="20055057"/>
    <w:rsid w:val="20085EE1"/>
    <w:rsid w:val="20090B77"/>
    <w:rsid w:val="20142DA6"/>
    <w:rsid w:val="201C2298"/>
    <w:rsid w:val="20246BD4"/>
    <w:rsid w:val="202552A5"/>
    <w:rsid w:val="20360173"/>
    <w:rsid w:val="203647FC"/>
    <w:rsid w:val="20384A18"/>
    <w:rsid w:val="203C5A02"/>
    <w:rsid w:val="20427B1C"/>
    <w:rsid w:val="204620CF"/>
    <w:rsid w:val="20466E30"/>
    <w:rsid w:val="204B6C6E"/>
    <w:rsid w:val="204E37C5"/>
    <w:rsid w:val="20526447"/>
    <w:rsid w:val="20557F1B"/>
    <w:rsid w:val="2059002D"/>
    <w:rsid w:val="20595FF0"/>
    <w:rsid w:val="20601906"/>
    <w:rsid w:val="20634521"/>
    <w:rsid w:val="20663955"/>
    <w:rsid w:val="20686458"/>
    <w:rsid w:val="206B07A6"/>
    <w:rsid w:val="206C50C8"/>
    <w:rsid w:val="206E043A"/>
    <w:rsid w:val="207369EB"/>
    <w:rsid w:val="2086701D"/>
    <w:rsid w:val="20874C88"/>
    <w:rsid w:val="208B5E73"/>
    <w:rsid w:val="208C6276"/>
    <w:rsid w:val="20914128"/>
    <w:rsid w:val="20977734"/>
    <w:rsid w:val="20991BE3"/>
    <w:rsid w:val="209D5DA2"/>
    <w:rsid w:val="20A42165"/>
    <w:rsid w:val="20AD1D9B"/>
    <w:rsid w:val="20AF4D3F"/>
    <w:rsid w:val="20B05490"/>
    <w:rsid w:val="20B733F4"/>
    <w:rsid w:val="20B9542D"/>
    <w:rsid w:val="20BF071C"/>
    <w:rsid w:val="20C406DF"/>
    <w:rsid w:val="20C75D9E"/>
    <w:rsid w:val="20D07D8C"/>
    <w:rsid w:val="20D20609"/>
    <w:rsid w:val="20D21E3F"/>
    <w:rsid w:val="20D27B5E"/>
    <w:rsid w:val="20D34729"/>
    <w:rsid w:val="20D35CFB"/>
    <w:rsid w:val="20D87C40"/>
    <w:rsid w:val="20E85FD6"/>
    <w:rsid w:val="20EE30A1"/>
    <w:rsid w:val="20FB77F4"/>
    <w:rsid w:val="21032C45"/>
    <w:rsid w:val="21036432"/>
    <w:rsid w:val="210B4A6C"/>
    <w:rsid w:val="21121BD4"/>
    <w:rsid w:val="211B39F2"/>
    <w:rsid w:val="212016CE"/>
    <w:rsid w:val="21360CC4"/>
    <w:rsid w:val="2143488A"/>
    <w:rsid w:val="21453AE8"/>
    <w:rsid w:val="214662FB"/>
    <w:rsid w:val="214C5011"/>
    <w:rsid w:val="214E08A0"/>
    <w:rsid w:val="2150274A"/>
    <w:rsid w:val="21577C73"/>
    <w:rsid w:val="215C02C5"/>
    <w:rsid w:val="21606802"/>
    <w:rsid w:val="216445DD"/>
    <w:rsid w:val="21647B2E"/>
    <w:rsid w:val="2167039F"/>
    <w:rsid w:val="216F66AF"/>
    <w:rsid w:val="21734432"/>
    <w:rsid w:val="217A04D1"/>
    <w:rsid w:val="217F75ED"/>
    <w:rsid w:val="218538C3"/>
    <w:rsid w:val="218626A3"/>
    <w:rsid w:val="219649C7"/>
    <w:rsid w:val="219D6BAB"/>
    <w:rsid w:val="219D777C"/>
    <w:rsid w:val="21A60F0E"/>
    <w:rsid w:val="21B40A83"/>
    <w:rsid w:val="21B43BC4"/>
    <w:rsid w:val="21BB38F3"/>
    <w:rsid w:val="21BD4572"/>
    <w:rsid w:val="21CA177E"/>
    <w:rsid w:val="21CC52FC"/>
    <w:rsid w:val="21D85A8A"/>
    <w:rsid w:val="21E02801"/>
    <w:rsid w:val="21E07A7E"/>
    <w:rsid w:val="21E152B1"/>
    <w:rsid w:val="21E31251"/>
    <w:rsid w:val="21E5417A"/>
    <w:rsid w:val="21F354E4"/>
    <w:rsid w:val="21F37F65"/>
    <w:rsid w:val="21F71789"/>
    <w:rsid w:val="220821C8"/>
    <w:rsid w:val="2208599E"/>
    <w:rsid w:val="220D1E7A"/>
    <w:rsid w:val="22111ED6"/>
    <w:rsid w:val="22131C89"/>
    <w:rsid w:val="22150D9D"/>
    <w:rsid w:val="22161656"/>
    <w:rsid w:val="222114DC"/>
    <w:rsid w:val="22217481"/>
    <w:rsid w:val="22375431"/>
    <w:rsid w:val="223E1EEC"/>
    <w:rsid w:val="22427D37"/>
    <w:rsid w:val="225D1BE3"/>
    <w:rsid w:val="227C6712"/>
    <w:rsid w:val="227F12C5"/>
    <w:rsid w:val="22965A26"/>
    <w:rsid w:val="229E1E2B"/>
    <w:rsid w:val="229E5239"/>
    <w:rsid w:val="22B84B9A"/>
    <w:rsid w:val="22B90A59"/>
    <w:rsid w:val="22B915B8"/>
    <w:rsid w:val="22BA0921"/>
    <w:rsid w:val="22BA7678"/>
    <w:rsid w:val="22BE4BAF"/>
    <w:rsid w:val="22CC5EFA"/>
    <w:rsid w:val="22CF4732"/>
    <w:rsid w:val="22D017A2"/>
    <w:rsid w:val="22DB420B"/>
    <w:rsid w:val="22EC56D1"/>
    <w:rsid w:val="22ED3A14"/>
    <w:rsid w:val="22F571E7"/>
    <w:rsid w:val="230C30AB"/>
    <w:rsid w:val="230F5DE6"/>
    <w:rsid w:val="231057D9"/>
    <w:rsid w:val="231B6582"/>
    <w:rsid w:val="231F5DDF"/>
    <w:rsid w:val="23203D54"/>
    <w:rsid w:val="23237477"/>
    <w:rsid w:val="23275D1E"/>
    <w:rsid w:val="232833D2"/>
    <w:rsid w:val="2329064D"/>
    <w:rsid w:val="232D230C"/>
    <w:rsid w:val="23354655"/>
    <w:rsid w:val="233D76D7"/>
    <w:rsid w:val="23521346"/>
    <w:rsid w:val="235D65B7"/>
    <w:rsid w:val="23634D97"/>
    <w:rsid w:val="23637958"/>
    <w:rsid w:val="236773C3"/>
    <w:rsid w:val="236B0C61"/>
    <w:rsid w:val="23767DE7"/>
    <w:rsid w:val="237C194D"/>
    <w:rsid w:val="237C5CE3"/>
    <w:rsid w:val="238924AC"/>
    <w:rsid w:val="23931594"/>
    <w:rsid w:val="239A7585"/>
    <w:rsid w:val="23A17D8D"/>
    <w:rsid w:val="23A27148"/>
    <w:rsid w:val="23A9618B"/>
    <w:rsid w:val="23C379FD"/>
    <w:rsid w:val="23CE7223"/>
    <w:rsid w:val="23D04F68"/>
    <w:rsid w:val="23D32FE3"/>
    <w:rsid w:val="23D41D37"/>
    <w:rsid w:val="23D64FFA"/>
    <w:rsid w:val="23DC2FAD"/>
    <w:rsid w:val="23E02E67"/>
    <w:rsid w:val="23EB0C97"/>
    <w:rsid w:val="23F776D8"/>
    <w:rsid w:val="23FF7A8C"/>
    <w:rsid w:val="24032655"/>
    <w:rsid w:val="24064BBE"/>
    <w:rsid w:val="24131151"/>
    <w:rsid w:val="24191BAC"/>
    <w:rsid w:val="241B4227"/>
    <w:rsid w:val="241C33A0"/>
    <w:rsid w:val="241D001B"/>
    <w:rsid w:val="241D36A6"/>
    <w:rsid w:val="24212819"/>
    <w:rsid w:val="242D503F"/>
    <w:rsid w:val="242F51F8"/>
    <w:rsid w:val="24312E96"/>
    <w:rsid w:val="243231EE"/>
    <w:rsid w:val="24324F7D"/>
    <w:rsid w:val="24392A29"/>
    <w:rsid w:val="243B0CD6"/>
    <w:rsid w:val="244237E5"/>
    <w:rsid w:val="24432FB6"/>
    <w:rsid w:val="244A63C9"/>
    <w:rsid w:val="244D099B"/>
    <w:rsid w:val="244D777A"/>
    <w:rsid w:val="244E17D3"/>
    <w:rsid w:val="245B7B42"/>
    <w:rsid w:val="245E694C"/>
    <w:rsid w:val="24612064"/>
    <w:rsid w:val="246C0544"/>
    <w:rsid w:val="246D5517"/>
    <w:rsid w:val="247671CD"/>
    <w:rsid w:val="2479278A"/>
    <w:rsid w:val="2479352B"/>
    <w:rsid w:val="247A30CF"/>
    <w:rsid w:val="247B4AD1"/>
    <w:rsid w:val="24813D4E"/>
    <w:rsid w:val="248A69C5"/>
    <w:rsid w:val="248E307A"/>
    <w:rsid w:val="24973972"/>
    <w:rsid w:val="24A71DF9"/>
    <w:rsid w:val="24A96F54"/>
    <w:rsid w:val="24B80BDC"/>
    <w:rsid w:val="24B84175"/>
    <w:rsid w:val="24C02DE3"/>
    <w:rsid w:val="24C37589"/>
    <w:rsid w:val="24C676DD"/>
    <w:rsid w:val="24CC6E67"/>
    <w:rsid w:val="24CD76F9"/>
    <w:rsid w:val="24D23FAC"/>
    <w:rsid w:val="24DA3BC9"/>
    <w:rsid w:val="24DC0CD0"/>
    <w:rsid w:val="24E84A8F"/>
    <w:rsid w:val="24EB5209"/>
    <w:rsid w:val="24ED3DC0"/>
    <w:rsid w:val="25050C41"/>
    <w:rsid w:val="250A6DCF"/>
    <w:rsid w:val="25170375"/>
    <w:rsid w:val="25195CFA"/>
    <w:rsid w:val="251C3450"/>
    <w:rsid w:val="25225DA3"/>
    <w:rsid w:val="252331D3"/>
    <w:rsid w:val="252F411F"/>
    <w:rsid w:val="253B44EC"/>
    <w:rsid w:val="254043A7"/>
    <w:rsid w:val="25436F87"/>
    <w:rsid w:val="25455263"/>
    <w:rsid w:val="25532D97"/>
    <w:rsid w:val="25544721"/>
    <w:rsid w:val="255C712C"/>
    <w:rsid w:val="256B292C"/>
    <w:rsid w:val="25757FFE"/>
    <w:rsid w:val="257E76FF"/>
    <w:rsid w:val="259403F3"/>
    <w:rsid w:val="25942FBE"/>
    <w:rsid w:val="25973F8F"/>
    <w:rsid w:val="25B10BA3"/>
    <w:rsid w:val="25B23680"/>
    <w:rsid w:val="25B278CA"/>
    <w:rsid w:val="25BC4E69"/>
    <w:rsid w:val="25BF183F"/>
    <w:rsid w:val="25CE4718"/>
    <w:rsid w:val="25DA20CE"/>
    <w:rsid w:val="25DA6B12"/>
    <w:rsid w:val="25DC705A"/>
    <w:rsid w:val="25DE64C4"/>
    <w:rsid w:val="25DF76E4"/>
    <w:rsid w:val="25EB3D63"/>
    <w:rsid w:val="25EC76E7"/>
    <w:rsid w:val="25F12F66"/>
    <w:rsid w:val="25FD28EE"/>
    <w:rsid w:val="25FE3EB3"/>
    <w:rsid w:val="26022A48"/>
    <w:rsid w:val="260450DB"/>
    <w:rsid w:val="26070462"/>
    <w:rsid w:val="260766D2"/>
    <w:rsid w:val="260F533E"/>
    <w:rsid w:val="261469C2"/>
    <w:rsid w:val="261B107D"/>
    <w:rsid w:val="261F6773"/>
    <w:rsid w:val="26255B65"/>
    <w:rsid w:val="26256155"/>
    <w:rsid w:val="26356376"/>
    <w:rsid w:val="26366557"/>
    <w:rsid w:val="26391EEB"/>
    <w:rsid w:val="26391FB7"/>
    <w:rsid w:val="263A2A01"/>
    <w:rsid w:val="263C0BC5"/>
    <w:rsid w:val="26437DCF"/>
    <w:rsid w:val="264F186C"/>
    <w:rsid w:val="266E5A3F"/>
    <w:rsid w:val="267279D6"/>
    <w:rsid w:val="267A298D"/>
    <w:rsid w:val="2686659B"/>
    <w:rsid w:val="26A1525B"/>
    <w:rsid w:val="26A47C13"/>
    <w:rsid w:val="26A62F66"/>
    <w:rsid w:val="26B6068C"/>
    <w:rsid w:val="26BD63D3"/>
    <w:rsid w:val="26C2328E"/>
    <w:rsid w:val="26CA0CD0"/>
    <w:rsid w:val="26D45181"/>
    <w:rsid w:val="26D46D7D"/>
    <w:rsid w:val="26DA7FD5"/>
    <w:rsid w:val="26DF06E1"/>
    <w:rsid w:val="26E422CA"/>
    <w:rsid w:val="26E95688"/>
    <w:rsid w:val="26EF0724"/>
    <w:rsid w:val="26F92A28"/>
    <w:rsid w:val="26FD079A"/>
    <w:rsid w:val="26FD42C6"/>
    <w:rsid w:val="270014C2"/>
    <w:rsid w:val="2703486C"/>
    <w:rsid w:val="270B08EB"/>
    <w:rsid w:val="27175C6E"/>
    <w:rsid w:val="27180A25"/>
    <w:rsid w:val="272F7620"/>
    <w:rsid w:val="27341827"/>
    <w:rsid w:val="27372632"/>
    <w:rsid w:val="27391076"/>
    <w:rsid w:val="273E0B20"/>
    <w:rsid w:val="27437EA4"/>
    <w:rsid w:val="2747475C"/>
    <w:rsid w:val="27521CE6"/>
    <w:rsid w:val="275A5656"/>
    <w:rsid w:val="275C4E8A"/>
    <w:rsid w:val="27657B4F"/>
    <w:rsid w:val="27693B96"/>
    <w:rsid w:val="276A688C"/>
    <w:rsid w:val="276A690E"/>
    <w:rsid w:val="27750300"/>
    <w:rsid w:val="27766512"/>
    <w:rsid w:val="277A5A01"/>
    <w:rsid w:val="27835DD3"/>
    <w:rsid w:val="27871071"/>
    <w:rsid w:val="278C7229"/>
    <w:rsid w:val="27900D13"/>
    <w:rsid w:val="27920EDF"/>
    <w:rsid w:val="27A400D0"/>
    <w:rsid w:val="27AD3C3D"/>
    <w:rsid w:val="27AE0798"/>
    <w:rsid w:val="27AE63BC"/>
    <w:rsid w:val="27B626C7"/>
    <w:rsid w:val="27B74454"/>
    <w:rsid w:val="27B84FD6"/>
    <w:rsid w:val="27BA7BE7"/>
    <w:rsid w:val="27BD414A"/>
    <w:rsid w:val="27DB688C"/>
    <w:rsid w:val="27E40FE2"/>
    <w:rsid w:val="27E8188C"/>
    <w:rsid w:val="27E92A9C"/>
    <w:rsid w:val="27E93145"/>
    <w:rsid w:val="27EB0DC5"/>
    <w:rsid w:val="27F07987"/>
    <w:rsid w:val="27F21553"/>
    <w:rsid w:val="27F3788B"/>
    <w:rsid w:val="27FF05FA"/>
    <w:rsid w:val="280602FE"/>
    <w:rsid w:val="280635AD"/>
    <w:rsid w:val="280D2D5B"/>
    <w:rsid w:val="281012DE"/>
    <w:rsid w:val="28101DD7"/>
    <w:rsid w:val="28252934"/>
    <w:rsid w:val="282873F9"/>
    <w:rsid w:val="28330DD9"/>
    <w:rsid w:val="283F26BC"/>
    <w:rsid w:val="285739C1"/>
    <w:rsid w:val="285D771A"/>
    <w:rsid w:val="2863487C"/>
    <w:rsid w:val="28753875"/>
    <w:rsid w:val="287B12EA"/>
    <w:rsid w:val="287E74F9"/>
    <w:rsid w:val="28870BE3"/>
    <w:rsid w:val="28892550"/>
    <w:rsid w:val="288B234A"/>
    <w:rsid w:val="288E4314"/>
    <w:rsid w:val="28A066B2"/>
    <w:rsid w:val="28A224AF"/>
    <w:rsid w:val="28A36038"/>
    <w:rsid w:val="28A644E9"/>
    <w:rsid w:val="28A80968"/>
    <w:rsid w:val="28AC59F9"/>
    <w:rsid w:val="28AD5878"/>
    <w:rsid w:val="28B01E67"/>
    <w:rsid w:val="28B03009"/>
    <w:rsid w:val="28B05368"/>
    <w:rsid w:val="28B53517"/>
    <w:rsid w:val="28C6174A"/>
    <w:rsid w:val="28CB4158"/>
    <w:rsid w:val="28D03881"/>
    <w:rsid w:val="28D81DF8"/>
    <w:rsid w:val="28F13173"/>
    <w:rsid w:val="28F57CC3"/>
    <w:rsid w:val="28F7079B"/>
    <w:rsid w:val="28FB1839"/>
    <w:rsid w:val="29042B02"/>
    <w:rsid w:val="29050E4A"/>
    <w:rsid w:val="290D5EDD"/>
    <w:rsid w:val="29202550"/>
    <w:rsid w:val="29244D59"/>
    <w:rsid w:val="293300BC"/>
    <w:rsid w:val="2936059D"/>
    <w:rsid w:val="294676B3"/>
    <w:rsid w:val="294A30C6"/>
    <w:rsid w:val="294E0B65"/>
    <w:rsid w:val="294F015A"/>
    <w:rsid w:val="294F2860"/>
    <w:rsid w:val="29536829"/>
    <w:rsid w:val="29570151"/>
    <w:rsid w:val="295A0AAC"/>
    <w:rsid w:val="295B4A3A"/>
    <w:rsid w:val="296516CB"/>
    <w:rsid w:val="296A6E66"/>
    <w:rsid w:val="296D2B5D"/>
    <w:rsid w:val="296F5BB1"/>
    <w:rsid w:val="2970056C"/>
    <w:rsid w:val="297514F8"/>
    <w:rsid w:val="29820AB2"/>
    <w:rsid w:val="298A301A"/>
    <w:rsid w:val="29916748"/>
    <w:rsid w:val="299C44E9"/>
    <w:rsid w:val="29AF78B3"/>
    <w:rsid w:val="29B70767"/>
    <w:rsid w:val="29B73ECC"/>
    <w:rsid w:val="29B96ED0"/>
    <w:rsid w:val="29BB070D"/>
    <w:rsid w:val="29BF7CA2"/>
    <w:rsid w:val="29C04A85"/>
    <w:rsid w:val="29C65266"/>
    <w:rsid w:val="29CC533E"/>
    <w:rsid w:val="29CF6236"/>
    <w:rsid w:val="29D137AC"/>
    <w:rsid w:val="29D64FA2"/>
    <w:rsid w:val="29DB03AF"/>
    <w:rsid w:val="29E360CC"/>
    <w:rsid w:val="29E86A4D"/>
    <w:rsid w:val="2A0151D9"/>
    <w:rsid w:val="2A080AB3"/>
    <w:rsid w:val="2A1A7AE1"/>
    <w:rsid w:val="2A1C4C00"/>
    <w:rsid w:val="2A1D0411"/>
    <w:rsid w:val="2A202667"/>
    <w:rsid w:val="2A2373E0"/>
    <w:rsid w:val="2A264090"/>
    <w:rsid w:val="2A2672A5"/>
    <w:rsid w:val="2A283209"/>
    <w:rsid w:val="2A2C0A1E"/>
    <w:rsid w:val="2A311584"/>
    <w:rsid w:val="2A4427DF"/>
    <w:rsid w:val="2A4B2D13"/>
    <w:rsid w:val="2A514DC2"/>
    <w:rsid w:val="2A521843"/>
    <w:rsid w:val="2A5D507B"/>
    <w:rsid w:val="2A61612B"/>
    <w:rsid w:val="2A661091"/>
    <w:rsid w:val="2A6A53C0"/>
    <w:rsid w:val="2A6F2F84"/>
    <w:rsid w:val="2A7228D5"/>
    <w:rsid w:val="2A781EB5"/>
    <w:rsid w:val="2A8500A0"/>
    <w:rsid w:val="2A8D0425"/>
    <w:rsid w:val="2A8F6D34"/>
    <w:rsid w:val="2A920738"/>
    <w:rsid w:val="2AA133C9"/>
    <w:rsid w:val="2AB70F77"/>
    <w:rsid w:val="2AB720C2"/>
    <w:rsid w:val="2ABA7A1E"/>
    <w:rsid w:val="2ABC22A4"/>
    <w:rsid w:val="2ABE3801"/>
    <w:rsid w:val="2AC15AEE"/>
    <w:rsid w:val="2AC46EA9"/>
    <w:rsid w:val="2AC63E33"/>
    <w:rsid w:val="2ACA2711"/>
    <w:rsid w:val="2AD90BA6"/>
    <w:rsid w:val="2ADB1DBC"/>
    <w:rsid w:val="2AE178FD"/>
    <w:rsid w:val="2B0617B6"/>
    <w:rsid w:val="2B0A0FF2"/>
    <w:rsid w:val="2B116CDD"/>
    <w:rsid w:val="2B1676B6"/>
    <w:rsid w:val="2B170B8D"/>
    <w:rsid w:val="2B1761E5"/>
    <w:rsid w:val="2B2B3EAA"/>
    <w:rsid w:val="2B320BB4"/>
    <w:rsid w:val="2B345CAA"/>
    <w:rsid w:val="2B360B20"/>
    <w:rsid w:val="2B38170E"/>
    <w:rsid w:val="2B3F4335"/>
    <w:rsid w:val="2B4A5600"/>
    <w:rsid w:val="2B502557"/>
    <w:rsid w:val="2B563FA5"/>
    <w:rsid w:val="2B6B29FE"/>
    <w:rsid w:val="2B7772DD"/>
    <w:rsid w:val="2B7E75A3"/>
    <w:rsid w:val="2B851098"/>
    <w:rsid w:val="2B85488A"/>
    <w:rsid w:val="2B8D7C0F"/>
    <w:rsid w:val="2B934DFF"/>
    <w:rsid w:val="2B9E66B5"/>
    <w:rsid w:val="2B9F4FFE"/>
    <w:rsid w:val="2BA04FEF"/>
    <w:rsid w:val="2BA41D4A"/>
    <w:rsid w:val="2BB42B73"/>
    <w:rsid w:val="2BBA7523"/>
    <w:rsid w:val="2BBC350C"/>
    <w:rsid w:val="2BBD0DCF"/>
    <w:rsid w:val="2BBF0E30"/>
    <w:rsid w:val="2BC357B1"/>
    <w:rsid w:val="2BD85E26"/>
    <w:rsid w:val="2BD86BEF"/>
    <w:rsid w:val="2BDD42E6"/>
    <w:rsid w:val="2BE06458"/>
    <w:rsid w:val="2BEE3077"/>
    <w:rsid w:val="2BEE72D8"/>
    <w:rsid w:val="2BF36914"/>
    <w:rsid w:val="2BF668F0"/>
    <w:rsid w:val="2BF763F6"/>
    <w:rsid w:val="2C014062"/>
    <w:rsid w:val="2C020A4A"/>
    <w:rsid w:val="2C02412C"/>
    <w:rsid w:val="2C032FB8"/>
    <w:rsid w:val="2C06410F"/>
    <w:rsid w:val="2C0A5147"/>
    <w:rsid w:val="2C1856FE"/>
    <w:rsid w:val="2C1D0DE3"/>
    <w:rsid w:val="2C2E4AE9"/>
    <w:rsid w:val="2C302B12"/>
    <w:rsid w:val="2C316565"/>
    <w:rsid w:val="2C33078A"/>
    <w:rsid w:val="2C352204"/>
    <w:rsid w:val="2C3E3AFE"/>
    <w:rsid w:val="2C471F68"/>
    <w:rsid w:val="2C513230"/>
    <w:rsid w:val="2C5724E3"/>
    <w:rsid w:val="2C5A1D10"/>
    <w:rsid w:val="2C5C1A8E"/>
    <w:rsid w:val="2C5C74A9"/>
    <w:rsid w:val="2C63741C"/>
    <w:rsid w:val="2C697123"/>
    <w:rsid w:val="2C6C2918"/>
    <w:rsid w:val="2C6F4767"/>
    <w:rsid w:val="2C7A3167"/>
    <w:rsid w:val="2C7D7B2F"/>
    <w:rsid w:val="2C7E5210"/>
    <w:rsid w:val="2C816298"/>
    <w:rsid w:val="2C817A09"/>
    <w:rsid w:val="2C865DB3"/>
    <w:rsid w:val="2C8C7C7B"/>
    <w:rsid w:val="2C9A03D4"/>
    <w:rsid w:val="2C9C7C34"/>
    <w:rsid w:val="2CA83E0E"/>
    <w:rsid w:val="2CAF185E"/>
    <w:rsid w:val="2CB44223"/>
    <w:rsid w:val="2CB77315"/>
    <w:rsid w:val="2CB96E85"/>
    <w:rsid w:val="2CC6126A"/>
    <w:rsid w:val="2CD80F96"/>
    <w:rsid w:val="2CD94E8D"/>
    <w:rsid w:val="2CE34858"/>
    <w:rsid w:val="2CEB2D67"/>
    <w:rsid w:val="2CF31DCA"/>
    <w:rsid w:val="2CF4668A"/>
    <w:rsid w:val="2D095878"/>
    <w:rsid w:val="2D0E6D98"/>
    <w:rsid w:val="2D15375C"/>
    <w:rsid w:val="2D292DC0"/>
    <w:rsid w:val="2D2C0635"/>
    <w:rsid w:val="2D2E238E"/>
    <w:rsid w:val="2D301DF2"/>
    <w:rsid w:val="2D321B92"/>
    <w:rsid w:val="2D346567"/>
    <w:rsid w:val="2D367276"/>
    <w:rsid w:val="2D37450D"/>
    <w:rsid w:val="2D3840FD"/>
    <w:rsid w:val="2D396C89"/>
    <w:rsid w:val="2D3B2D57"/>
    <w:rsid w:val="2D3B4654"/>
    <w:rsid w:val="2D412A32"/>
    <w:rsid w:val="2D413950"/>
    <w:rsid w:val="2D4A319B"/>
    <w:rsid w:val="2D4C2778"/>
    <w:rsid w:val="2D533B4D"/>
    <w:rsid w:val="2D56527A"/>
    <w:rsid w:val="2D5D1C1B"/>
    <w:rsid w:val="2D6545C9"/>
    <w:rsid w:val="2D66643A"/>
    <w:rsid w:val="2D6D4403"/>
    <w:rsid w:val="2D720C8A"/>
    <w:rsid w:val="2D7E77E3"/>
    <w:rsid w:val="2D83264D"/>
    <w:rsid w:val="2D8C5DC7"/>
    <w:rsid w:val="2D975F22"/>
    <w:rsid w:val="2D9A0AA6"/>
    <w:rsid w:val="2D9A1B6D"/>
    <w:rsid w:val="2D9A4C30"/>
    <w:rsid w:val="2DA42959"/>
    <w:rsid w:val="2DA471ED"/>
    <w:rsid w:val="2DA83BBF"/>
    <w:rsid w:val="2DAB641D"/>
    <w:rsid w:val="2DAD1BBC"/>
    <w:rsid w:val="2DAE08D3"/>
    <w:rsid w:val="2DB92A33"/>
    <w:rsid w:val="2DC5793D"/>
    <w:rsid w:val="2DCB275D"/>
    <w:rsid w:val="2DD77724"/>
    <w:rsid w:val="2DDB4DB9"/>
    <w:rsid w:val="2DDE644C"/>
    <w:rsid w:val="2DE36EDD"/>
    <w:rsid w:val="2DE37862"/>
    <w:rsid w:val="2DEF5188"/>
    <w:rsid w:val="2E0304FF"/>
    <w:rsid w:val="2E106C55"/>
    <w:rsid w:val="2E12514F"/>
    <w:rsid w:val="2E1D54E7"/>
    <w:rsid w:val="2E1F2D74"/>
    <w:rsid w:val="2E2028FA"/>
    <w:rsid w:val="2E2A5605"/>
    <w:rsid w:val="2E356B26"/>
    <w:rsid w:val="2E3C10CF"/>
    <w:rsid w:val="2E3D0880"/>
    <w:rsid w:val="2E403744"/>
    <w:rsid w:val="2E506832"/>
    <w:rsid w:val="2E52399A"/>
    <w:rsid w:val="2E5A3DAC"/>
    <w:rsid w:val="2E5F5866"/>
    <w:rsid w:val="2E600977"/>
    <w:rsid w:val="2E6157FC"/>
    <w:rsid w:val="2E692A88"/>
    <w:rsid w:val="2E696AF7"/>
    <w:rsid w:val="2E6E238D"/>
    <w:rsid w:val="2E6E3A62"/>
    <w:rsid w:val="2E70537D"/>
    <w:rsid w:val="2E827E7F"/>
    <w:rsid w:val="2E84707B"/>
    <w:rsid w:val="2E8C6BB9"/>
    <w:rsid w:val="2E911F29"/>
    <w:rsid w:val="2EBA3C2F"/>
    <w:rsid w:val="2EC03BDD"/>
    <w:rsid w:val="2ED14396"/>
    <w:rsid w:val="2ED31DB0"/>
    <w:rsid w:val="2ED43FD4"/>
    <w:rsid w:val="2ED823E6"/>
    <w:rsid w:val="2EE2477F"/>
    <w:rsid w:val="2EE67D8F"/>
    <w:rsid w:val="2EEF5025"/>
    <w:rsid w:val="2EFB183A"/>
    <w:rsid w:val="2EFE0D5E"/>
    <w:rsid w:val="2EFE3147"/>
    <w:rsid w:val="2F0024B0"/>
    <w:rsid w:val="2F044A47"/>
    <w:rsid w:val="2F151F53"/>
    <w:rsid w:val="2F1C5505"/>
    <w:rsid w:val="2F1D561E"/>
    <w:rsid w:val="2F210BD3"/>
    <w:rsid w:val="2F2537C4"/>
    <w:rsid w:val="2F26327E"/>
    <w:rsid w:val="2F2F4CA2"/>
    <w:rsid w:val="2F364819"/>
    <w:rsid w:val="2F3D3474"/>
    <w:rsid w:val="2F464545"/>
    <w:rsid w:val="2F4A14FC"/>
    <w:rsid w:val="2F4E68DC"/>
    <w:rsid w:val="2F536FA6"/>
    <w:rsid w:val="2F5745E0"/>
    <w:rsid w:val="2F57653D"/>
    <w:rsid w:val="2F5D0519"/>
    <w:rsid w:val="2F61116A"/>
    <w:rsid w:val="2F6474CD"/>
    <w:rsid w:val="2F6A077F"/>
    <w:rsid w:val="2F7C7064"/>
    <w:rsid w:val="2F8063EF"/>
    <w:rsid w:val="2F8360C5"/>
    <w:rsid w:val="2F894309"/>
    <w:rsid w:val="2F911D84"/>
    <w:rsid w:val="2F9521D4"/>
    <w:rsid w:val="2F9E416C"/>
    <w:rsid w:val="2FA0434A"/>
    <w:rsid w:val="2FB13D3F"/>
    <w:rsid w:val="2FB36C9F"/>
    <w:rsid w:val="2FC30425"/>
    <w:rsid w:val="2FC43093"/>
    <w:rsid w:val="2FC66C48"/>
    <w:rsid w:val="2FD245E5"/>
    <w:rsid w:val="2FDA131E"/>
    <w:rsid w:val="2FDA459F"/>
    <w:rsid w:val="2FDC392C"/>
    <w:rsid w:val="2FDF1813"/>
    <w:rsid w:val="2FE328DD"/>
    <w:rsid w:val="2FE377CE"/>
    <w:rsid w:val="2FE43E34"/>
    <w:rsid w:val="2FE510A1"/>
    <w:rsid w:val="2FEE4CB6"/>
    <w:rsid w:val="2FF519FB"/>
    <w:rsid w:val="300618D7"/>
    <w:rsid w:val="30066174"/>
    <w:rsid w:val="30066EB8"/>
    <w:rsid w:val="301037A3"/>
    <w:rsid w:val="3013617A"/>
    <w:rsid w:val="30173188"/>
    <w:rsid w:val="30224194"/>
    <w:rsid w:val="30236861"/>
    <w:rsid w:val="302B2C2D"/>
    <w:rsid w:val="302F05F4"/>
    <w:rsid w:val="30313526"/>
    <w:rsid w:val="303C46AC"/>
    <w:rsid w:val="30471531"/>
    <w:rsid w:val="30493612"/>
    <w:rsid w:val="304A7B91"/>
    <w:rsid w:val="304C5D44"/>
    <w:rsid w:val="3057417B"/>
    <w:rsid w:val="305C165E"/>
    <w:rsid w:val="3065791C"/>
    <w:rsid w:val="30666663"/>
    <w:rsid w:val="306F3772"/>
    <w:rsid w:val="307757A1"/>
    <w:rsid w:val="308B7EDF"/>
    <w:rsid w:val="309866C3"/>
    <w:rsid w:val="309C4B4F"/>
    <w:rsid w:val="30A72635"/>
    <w:rsid w:val="30AB709B"/>
    <w:rsid w:val="30B01EF0"/>
    <w:rsid w:val="30B65A64"/>
    <w:rsid w:val="30BA4FD6"/>
    <w:rsid w:val="30BB3937"/>
    <w:rsid w:val="30CE207F"/>
    <w:rsid w:val="30D478B7"/>
    <w:rsid w:val="30D53D28"/>
    <w:rsid w:val="30D836AE"/>
    <w:rsid w:val="30E00B25"/>
    <w:rsid w:val="30F524B2"/>
    <w:rsid w:val="30F70C87"/>
    <w:rsid w:val="31000619"/>
    <w:rsid w:val="31086F6F"/>
    <w:rsid w:val="310C0B1E"/>
    <w:rsid w:val="310C32F0"/>
    <w:rsid w:val="310C3514"/>
    <w:rsid w:val="310C6EDD"/>
    <w:rsid w:val="310D5A9A"/>
    <w:rsid w:val="31127F47"/>
    <w:rsid w:val="31183F2E"/>
    <w:rsid w:val="31224216"/>
    <w:rsid w:val="31282E00"/>
    <w:rsid w:val="312C25B0"/>
    <w:rsid w:val="312D11B3"/>
    <w:rsid w:val="312E6225"/>
    <w:rsid w:val="31334408"/>
    <w:rsid w:val="313F75FB"/>
    <w:rsid w:val="314F167D"/>
    <w:rsid w:val="315F4E99"/>
    <w:rsid w:val="31606992"/>
    <w:rsid w:val="31647841"/>
    <w:rsid w:val="316B4CC5"/>
    <w:rsid w:val="316B67FF"/>
    <w:rsid w:val="316C47F3"/>
    <w:rsid w:val="316F3765"/>
    <w:rsid w:val="31704B31"/>
    <w:rsid w:val="317B251D"/>
    <w:rsid w:val="317E3481"/>
    <w:rsid w:val="317E4E4B"/>
    <w:rsid w:val="31800C85"/>
    <w:rsid w:val="31847535"/>
    <w:rsid w:val="31985926"/>
    <w:rsid w:val="319C7334"/>
    <w:rsid w:val="31A62227"/>
    <w:rsid w:val="31AA7B45"/>
    <w:rsid w:val="31AE2A82"/>
    <w:rsid w:val="31BF1021"/>
    <w:rsid w:val="31C03585"/>
    <w:rsid w:val="31C629E0"/>
    <w:rsid w:val="31D23374"/>
    <w:rsid w:val="31D32CAA"/>
    <w:rsid w:val="31D545A4"/>
    <w:rsid w:val="31D64EB5"/>
    <w:rsid w:val="31E0601A"/>
    <w:rsid w:val="31EE3AA9"/>
    <w:rsid w:val="31EF27CF"/>
    <w:rsid w:val="31F10271"/>
    <w:rsid w:val="31F32290"/>
    <w:rsid w:val="31FB0D83"/>
    <w:rsid w:val="32086F08"/>
    <w:rsid w:val="32095873"/>
    <w:rsid w:val="320D41E0"/>
    <w:rsid w:val="32116694"/>
    <w:rsid w:val="321C75CA"/>
    <w:rsid w:val="321E0CD7"/>
    <w:rsid w:val="32245EEE"/>
    <w:rsid w:val="322950BE"/>
    <w:rsid w:val="32306AD7"/>
    <w:rsid w:val="323260E7"/>
    <w:rsid w:val="323A7122"/>
    <w:rsid w:val="323E74F4"/>
    <w:rsid w:val="3241100F"/>
    <w:rsid w:val="324C4353"/>
    <w:rsid w:val="3253689B"/>
    <w:rsid w:val="32646767"/>
    <w:rsid w:val="32702C78"/>
    <w:rsid w:val="327976DB"/>
    <w:rsid w:val="327F1D0D"/>
    <w:rsid w:val="328241B5"/>
    <w:rsid w:val="3283601D"/>
    <w:rsid w:val="328D0273"/>
    <w:rsid w:val="328E74D6"/>
    <w:rsid w:val="32922135"/>
    <w:rsid w:val="32931F7A"/>
    <w:rsid w:val="32935ADE"/>
    <w:rsid w:val="329A211D"/>
    <w:rsid w:val="32AB35D6"/>
    <w:rsid w:val="32AC59E5"/>
    <w:rsid w:val="32B141B6"/>
    <w:rsid w:val="32B923F6"/>
    <w:rsid w:val="32BC0A33"/>
    <w:rsid w:val="32BE0A81"/>
    <w:rsid w:val="32C41563"/>
    <w:rsid w:val="32C522BD"/>
    <w:rsid w:val="32C671C7"/>
    <w:rsid w:val="32D05979"/>
    <w:rsid w:val="32D66F79"/>
    <w:rsid w:val="32DC0CFD"/>
    <w:rsid w:val="32E240D2"/>
    <w:rsid w:val="32E41C9D"/>
    <w:rsid w:val="32E61FEE"/>
    <w:rsid w:val="32EB4A23"/>
    <w:rsid w:val="32EB76C8"/>
    <w:rsid w:val="32EE54AD"/>
    <w:rsid w:val="32EF2564"/>
    <w:rsid w:val="32EF6DCD"/>
    <w:rsid w:val="33042F60"/>
    <w:rsid w:val="330D4437"/>
    <w:rsid w:val="33101995"/>
    <w:rsid w:val="331264EB"/>
    <w:rsid w:val="33133016"/>
    <w:rsid w:val="33193BDB"/>
    <w:rsid w:val="33273BFB"/>
    <w:rsid w:val="332D04D9"/>
    <w:rsid w:val="332D405C"/>
    <w:rsid w:val="33301FC5"/>
    <w:rsid w:val="333A020A"/>
    <w:rsid w:val="33426F5E"/>
    <w:rsid w:val="334E10C2"/>
    <w:rsid w:val="334F3707"/>
    <w:rsid w:val="33550B28"/>
    <w:rsid w:val="33587CA1"/>
    <w:rsid w:val="335A6BB0"/>
    <w:rsid w:val="335E7BBD"/>
    <w:rsid w:val="33641F37"/>
    <w:rsid w:val="336E1068"/>
    <w:rsid w:val="337104CA"/>
    <w:rsid w:val="33734285"/>
    <w:rsid w:val="337441E7"/>
    <w:rsid w:val="33771BF2"/>
    <w:rsid w:val="3381618A"/>
    <w:rsid w:val="338517B1"/>
    <w:rsid w:val="338E23F4"/>
    <w:rsid w:val="339125B3"/>
    <w:rsid w:val="339B265D"/>
    <w:rsid w:val="339D3920"/>
    <w:rsid w:val="339F7034"/>
    <w:rsid w:val="33AA4694"/>
    <w:rsid w:val="33AD7074"/>
    <w:rsid w:val="33C322EF"/>
    <w:rsid w:val="33C70DA7"/>
    <w:rsid w:val="33DB50CC"/>
    <w:rsid w:val="33DE17EB"/>
    <w:rsid w:val="33DE34F8"/>
    <w:rsid w:val="33F11CA2"/>
    <w:rsid w:val="33F67EF7"/>
    <w:rsid w:val="33F702EF"/>
    <w:rsid w:val="33FD2CB5"/>
    <w:rsid w:val="34015D6C"/>
    <w:rsid w:val="340A748B"/>
    <w:rsid w:val="341507C8"/>
    <w:rsid w:val="341607F5"/>
    <w:rsid w:val="34174BAC"/>
    <w:rsid w:val="341E4BD7"/>
    <w:rsid w:val="34274348"/>
    <w:rsid w:val="343963C8"/>
    <w:rsid w:val="345B10BF"/>
    <w:rsid w:val="345C541F"/>
    <w:rsid w:val="345F1AA7"/>
    <w:rsid w:val="346922C1"/>
    <w:rsid w:val="347100A1"/>
    <w:rsid w:val="34747236"/>
    <w:rsid w:val="347D3E0A"/>
    <w:rsid w:val="34804E01"/>
    <w:rsid w:val="348C6A4E"/>
    <w:rsid w:val="34957AC8"/>
    <w:rsid w:val="34972DD9"/>
    <w:rsid w:val="349D01BB"/>
    <w:rsid w:val="34BC5E70"/>
    <w:rsid w:val="34C32FF8"/>
    <w:rsid w:val="34C71A6F"/>
    <w:rsid w:val="34C75F13"/>
    <w:rsid w:val="34C86083"/>
    <w:rsid w:val="34D32B0A"/>
    <w:rsid w:val="34D353BE"/>
    <w:rsid w:val="34DA56D9"/>
    <w:rsid w:val="34DB551B"/>
    <w:rsid w:val="34E00D83"/>
    <w:rsid w:val="34EC63B9"/>
    <w:rsid w:val="34F92A01"/>
    <w:rsid w:val="34FD63BC"/>
    <w:rsid w:val="34FE5AB2"/>
    <w:rsid w:val="35007662"/>
    <w:rsid w:val="35104C9C"/>
    <w:rsid w:val="351860A8"/>
    <w:rsid w:val="351976E1"/>
    <w:rsid w:val="35230286"/>
    <w:rsid w:val="352E583B"/>
    <w:rsid w:val="352F1A0E"/>
    <w:rsid w:val="353278B4"/>
    <w:rsid w:val="353E6297"/>
    <w:rsid w:val="353F00D1"/>
    <w:rsid w:val="353F1531"/>
    <w:rsid w:val="353F1F4D"/>
    <w:rsid w:val="354D4540"/>
    <w:rsid w:val="355A2295"/>
    <w:rsid w:val="355E68B5"/>
    <w:rsid w:val="35623CE7"/>
    <w:rsid w:val="35625513"/>
    <w:rsid w:val="35680466"/>
    <w:rsid w:val="357648DF"/>
    <w:rsid w:val="35773A99"/>
    <w:rsid w:val="358225E6"/>
    <w:rsid w:val="358362DE"/>
    <w:rsid w:val="35843E04"/>
    <w:rsid w:val="358A3113"/>
    <w:rsid w:val="359331C1"/>
    <w:rsid w:val="35954689"/>
    <w:rsid w:val="35984FC9"/>
    <w:rsid w:val="35987606"/>
    <w:rsid w:val="35996D48"/>
    <w:rsid w:val="35A1042A"/>
    <w:rsid w:val="35A34598"/>
    <w:rsid w:val="35A81001"/>
    <w:rsid w:val="35AA602E"/>
    <w:rsid w:val="35AD33E8"/>
    <w:rsid w:val="35B24C21"/>
    <w:rsid w:val="35B32C2A"/>
    <w:rsid w:val="35B5268C"/>
    <w:rsid w:val="35C73224"/>
    <w:rsid w:val="35DA1F41"/>
    <w:rsid w:val="35DB480F"/>
    <w:rsid w:val="35E61BCF"/>
    <w:rsid w:val="35F22EC6"/>
    <w:rsid w:val="35F86AD0"/>
    <w:rsid w:val="36083AE3"/>
    <w:rsid w:val="360B5884"/>
    <w:rsid w:val="36152492"/>
    <w:rsid w:val="361C3761"/>
    <w:rsid w:val="361E3B66"/>
    <w:rsid w:val="3627560B"/>
    <w:rsid w:val="36284FC0"/>
    <w:rsid w:val="362B6F6E"/>
    <w:rsid w:val="362B7E3F"/>
    <w:rsid w:val="362D1D0B"/>
    <w:rsid w:val="36301A62"/>
    <w:rsid w:val="36365D41"/>
    <w:rsid w:val="36394E2F"/>
    <w:rsid w:val="363975E6"/>
    <w:rsid w:val="363D6BD0"/>
    <w:rsid w:val="363D75E7"/>
    <w:rsid w:val="36416BCD"/>
    <w:rsid w:val="364A202D"/>
    <w:rsid w:val="36641124"/>
    <w:rsid w:val="36653C36"/>
    <w:rsid w:val="366C3DC1"/>
    <w:rsid w:val="36770544"/>
    <w:rsid w:val="367D6AD8"/>
    <w:rsid w:val="367E79B5"/>
    <w:rsid w:val="368211AC"/>
    <w:rsid w:val="36852CE8"/>
    <w:rsid w:val="369A12B1"/>
    <w:rsid w:val="36A1140D"/>
    <w:rsid w:val="36A943B7"/>
    <w:rsid w:val="36AA25CA"/>
    <w:rsid w:val="36C72E15"/>
    <w:rsid w:val="36CA074A"/>
    <w:rsid w:val="36CA1B77"/>
    <w:rsid w:val="36CC0354"/>
    <w:rsid w:val="36CE5337"/>
    <w:rsid w:val="36DA4FCD"/>
    <w:rsid w:val="36E9372E"/>
    <w:rsid w:val="36EA66B1"/>
    <w:rsid w:val="36F03471"/>
    <w:rsid w:val="36F5050E"/>
    <w:rsid w:val="371050CA"/>
    <w:rsid w:val="371477E2"/>
    <w:rsid w:val="371555DF"/>
    <w:rsid w:val="37175BD0"/>
    <w:rsid w:val="371C6600"/>
    <w:rsid w:val="3725628C"/>
    <w:rsid w:val="37294B48"/>
    <w:rsid w:val="372C44B7"/>
    <w:rsid w:val="374009AA"/>
    <w:rsid w:val="37412983"/>
    <w:rsid w:val="37416E59"/>
    <w:rsid w:val="37447536"/>
    <w:rsid w:val="374E46CA"/>
    <w:rsid w:val="37515437"/>
    <w:rsid w:val="37585548"/>
    <w:rsid w:val="375D39D9"/>
    <w:rsid w:val="375E46B3"/>
    <w:rsid w:val="376A4D85"/>
    <w:rsid w:val="376A7790"/>
    <w:rsid w:val="377B5260"/>
    <w:rsid w:val="37932249"/>
    <w:rsid w:val="379F175C"/>
    <w:rsid w:val="37A1284C"/>
    <w:rsid w:val="37A47B9C"/>
    <w:rsid w:val="37A71E33"/>
    <w:rsid w:val="37A7711F"/>
    <w:rsid w:val="37A77DE1"/>
    <w:rsid w:val="37A968A8"/>
    <w:rsid w:val="37B067C2"/>
    <w:rsid w:val="37B17FD6"/>
    <w:rsid w:val="37B415CF"/>
    <w:rsid w:val="37C1237B"/>
    <w:rsid w:val="37C64260"/>
    <w:rsid w:val="37C70BAA"/>
    <w:rsid w:val="37CD7C4F"/>
    <w:rsid w:val="37CF4E14"/>
    <w:rsid w:val="37D34CE9"/>
    <w:rsid w:val="37DA5EAF"/>
    <w:rsid w:val="37DE7253"/>
    <w:rsid w:val="37DF6424"/>
    <w:rsid w:val="37E42938"/>
    <w:rsid w:val="37EB016A"/>
    <w:rsid w:val="37F04BF7"/>
    <w:rsid w:val="37F237F3"/>
    <w:rsid w:val="38081C4D"/>
    <w:rsid w:val="38096EE4"/>
    <w:rsid w:val="380C10AD"/>
    <w:rsid w:val="38123349"/>
    <w:rsid w:val="38176BBC"/>
    <w:rsid w:val="38316867"/>
    <w:rsid w:val="38317E73"/>
    <w:rsid w:val="383403F1"/>
    <w:rsid w:val="38352846"/>
    <w:rsid w:val="38352BFA"/>
    <w:rsid w:val="3848004A"/>
    <w:rsid w:val="385A6B91"/>
    <w:rsid w:val="38631A4F"/>
    <w:rsid w:val="386A1004"/>
    <w:rsid w:val="386B47F0"/>
    <w:rsid w:val="386C5CCB"/>
    <w:rsid w:val="386D4864"/>
    <w:rsid w:val="386F48F8"/>
    <w:rsid w:val="388457E4"/>
    <w:rsid w:val="389739A1"/>
    <w:rsid w:val="38990CB6"/>
    <w:rsid w:val="389A7787"/>
    <w:rsid w:val="38A62308"/>
    <w:rsid w:val="38A908CC"/>
    <w:rsid w:val="38AB1E11"/>
    <w:rsid w:val="38AD3105"/>
    <w:rsid w:val="38AF2C9C"/>
    <w:rsid w:val="38B31327"/>
    <w:rsid w:val="38B33F63"/>
    <w:rsid w:val="38B431DD"/>
    <w:rsid w:val="38C30D51"/>
    <w:rsid w:val="38CC7826"/>
    <w:rsid w:val="38DF7BFB"/>
    <w:rsid w:val="38E31B2D"/>
    <w:rsid w:val="38E50702"/>
    <w:rsid w:val="38E80FD5"/>
    <w:rsid w:val="38E85B36"/>
    <w:rsid w:val="38ED7526"/>
    <w:rsid w:val="38F675A4"/>
    <w:rsid w:val="38FA2DBF"/>
    <w:rsid w:val="39127047"/>
    <w:rsid w:val="39133709"/>
    <w:rsid w:val="392446FA"/>
    <w:rsid w:val="392D7775"/>
    <w:rsid w:val="39342046"/>
    <w:rsid w:val="3934282B"/>
    <w:rsid w:val="393617C3"/>
    <w:rsid w:val="39371A92"/>
    <w:rsid w:val="393A0239"/>
    <w:rsid w:val="395E470C"/>
    <w:rsid w:val="395F71AA"/>
    <w:rsid w:val="397D2B2A"/>
    <w:rsid w:val="397E6365"/>
    <w:rsid w:val="398919E9"/>
    <w:rsid w:val="398C3287"/>
    <w:rsid w:val="39B5458C"/>
    <w:rsid w:val="39B94481"/>
    <w:rsid w:val="39BA4298"/>
    <w:rsid w:val="39BC2D47"/>
    <w:rsid w:val="39D25F48"/>
    <w:rsid w:val="39D32D95"/>
    <w:rsid w:val="39DF6AD2"/>
    <w:rsid w:val="39E8058A"/>
    <w:rsid w:val="39EE1F9C"/>
    <w:rsid w:val="3A045874"/>
    <w:rsid w:val="3A091780"/>
    <w:rsid w:val="3A0B42CB"/>
    <w:rsid w:val="3A0E397A"/>
    <w:rsid w:val="3A1649C5"/>
    <w:rsid w:val="3A1C0F8B"/>
    <w:rsid w:val="3A1E4827"/>
    <w:rsid w:val="3A220ABD"/>
    <w:rsid w:val="3A2400F3"/>
    <w:rsid w:val="3A255BB6"/>
    <w:rsid w:val="3A3943AF"/>
    <w:rsid w:val="3A3B0429"/>
    <w:rsid w:val="3A465D1D"/>
    <w:rsid w:val="3A4F0465"/>
    <w:rsid w:val="3A60099C"/>
    <w:rsid w:val="3A7070AC"/>
    <w:rsid w:val="3A7C154E"/>
    <w:rsid w:val="3A8136D2"/>
    <w:rsid w:val="3A872C02"/>
    <w:rsid w:val="3A8B1E3A"/>
    <w:rsid w:val="3A8C477C"/>
    <w:rsid w:val="3A902F97"/>
    <w:rsid w:val="3A907E7C"/>
    <w:rsid w:val="3A9B500D"/>
    <w:rsid w:val="3A9F47BA"/>
    <w:rsid w:val="3AA60379"/>
    <w:rsid w:val="3AA645B4"/>
    <w:rsid w:val="3AB354E3"/>
    <w:rsid w:val="3AB373FB"/>
    <w:rsid w:val="3ABC194A"/>
    <w:rsid w:val="3AD059EF"/>
    <w:rsid w:val="3AEC222F"/>
    <w:rsid w:val="3AF21133"/>
    <w:rsid w:val="3AF64E5C"/>
    <w:rsid w:val="3AFF372F"/>
    <w:rsid w:val="3B02599F"/>
    <w:rsid w:val="3B03738A"/>
    <w:rsid w:val="3B045CBD"/>
    <w:rsid w:val="3B0B2AF3"/>
    <w:rsid w:val="3B0B33C8"/>
    <w:rsid w:val="3B0B3DD7"/>
    <w:rsid w:val="3B16107E"/>
    <w:rsid w:val="3B184B07"/>
    <w:rsid w:val="3B1C7011"/>
    <w:rsid w:val="3B2401F1"/>
    <w:rsid w:val="3B290F36"/>
    <w:rsid w:val="3B3040E3"/>
    <w:rsid w:val="3B3F2CA7"/>
    <w:rsid w:val="3B4068C6"/>
    <w:rsid w:val="3B4B2CDD"/>
    <w:rsid w:val="3B4F52E4"/>
    <w:rsid w:val="3B55275E"/>
    <w:rsid w:val="3B5A363D"/>
    <w:rsid w:val="3B5C62CB"/>
    <w:rsid w:val="3B664BC9"/>
    <w:rsid w:val="3B6C3370"/>
    <w:rsid w:val="3B7C6EE1"/>
    <w:rsid w:val="3B7D3508"/>
    <w:rsid w:val="3B7E693D"/>
    <w:rsid w:val="3B813D4A"/>
    <w:rsid w:val="3B844B1D"/>
    <w:rsid w:val="3B8929A2"/>
    <w:rsid w:val="3B99523B"/>
    <w:rsid w:val="3B9C1479"/>
    <w:rsid w:val="3B9D48F4"/>
    <w:rsid w:val="3B9F277B"/>
    <w:rsid w:val="3BA07E53"/>
    <w:rsid w:val="3BA8326A"/>
    <w:rsid w:val="3BAB3E99"/>
    <w:rsid w:val="3BAF10D9"/>
    <w:rsid w:val="3BC12172"/>
    <w:rsid w:val="3BC13445"/>
    <w:rsid w:val="3BC74376"/>
    <w:rsid w:val="3BD353B2"/>
    <w:rsid w:val="3BD7290D"/>
    <w:rsid w:val="3BDC15DF"/>
    <w:rsid w:val="3BE22D7E"/>
    <w:rsid w:val="3BEB2B36"/>
    <w:rsid w:val="3BFA11FF"/>
    <w:rsid w:val="3BFD341B"/>
    <w:rsid w:val="3BFD7540"/>
    <w:rsid w:val="3C0308DB"/>
    <w:rsid w:val="3C056B9F"/>
    <w:rsid w:val="3C0E1DB7"/>
    <w:rsid w:val="3C0E484D"/>
    <w:rsid w:val="3C124AEA"/>
    <w:rsid w:val="3C1B2328"/>
    <w:rsid w:val="3C215DFA"/>
    <w:rsid w:val="3C234276"/>
    <w:rsid w:val="3C243965"/>
    <w:rsid w:val="3C27557C"/>
    <w:rsid w:val="3C283E87"/>
    <w:rsid w:val="3C490D99"/>
    <w:rsid w:val="3C523FB2"/>
    <w:rsid w:val="3C5376C9"/>
    <w:rsid w:val="3C64492E"/>
    <w:rsid w:val="3C6D2F04"/>
    <w:rsid w:val="3C7C13C4"/>
    <w:rsid w:val="3C7F5833"/>
    <w:rsid w:val="3C814BF9"/>
    <w:rsid w:val="3C8457D2"/>
    <w:rsid w:val="3C847DBD"/>
    <w:rsid w:val="3C870390"/>
    <w:rsid w:val="3C8C3E15"/>
    <w:rsid w:val="3C9419DE"/>
    <w:rsid w:val="3C954BE9"/>
    <w:rsid w:val="3C9C7A01"/>
    <w:rsid w:val="3C9F2F4D"/>
    <w:rsid w:val="3CA6079A"/>
    <w:rsid w:val="3CA72D55"/>
    <w:rsid w:val="3CB07122"/>
    <w:rsid w:val="3CB47BAD"/>
    <w:rsid w:val="3CB5396C"/>
    <w:rsid w:val="3CBA3ACD"/>
    <w:rsid w:val="3CC50F8A"/>
    <w:rsid w:val="3CC77582"/>
    <w:rsid w:val="3CCB65AB"/>
    <w:rsid w:val="3CCD3C8C"/>
    <w:rsid w:val="3CD67995"/>
    <w:rsid w:val="3CD9047B"/>
    <w:rsid w:val="3CEB6517"/>
    <w:rsid w:val="3CEE5A34"/>
    <w:rsid w:val="3CEE5F6C"/>
    <w:rsid w:val="3CF733C8"/>
    <w:rsid w:val="3CFC473A"/>
    <w:rsid w:val="3D001ABA"/>
    <w:rsid w:val="3D024016"/>
    <w:rsid w:val="3D0626B8"/>
    <w:rsid w:val="3D0C5ACC"/>
    <w:rsid w:val="3D0E0B83"/>
    <w:rsid w:val="3D165405"/>
    <w:rsid w:val="3D166E81"/>
    <w:rsid w:val="3D180880"/>
    <w:rsid w:val="3D1C2F81"/>
    <w:rsid w:val="3D2170E7"/>
    <w:rsid w:val="3D25234D"/>
    <w:rsid w:val="3D265894"/>
    <w:rsid w:val="3D343D52"/>
    <w:rsid w:val="3D3D6BFE"/>
    <w:rsid w:val="3D46014C"/>
    <w:rsid w:val="3D482BBB"/>
    <w:rsid w:val="3D4B5DA0"/>
    <w:rsid w:val="3D512D69"/>
    <w:rsid w:val="3D5E3EE5"/>
    <w:rsid w:val="3D641F1A"/>
    <w:rsid w:val="3D6B018A"/>
    <w:rsid w:val="3D7F66D0"/>
    <w:rsid w:val="3D8749A0"/>
    <w:rsid w:val="3D8E1B31"/>
    <w:rsid w:val="3D8E4743"/>
    <w:rsid w:val="3D900095"/>
    <w:rsid w:val="3D946CCF"/>
    <w:rsid w:val="3D987E0E"/>
    <w:rsid w:val="3D997C1C"/>
    <w:rsid w:val="3DB55140"/>
    <w:rsid w:val="3DBE5131"/>
    <w:rsid w:val="3DC0393D"/>
    <w:rsid w:val="3DC9323D"/>
    <w:rsid w:val="3DCE6DA7"/>
    <w:rsid w:val="3DCF10E2"/>
    <w:rsid w:val="3DD00EBF"/>
    <w:rsid w:val="3DD03BAF"/>
    <w:rsid w:val="3DE835D3"/>
    <w:rsid w:val="3DEE4511"/>
    <w:rsid w:val="3E01114F"/>
    <w:rsid w:val="3E050C22"/>
    <w:rsid w:val="3E0930F8"/>
    <w:rsid w:val="3E0A6E55"/>
    <w:rsid w:val="3E0E070F"/>
    <w:rsid w:val="3E197469"/>
    <w:rsid w:val="3E1F5FCB"/>
    <w:rsid w:val="3E251467"/>
    <w:rsid w:val="3E265382"/>
    <w:rsid w:val="3E274A08"/>
    <w:rsid w:val="3E282385"/>
    <w:rsid w:val="3E3E4390"/>
    <w:rsid w:val="3E40566A"/>
    <w:rsid w:val="3E4D56DB"/>
    <w:rsid w:val="3E4E52E5"/>
    <w:rsid w:val="3E4F175C"/>
    <w:rsid w:val="3E57755B"/>
    <w:rsid w:val="3E585358"/>
    <w:rsid w:val="3E5B35A0"/>
    <w:rsid w:val="3E5F0510"/>
    <w:rsid w:val="3E6A4284"/>
    <w:rsid w:val="3E6B584C"/>
    <w:rsid w:val="3E6C1442"/>
    <w:rsid w:val="3E6D7B2B"/>
    <w:rsid w:val="3E725184"/>
    <w:rsid w:val="3E7A0370"/>
    <w:rsid w:val="3E7B70C5"/>
    <w:rsid w:val="3E831595"/>
    <w:rsid w:val="3E8C39A1"/>
    <w:rsid w:val="3E8C569F"/>
    <w:rsid w:val="3E916B18"/>
    <w:rsid w:val="3E933A77"/>
    <w:rsid w:val="3E961C87"/>
    <w:rsid w:val="3EA47E20"/>
    <w:rsid w:val="3EA635D2"/>
    <w:rsid w:val="3EAB228D"/>
    <w:rsid w:val="3EB234C9"/>
    <w:rsid w:val="3EB53033"/>
    <w:rsid w:val="3EB707C0"/>
    <w:rsid w:val="3EB75724"/>
    <w:rsid w:val="3EB8694E"/>
    <w:rsid w:val="3EBB1FF5"/>
    <w:rsid w:val="3EBC0F7A"/>
    <w:rsid w:val="3ECA7956"/>
    <w:rsid w:val="3ECC72B0"/>
    <w:rsid w:val="3ED352F7"/>
    <w:rsid w:val="3ED476AA"/>
    <w:rsid w:val="3EE0695E"/>
    <w:rsid w:val="3EE80F60"/>
    <w:rsid w:val="3EEA5803"/>
    <w:rsid w:val="3EEB052E"/>
    <w:rsid w:val="3EF544AC"/>
    <w:rsid w:val="3F0257BC"/>
    <w:rsid w:val="3F050523"/>
    <w:rsid w:val="3F117312"/>
    <w:rsid w:val="3F1263FF"/>
    <w:rsid w:val="3F133381"/>
    <w:rsid w:val="3F225D88"/>
    <w:rsid w:val="3F2260C5"/>
    <w:rsid w:val="3F2A03FB"/>
    <w:rsid w:val="3F2E25E5"/>
    <w:rsid w:val="3F4E3C9B"/>
    <w:rsid w:val="3F55611C"/>
    <w:rsid w:val="3F6843A2"/>
    <w:rsid w:val="3F6F2C7D"/>
    <w:rsid w:val="3F7156E9"/>
    <w:rsid w:val="3F7D3450"/>
    <w:rsid w:val="3F870AE8"/>
    <w:rsid w:val="3F964E60"/>
    <w:rsid w:val="3F9B06C8"/>
    <w:rsid w:val="3F9B4224"/>
    <w:rsid w:val="3F9F31CE"/>
    <w:rsid w:val="3FA0183A"/>
    <w:rsid w:val="3FA20F60"/>
    <w:rsid w:val="3FAC6390"/>
    <w:rsid w:val="3FAF6032"/>
    <w:rsid w:val="3FB06B7E"/>
    <w:rsid w:val="3FB138BC"/>
    <w:rsid w:val="3FB423A0"/>
    <w:rsid w:val="3FB44539"/>
    <w:rsid w:val="3FB67C98"/>
    <w:rsid w:val="3FCA6D41"/>
    <w:rsid w:val="3FD5416F"/>
    <w:rsid w:val="3FD90BAC"/>
    <w:rsid w:val="3FE23678"/>
    <w:rsid w:val="3FF4638E"/>
    <w:rsid w:val="3FF6553F"/>
    <w:rsid w:val="3FF878C8"/>
    <w:rsid w:val="3FFE0639"/>
    <w:rsid w:val="40015383"/>
    <w:rsid w:val="40091375"/>
    <w:rsid w:val="400A78DA"/>
    <w:rsid w:val="400D18DE"/>
    <w:rsid w:val="400E0E9A"/>
    <w:rsid w:val="401873FE"/>
    <w:rsid w:val="40261412"/>
    <w:rsid w:val="402A23C2"/>
    <w:rsid w:val="403B1D23"/>
    <w:rsid w:val="4044394B"/>
    <w:rsid w:val="40460634"/>
    <w:rsid w:val="404777F9"/>
    <w:rsid w:val="405371C1"/>
    <w:rsid w:val="405678E1"/>
    <w:rsid w:val="405A78E9"/>
    <w:rsid w:val="405F16F6"/>
    <w:rsid w:val="4063125A"/>
    <w:rsid w:val="406D520F"/>
    <w:rsid w:val="4072149D"/>
    <w:rsid w:val="407A0144"/>
    <w:rsid w:val="407A30E6"/>
    <w:rsid w:val="407D3B10"/>
    <w:rsid w:val="40A405C8"/>
    <w:rsid w:val="40A70A94"/>
    <w:rsid w:val="40AB63D3"/>
    <w:rsid w:val="40B02B28"/>
    <w:rsid w:val="40B170E1"/>
    <w:rsid w:val="40B42F8A"/>
    <w:rsid w:val="40B6018D"/>
    <w:rsid w:val="40B60706"/>
    <w:rsid w:val="40BA0395"/>
    <w:rsid w:val="40C523C8"/>
    <w:rsid w:val="40C65F85"/>
    <w:rsid w:val="40C96B6F"/>
    <w:rsid w:val="40DA4CF0"/>
    <w:rsid w:val="40DA571E"/>
    <w:rsid w:val="40DC40BD"/>
    <w:rsid w:val="40F23123"/>
    <w:rsid w:val="40F97454"/>
    <w:rsid w:val="40FD2802"/>
    <w:rsid w:val="410360BB"/>
    <w:rsid w:val="41054E06"/>
    <w:rsid w:val="410D5298"/>
    <w:rsid w:val="411067BF"/>
    <w:rsid w:val="411550F6"/>
    <w:rsid w:val="412173FB"/>
    <w:rsid w:val="41263DD2"/>
    <w:rsid w:val="412A1D04"/>
    <w:rsid w:val="412F0DC7"/>
    <w:rsid w:val="41315035"/>
    <w:rsid w:val="41363E99"/>
    <w:rsid w:val="413A2C7F"/>
    <w:rsid w:val="413B360C"/>
    <w:rsid w:val="413E57AF"/>
    <w:rsid w:val="4154520F"/>
    <w:rsid w:val="415553F1"/>
    <w:rsid w:val="41642A58"/>
    <w:rsid w:val="41690C61"/>
    <w:rsid w:val="416932B2"/>
    <w:rsid w:val="416C4490"/>
    <w:rsid w:val="416D1BBF"/>
    <w:rsid w:val="416D62C4"/>
    <w:rsid w:val="417A6364"/>
    <w:rsid w:val="418375AD"/>
    <w:rsid w:val="41860639"/>
    <w:rsid w:val="418A0C88"/>
    <w:rsid w:val="418C651A"/>
    <w:rsid w:val="418D0D1F"/>
    <w:rsid w:val="418F28B2"/>
    <w:rsid w:val="41955C59"/>
    <w:rsid w:val="419569C9"/>
    <w:rsid w:val="419E2255"/>
    <w:rsid w:val="41AE1336"/>
    <w:rsid w:val="41BD7A91"/>
    <w:rsid w:val="41CF13D1"/>
    <w:rsid w:val="41D232A2"/>
    <w:rsid w:val="41D9578F"/>
    <w:rsid w:val="41DA2E6F"/>
    <w:rsid w:val="41DA47D3"/>
    <w:rsid w:val="41E37D9E"/>
    <w:rsid w:val="41E43D7A"/>
    <w:rsid w:val="41F13778"/>
    <w:rsid w:val="41F63994"/>
    <w:rsid w:val="41F94A8D"/>
    <w:rsid w:val="41FA6E3E"/>
    <w:rsid w:val="42032F56"/>
    <w:rsid w:val="420758CE"/>
    <w:rsid w:val="420A5E51"/>
    <w:rsid w:val="42134880"/>
    <w:rsid w:val="42154ACF"/>
    <w:rsid w:val="42192C29"/>
    <w:rsid w:val="422329D2"/>
    <w:rsid w:val="42276FC3"/>
    <w:rsid w:val="422B0924"/>
    <w:rsid w:val="423475EC"/>
    <w:rsid w:val="42376F9A"/>
    <w:rsid w:val="42381210"/>
    <w:rsid w:val="42396F9B"/>
    <w:rsid w:val="423B4AD6"/>
    <w:rsid w:val="423F7932"/>
    <w:rsid w:val="42444105"/>
    <w:rsid w:val="424457FC"/>
    <w:rsid w:val="424D0401"/>
    <w:rsid w:val="424D34EC"/>
    <w:rsid w:val="42540E1C"/>
    <w:rsid w:val="425A36DE"/>
    <w:rsid w:val="42614756"/>
    <w:rsid w:val="426742C9"/>
    <w:rsid w:val="428749DE"/>
    <w:rsid w:val="42875B65"/>
    <w:rsid w:val="428F6F89"/>
    <w:rsid w:val="42955BAA"/>
    <w:rsid w:val="42B259EC"/>
    <w:rsid w:val="42C777A6"/>
    <w:rsid w:val="42CC3060"/>
    <w:rsid w:val="42D36A34"/>
    <w:rsid w:val="42E103D6"/>
    <w:rsid w:val="42E136C9"/>
    <w:rsid w:val="42E3471F"/>
    <w:rsid w:val="42EA3B87"/>
    <w:rsid w:val="42EE3A2A"/>
    <w:rsid w:val="42FE6A07"/>
    <w:rsid w:val="43047FE4"/>
    <w:rsid w:val="43052CC7"/>
    <w:rsid w:val="430D7F1E"/>
    <w:rsid w:val="431D44D1"/>
    <w:rsid w:val="432D09BF"/>
    <w:rsid w:val="432F2F77"/>
    <w:rsid w:val="43302539"/>
    <w:rsid w:val="43351D6D"/>
    <w:rsid w:val="4335673E"/>
    <w:rsid w:val="433B76C0"/>
    <w:rsid w:val="433E5D16"/>
    <w:rsid w:val="43482941"/>
    <w:rsid w:val="435435BA"/>
    <w:rsid w:val="43562F18"/>
    <w:rsid w:val="435A0009"/>
    <w:rsid w:val="43680B88"/>
    <w:rsid w:val="436D1B82"/>
    <w:rsid w:val="43700B8A"/>
    <w:rsid w:val="43745BAD"/>
    <w:rsid w:val="437A2931"/>
    <w:rsid w:val="43855B1E"/>
    <w:rsid w:val="438D45F8"/>
    <w:rsid w:val="439714B0"/>
    <w:rsid w:val="43A523EB"/>
    <w:rsid w:val="43AA4F25"/>
    <w:rsid w:val="43B03940"/>
    <w:rsid w:val="43B14E78"/>
    <w:rsid w:val="43C07B2D"/>
    <w:rsid w:val="43C30F4E"/>
    <w:rsid w:val="43D31560"/>
    <w:rsid w:val="43E81BAE"/>
    <w:rsid w:val="43F1651D"/>
    <w:rsid w:val="43F52DCD"/>
    <w:rsid w:val="43F67ECD"/>
    <w:rsid w:val="43FE370B"/>
    <w:rsid w:val="4401784F"/>
    <w:rsid w:val="440307C1"/>
    <w:rsid w:val="44034CCB"/>
    <w:rsid w:val="4407106E"/>
    <w:rsid w:val="440A4674"/>
    <w:rsid w:val="441B028F"/>
    <w:rsid w:val="441C4C12"/>
    <w:rsid w:val="44232CB6"/>
    <w:rsid w:val="44320DF3"/>
    <w:rsid w:val="443317E0"/>
    <w:rsid w:val="443352B2"/>
    <w:rsid w:val="4435017D"/>
    <w:rsid w:val="4435111D"/>
    <w:rsid w:val="443611C6"/>
    <w:rsid w:val="44396211"/>
    <w:rsid w:val="443E522D"/>
    <w:rsid w:val="44533533"/>
    <w:rsid w:val="44570DA9"/>
    <w:rsid w:val="445F7A2D"/>
    <w:rsid w:val="446C0EE4"/>
    <w:rsid w:val="446C4F9E"/>
    <w:rsid w:val="44727C49"/>
    <w:rsid w:val="447479BB"/>
    <w:rsid w:val="447C2B22"/>
    <w:rsid w:val="44802266"/>
    <w:rsid w:val="44845CD5"/>
    <w:rsid w:val="44876F8E"/>
    <w:rsid w:val="448B6527"/>
    <w:rsid w:val="448E01F2"/>
    <w:rsid w:val="448E7C71"/>
    <w:rsid w:val="44937BC0"/>
    <w:rsid w:val="44954BD0"/>
    <w:rsid w:val="44A1408B"/>
    <w:rsid w:val="44A306C7"/>
    <w:rsid w:val="44A973E3"/>
    <w:rsid w:val="44B81EED"/>
    <w:rsid w:val="44B84003"/>
    <w:rsid w:val="44B94076"/>
    <w:rsid w:val="44B97803"/>
    <w:rsid w:val="44BC6AA8"/>
    <w:rsid w:val="44C10F4D"/>
    <w:rsid w:val="44C32145"/>
    <w:rsid w:val="44C7685F"/>
    <w:rsid w:val="44C93794"/>
    <w:rsid w:val="44C938C1"/>
    <w:rsid w:val="44C93F31"/>
    <w:rsid w:val="44C963EA"/>
    <w:rsid w:val="44CB798F"/>
    <w:rsid w:val="44D63D66"/>
    <w:rsid w:val="44DE777A"/>
    <w:rsid w:val="44E21EF5"/>
    <w:rsid w:val="44EB3E24"/>
    <w:rsid w:val="44F66595"/>
    <w:rsid w:val="45065D3B"/>
    <w:rsid w:val="450975B3"/>
    <w:rsid w:val="451418AF"/>
    <w:rsid w:val="4517434D"/>
    <w:rsid w:val="451D0A26"/>
    <w:rsid w:val="451D3EDB"/>
    <w:rsid w:val="45240BBC"/>
    <w:rsid w:val="452F0FB5"/>
    <w:rsid w:val="45327943"/>
    <w:rsid w:val="45355EDE"/>
    <w:rsid w:val="45493F3B"/>
    <w:rsid w:val="454A697A"/>
    <w:rsid w:val="455564DF"/>
    <w:rsid w:val="4562672B"/>
    <w:rsid w:val="45673393"/>
    <w:rsid w:val="456A0921"/>
    <w:rsid w:val="456C120A"/>
    <w:rsid w:val="456E7828"/>
    <w:rsid w:val="456F3CCC"/>
    <w:rsid w:val="457261E8"/>
    <w:rsid w:val="45790B64"/>
    <w:rsid w:val="457A1997"/>
    <w:rsid w:val="45864833"/>
    <w:rsid w:val="458A579E"/>
    <w:rsid w:val="458E4192"/>
    <w:rsid w:val="459133D2"/>
    <w:rsid w:val="45921C25"/>
    <w:rsid w:val="459323F7"/>
    <w:rsid w:val="459A5A49"/>
    <w:rsid w:val="459E0A30"/>
    <w:rsid w:val="459F173F"/>
    <w:rsid w:val="45B9436B"/>
    <w:rsid w:val="45BB2EC2"/>
    <w:rsid w:val="45BC2B6F"/>
    <w:rsid w:val="45BD4632"/>
    <w:rsid w:val="45C22BDF"/>
    <w:rsid w:val="45CF2E79"/>
    <w:rsid w:val="45D567E3"/>
    <w:rsid w:val="45DC1F37"/>
    <w:rsid w:val="45DC2496"/>
    <w:rsid w:val="45DE130F"/>
    <w:rsid w:val="45ED62EC"/>
    <w:rsid w:val="45F139C4"/>
    <w:rsid w:val="45F45071"/>
    <w:rsid w:val="45F87215"/>
    <w:rsid w:val="45FA0E93"/>
    <w:rsid w:val="45FC3543"/>
    <w:rsid w:val="45FD06B5"/>
    <w:rsid w:val="46003734"/>
    <w:rsid w:val="46033543"/>
    <w:rsid w:val="460C2546"/>
    <w:rsid w:val="460C4892"/>
    <w:rsid w:val="46130523"/>
    <w:rsid w:val="461471D6"/>
    <w:rsid w:val="4622605B"/>
    <w:rsid w:val="4629145A"/>
    <w:rsid w:val="462B261D"/>
    <w:rsid w:val="4630569A"/>
    <w:rsid w:val="463165C8"/>
    <w:rsid w:val="46324E07"/>
    <w:rsid w:val="4637410F"/>
    <w:rsid w:val="46400897"/>
    <w:rsid w:val="46405FDA"/>
    <w:rsid w:val="464253F9"/>
    <w:rsid w:val="464E1576"/>
    <w:rsid w:val="46542E67"/>
    <w:rsid w:val="4657655A"/>
    <w:rsid w:val="465A3241"/>
    <w:rsid w:val="465B30DE"/>
    <w:rsid w:val="465D5283"/>
    <w:rsid w:val="46663681"/>
    <w:rsid w:val="4667219A"/>
    <w:rsid w:val="46714E48"/>
    <w:rsid w:val="46741340"/>
    <w:rsid w:val="46777CEA"/>
    <w:rsid w:val="46890910"/>
    <w:rsid w:val="468F4696"/>
    <w:rsid w:val="46900164"/>
    <w:rsid w:val="4695009A"/>
    <w:rsid w:val="46965CD9"/>
    <w:rsid w:val="469F290E"/>
    <w:rsid w:val="46A3058B"/>
    <w:rsid w:val="46A75BA4"/>
    <w:rsid w:val="46AB432D"/>
    <w:rsid w:val="46AC561D"/>
    <w:rsid w:val="46AF7030"/>
    <w:rsid w:val="46B4596A"/>
    <w:rsid w:val="46BE631B"/>
    <w:rsid w:val="46CB6293"/>
    <w:rsid w:val="46D149CF"/>
    <w:rsid w:val="46DF5BF0"/>
    <w:rsid w:val="46E640BB"/>
    <w:rsid w:val="46E73E5C"/>
    <w:rsid w:val="46EB0116"/>
    <w:rsid w:val="46EE37D3"/>
    <w:rsid w:val="46FA5AAD"/>
    <w:rsid w:val="470F6997"/>
    <w:rsid w:val="47110BDC"/>
    <w:rsid w:val="47133B21"/>
    <w:rsid w:val="47170634"/>
    <w:rsid w:val="471B342C"/>
    <w:rsid w:val="471B499E"/>
    <w:rsid w:val="471B5752"/>
    <w:rsid w:val="471F5409"/>
    <w:rsid w:val="471F5884"/>
    <w:rsid w:val="47281864"/>
    <w:rsid w:val="472B0583"/>
    <w:rsid w:val="473E02B7"/>
    <w:rsid w:val="47424E1F"/>
    <w:rsid w:val="47431429"/>
    <w:rsid w:val="474F3C38"/>
    <w:rsid w:val="474F6289"/>
    <w:rsid w:val="47525E1E"/>
    <w:rsid w:val="47585894"/>
    <w:rsid w:val="475A78F7"/>
    <w:rsid w:val="4767452B"/>
    <w:rsid w:val="477A52E9"/>
    <w:rsid w:val="477C2294"/>
    <w:rsid w:val="477F0A9D"/>
    <w:rsid w:val="47813778"/>
    <w:rsid w:val="47835CCA"/>
    <w:rsid w:val="478E5508"/>
    <w:rsid w:val="47947008"/>
    <w:rsid w:val="47A12FFE"/>
    <w:rsid w:val="47A6315B"/>
    <w:rsid w:val="47AA14A8"/>
    <w:rsid w:val="47AC1AF2"/>
    <w:rsid w:val="47AE0F09"/>
    <w:rsid w:val="47B42E21"/>
    <w:rsid w:val="47B4595A"/>
    <w:rsid w:val="47B73D48"/>
    <w:rsid w:val="47BE6CFC"/>
    <w:rsid w:val="47C06F1E"/>
    <w:rsid w:val="47C86D34"/>
    <w:rsid w:val="47F210A1"/>
    <w:rsid w:val="47F236C3"/>
    <w:rsid w:val="47F7756B"/>
    <w:rsid w:val="47FE17F4"/>
    <w:rsid w:val="48026386"/>
    <w:rsid w:val="480D596B"/>
    <w:rsid w:val="4814784F"/>
    <w:rsid w:val="48212E28"/>
    <w:rsid w:val="48215E3C"/>
    <w:rsid w:val="4822371E"/>
    <w:rsid w:val="48224DF5"/>
    <w:rsid w:val="48245567"/>
    <w:rsid w:val="4827714E"/>
    <w:rsid w:val="482F2A41"/>
    <w:rsid w:val="482F3A85"/>
    <w:rsid w:val="48384FA3"/>
    <w:rsid w:val="483D3493"/>
    <w:rsid w:val="48424CCD"/>
    <w:rsid w:val="485436D2"/>
    <w:rsid w:val="485864FA"/>
    <w:rsid w:val="485C1949"/>
    <w:rsid w:val="486929ED"/>
    <w:rsid w:val="486B273B"/>
    <w:rsid w:val="487028BB"/>
    <w:rsid w:val="48746A04"/>
    <w:rsid w:val="487F5688"/>
    <w:rsid w:val="4887774F"/>
    <w:rsid w:val="488A6C56"/>
    <w:rsid w:val="488F236B"/>
    <w:rsid w:val="48A526E8"/>
    <w:rsid w:val="48A62FCC"/>
    <w:rsid w:val="48A6457F"/>
    <w:rsid w:val="48B21E06"/>
    <w:rsid w:val="48B63E7D"/>
    <w:rsid w:val="48B819A3"/>
    <w:rsid w:val="48BE2899"/>
    <w:rsid w:val="48D208B0"/>
    <w:rsid w:val="48D31AAB"/>
    <w:rsid w:val="48D87ACE"/>
    <w:rsid w:val="48DC3A3E"/>
    <w:rsid w:val="48E26262"/>
    <w:rsid w:val="48E27F3D"/>
    <w:rsid w:val="48E325D1"/>
    <w:rsid w:val="48E652CA"/>
    <w:rsid w:val="48EB6EBA"/>
    <w:rsid w:val="48ED77D8"/>
    <w:rsid w:val="48EF2527"/>
    <w:rsid w:val="48F002B2"/>
    <w:rsid w:val="48F13B7A"/>
    <w:rsid w:val="48F210CD"/>
    <w:rsid w:val="48F56697"/>
    <w:rsid w:val="48F87475"/>
    <w:rsid w:val="48FA4B17"/>
    <w:rsid w:val="48FD3EF8"/>
    <w:rsid w:val="4902151E"/>
    <w:rsid w:val="49031B53"/>
    <w:rsid w:val="490633F6"/>
    <w:rsid w:val="491312CF"/>
    <w:rsid w:val="49160A8D"/>
    <w:rsid w:val="49184B37"/>
    <w:rsid w:val="49197EB9"/>
    <w:rsid w:val="492157EE"/>
    <w:rsid w:val="49232000"/>
    <w:rsid w:val="4929011F"/>
    <w:rsid w:val="492D6227"/>
    <w:rsid w:val="49304D67"/>
    <w:rsid w:val="493704AF"/>
    <w:rsid w:val="493B4A97"/>
    <w:rsid w:val="494164A4"/>
    <w:rsid w:val="494E2FE3"/>
    <w:rsid w:val="495A646D"/>
    <w:rsid w:val="495B1AC9"/>
    <w:rsid w:val="496B4C67"/>
    <w:rsid w:val="496D4C9E"/>
    <w:rsid w:val="49760ADF"/>
    <w:rsid w:val="49781234"/>
    <w:rsid w:val="497E6AE8"/>
    <w:rsid w:val="49911548"/>
    <w:rsid w:val="499B2272"/>
    <w:rsid w:val="499E328F"/>
    <w:rsid w:val="49A641EC"/>
    <w:rsid w:val="49B717CF"/>
    <w:rsid w:val="49B811A4"/>
    <w:rsid w:val="49BE1F93"/>
    <w:rsid w:val="49BE5E2E"/>
    <w:rsid w:val="49C327DF"/>
    <w:rsid w:val="49CE2CCA"/>
    <w:rsid w:val="49CE4453"/>
    <w:rsid w:val="49D41A6A"/>
    <w:rsid w:val="49D549CD"/>
    <w:rsid w:val="49DF6F4F"/>
    <w:rsid w:val="49EA299D"/>
    <w:rsid w:val="4A0D43E0"/>
    <w:rsid w:val="4A113A61"/>
    <w:rsid w:val="4A1A62FD"/>
    <w:rsid w:val="4A30400E"/>
    <w:rsid w:val="4A326679"/>
    <w:rsid w:val="4A331068"/>
    <w:rsid w:val="4A3A1B1F"/>
    <w:rsid w:val="4A3E05AF"/>
    <w:rsid w:val="4A3F3BDD"/>
    <w:rsid w:val="4A424AFD"/>
    <w:rsid w:val="4A4925D8"/>
    <w:rsid w:val="4A4B484D"/>
    <w:rsid w:val="4A500F8B"/>
    <w:rsid w:val="4A5E5F62"/>
    <w:rsid w:val="4A5E657A"/>
    <w:rsid w:val="4A6A4E48"/>
    <w:rsid w:val="4A6C28BF"/>
    <w:rsid w:val="4A770517"/>
    <w:rsid w:val="4A7A7858"/>
    <w:rsid w:val="4A7C0B06"/>
    <w:rsid w:val="4A7D6928"/>
    <w:rsid w:val="4A8541A3"/>
    <w:rsid w:val="4A8E0288"/>
    <w:rsid w:val="4A9140FF"/>
    <w:rsid w:val="4A914BA1"/>
    <w:rsid w:val="4A926FF8"/>
    <w:rsid w:val="4A935BFE"/>
    <w:rsid w:val="4A9401EE"/>
    <w:rsid w:val="4A96234D"/>
    <w:rsid w:val="4A9D7AB7"/>
    <w:rsid w:val="4AA25A23"/>
    <w:rsid w:val="4AAA0F3B"/>
    <w:rsid w:val="4AAA4393"/>
    <w:rsid w:val="4AAD1BAF"/>
    <w:rsid w:val="4ABE02B5"/>
    <w:rsid w:val="4AC22FAD"/>
    <w:rsid w:val="4ACC5BD9"/>
    <w:rsid w:val="4ACE3700"/>
    <w:rsid w:val="4ADD32B8"/>
    <w:rsid w:val="4ADF3AFC"/>
    <w:rsid w:val="4AE131EC"/>
    <w:rsid w:val="4AEC627C"/>
    <w:rsid w:val="4AEF0D2E"/>
    <w:rsid w:val="4AF27750"/>
    <w:rsid w:val="4AF74412"/>
    <w:rsid w:val="4AF84C20"/>
    <w:rsid w:val="4AFA4E2E"/>
    <w:rsid w:val="4B0735C9"/>
    <w:rsid w:val="4B0946B5"/>
    <w:rsid w:val="4B0D0E2F"/>
    <w:rsid w:val="4B1837C5"/>
    <w:rsid w:val="4B1F1B6B"/>
    <w:rsid w:val="4B277046"/>
    <w:rsid w:val="4B286F0A"/>
    <w:rsid w:val="4B2A4D82"/>
    <w:rsid w:val="4B34050C"/>
    <w:rsid w:val="4B3A69D6"/>
    <w:rsid w:val="4B4B1D26"/>
    <w:rsid w:val="4B4D7AB5"/>
    <w:rsid w:val="4B5C51AF"/>
    <w:rsid w:val="4B657CDF"/>
    <w:rsid w:val="4B66152C"/>
    <w:rsid w:val="4B694C92"/>
    <w:rsid w:val="4B6D2F19"/>
    <w:rsid w:val="4B717BFA"/>
    <w:rsid w:val="4B7C349B"/>
    <w:rsid w:val="4B8120C8"/>
    <w:rsid w:val="4B8662A5"/>
    <w:rsid w:val="4B866600"/>
    <w:rsid w:val="4B8B12E8"/>
    <w:rsid w:val="4BA06C91"/>
    <w:rsid w:val="4BAA080B"/>
    <w:rsid w:val="4BAD1566"/>
    <w:rsid w:val="4BB52B12"/>
    <w:rsid w:val="4BCC194F"/>
    <w:rsid w:val="4BCD2C2F"/>
    <w:rsid w:val="4BCD784B"/>
    <w:rsid w:val="4BCE2655"/>
    <w:rsid w:val="4BCE5B16"/>
    <w:rsid w:val="4BD31572"/>
    <w:rsid w:val="4BDD4D92"/>
    <w:rsid w:val="4BDF2895"/>
    <w:rsid w:val="4BF2704E"/>
    <w:rsid w:val="4BF824C2"/>
    <w:rsid w:val="4BF862CA"/>
    <w:rsid w:val="4BFB4E08"/>
    <w:rsid w:val="4BFD0902"/>
    <w:rsid w:val="4BFD4239"/>
    <w:rsid w:val="4BFE4CBF"/>
    <w:rsid w:val="4C0274C6"/>
    <w:rsid w:val="4C170A9B"/>
    <w:rsid w:val="4C2D5F91"/>
    <w:rsid w:val="4C3050F3"/>
    <w:rsid w:val="4C3B60BD"/>
    <w:rsid w:val="4C42653F"/>
    <w:rsid w:val="4C4C450E"/>
    <w:rsid w:val="4C5451E5"/>
    <w:rsid w:val="4C577725"/>
    <w:rsid w:val="4C5F6BC8"/>
    <w:rsid w:val="4C633C7B"/>
    <w:rsid w:val="4C635974"/>
    <w:rsid w:val="4C655887"/>
    <w:rsid w:val="4C754D7D"/>
    <w:rsid w:val="4C764131"/>
    <w:rsid w:val="4C7B78B7"/>
    <w:rsid w:val="4C8C3D44"/>
    <w:rsid w:val="4C901387"/>
    <w:rsid w:val="4C90449D"/>
    <w:rsid w:val="4C924E2D"/>
    <w:rsid w:val="4C98771E"/>
    <w:rsid w:val="4CA51BBB"/>
    <w:rsid w:val="4CA66F2F"/>
    <w:rsid w:val="4CB60CA5"/>
    <w:rsid w:val="4CB63E2E"/>
    <w:rsid w:val="4CB64358"/>
    <w:rsid w:val="4CB67C75"/>
    <w:rsid w:val="4CB7175E"/>
    <w:rsid w:val="4CB91596"/>
    <w:rsid w:val="4CBA4089"/>
    <w:rsid w:val="4CC20C00"/>
    <w:rsid w:val="4CC30D80"/>
    <w:rsid w:val="4CC765ED"/>
    <w:rsid w:val="4CCA64E3"/>
    <w:rsid w:val="4CCE5D62"/>
    <w:rsid w:val="4CD14535"/>
    <w:rsid w:val="4CD634F5"/>
    <w:rsid w:val="4CD77A68"/>
    <w:rsid w:val="4CE11498"/>
    <w:rsid w:val="4CE34E27"/>
    <w:rsid w:val="4CE5535B"/>
    <w:rsid w:val="4CE7734F"/>
    <w:rsid w:val="4CF37F9C"/>
    <w:rsid w:val="4CF47128"/>
    <w:rsid w:val="4D0672A5"/>
    <w:rsid w:val="4D0B07AC"/>
    <w:rsid w:val="4D115CC6"/>
    <w:rsid w:val="4D194C80"/>
    <w:rsid w:val="4D1D1FB2"/>
    <w:rsid w:val="4D217498"/>
    <w:rsid w:val="4D2E2B7B"/>
    <w:rsid w:val="4D321F0A"/>
    <w:rsid w:val="4D427643"/>
    <w:rsid w:val="4D4F12CC"/>
    <w:rsid w:val="4D524857"/>
    <w:rsid w:val="4D564D2D"/>
    <w:rsid w:val="4D577393"/>
    <w:rsid w:val="4D5B216D"/>
    <w:rsid w:val="4D5C382C"/>
    <w:rsid w:val="4D6A66EB"/>
    <w:rsid w:val="4D6D1E1E"/>
    <w:rsid w:val="4D7A191D"/>
    <w:rsid w:val="4D7C1024"/>
    <w:rsid w:val="4D905FCA"/>
    <w:rsid w:val="4D9971F5"/>
    <w:rsid w:val="4DA5774D"/>
    <w:rsid w:val="4DBD2662"/>
    <w:rsid w:val="4DCA55AC"/>
    <w:rsid w:val="4DD26FB7"/>
    <w:rsid w:val="4DDE105E"/>
    <w:rsid w:val="4DE0696C"/>
    <w:rsid w:val="4DE35C9E"/>
    <w:rsid w:val="4DE85B74"/>
    <w:rsid w:val="4DED517E"/>
    <w:rsid w:val="4DF46002"/>
    <w:rsid w:val="4DF65EB1"/>
    <w:rsid w:val="4DFC1886"/>
    <w:rsid w:val="4DFC626C"/>
    <w:rsid w:val="4DFC67D6"/>
    <w:rsid w:val="4E000ABA"/>
    <w:rsid w:val="4E006849"/>
    <w:rsid w:val="4E04409F"/>
    <w:rsid w:val="4E064F18"/>
    <w:rsid w:val="4E0D0856"/>
    <w:rsid w:val="4E0D3F4C"/>
    <w:rsid w:val="4E1210B6"/>
    <w:rsid w:val="4E170FFB"/>
    <w:rsid w:val="4E1A7775"/>
    <w:rsid w:val="4E1E5849"/>
    <w:rsid w:val="4E24521D"/>
    <w:rsid w:val="4E251B6D"/>
    <w:rsid w:val="4E2811C4"/>
    <w:rsid w:val="4E2C6E0F"/>
    <w:rsid w:val="4E434405"/>
    <w:rsid w:val="4E486D40"/>
    <w:rsid w:val="4E525E0C"/>
    <w:rsid w:val="4E582ADE"/>
    <w:rsid w:val="4E591E6B"/>
    <w:rsid w:val="4E6E387B"/>
    <w:rsid w:val="4E741198"/>
    <w:rsid w:val="4E7A5B0A"/>
    <w:rsid w:val="4E817F8B"/>
    <w:rsid w:val="4E8C126C"/>
    <w:rsid w:val="4E936BBC"/>
    <w:rsid w:val="4E9E7BBD"/>
    <w:rsid w:val="4EA52C2F"/>
    <w:rsid w:val="4EAF5B1F"/>
    <w:rsid w:val="4EB244E8"/>
    <w:rsid w:val="4EBA3D53"/>
    <w:rsid w:val="4ECF6248"/>
    <w:rsid w:val="4ED82BE9"/>
    <w:rsid w:val="4EDA1D46"/>
    <w:rsid w:val="4EDB451A"/>
    <w:rsid w:val="4EDF20DE"/>
    <w:rsid w:val="4EE16BAF"/>
    <w:rsid w:val="4EE70173"/>
    <w:rsid w:val="4EE72EDD"/>
    <w:rsid w:val="4EEB5E3F"/>
    <w:rsid w:val="4EEC684A"/>
    <w:rsid w:val="4EF3752B"/>
    <w:rsid w:val="4EF66EA2"/>
    <w:rsid w:val="4EF96CD8"/>
    <w:rsid w:val="4EFC07E5"/>
    <w:rsid w:val="4F133DD7"/>
    <w:rsid w:val="4F1B5C21"/>
    <w:rsid w:val="4F245FE4"/>
    <w:rsid w:val="4F267703"/>
    <w:rsid w:val="4F37578A"/>
    <w:rsid w:val="4F3854C4"/>
    <w:rsid w:val="4F45544A"/>
    <w:rsid w:val="4F475B64"/>
    <w:rsid w:val="4F484567"/>
    <w:rsid w:val="4F4D69E1"/>
    <w:rsid w:val="4F523173"/>
    <w:rsid w:val="4F5C3AE2"/>
    <w:rsid w:val="4F5F0605"/>
    <w:rsid w:val="4F5F2BB0"/>
    <w:rsid w:val="4F66254E"/>
    <w:rsid w:val="4F700CC6"/>
    <w:rsid w:val="4F71212E"/>
    <w:rsid w:val="4F735F06"/>
    <w:rsid w:val="4F781BA3"/>
    <w:rsid w:val="4F786330"/>
    <w:rsid w:val="4F7A6B16"/>
    <w:rsid w:val="4F870A38"/>
    <w:rsid w:val="4F9B579E"/>
    <w:rsid w:val="4F9C62D9"/>
    <w:rsid w:val="4FAC5444"/>
    <w:rsid w:val="4FB00965"/>
    <w:rsid w:val="4FC02673"/>
    <w:rsid w:val="4FC16A68"/>
    <w:rsid w:val="4FC90547"/>
    <w:rsid w:val="4FCA77D6"/>
    <w:rsid w:val="4FCB2017"/>
    <w:rsid w:val="4FEC5A87"/>
    <w:rsid w:val="4FF72BB9"/>
    <w:rsid w:val="500C7BE3"/>
    <w:rsid w:val="50153B7F"/>
    <w:rsid w:val="50224539"/>
    <w:rsid w:val="50227B4E"/>
    <w:rsid w:val="5025685E"/>
    <w:rsid w:val="502C2EE1"/>
    <w:rsid w:val="50347E02"/>
    <w:rsid w:val="503C5785"/>
    <w:rsid w:val="50497D95"/>
    <w:rsid w:val="5056137E"/>
    <w:rsid w:val="50634240"/>
    <w:rsid w:val="506C5017"/>
    <w:rsid w:val="50750AD0"/>
    <w:rsid w:val="507658D0"/>
    <w:rsid w:val="50765CA8"/>
    <w:rsid w:val="507D3D9C"/>
    <w:rsid w:val="508825A3"/>
    <w:rsid w:val="508D3EC2"/>
    <w:rsid w:val="50A732D9"/>
    <w:rsid w:val="50A75D18"/>
    <w:rsid w:val="50AA4E2D"/>
    <w:rsid w:val="50B1780B"/>
    <w:rsid w:val="50B24DE6"/>
    <w:rsid w:val="50BB16E2"/>
    <w:rsid w:val="50BD1B98"/>
    <w:rsid w:val="50BD3AD5"/>
    <w:rsid w:val="50BF32DA"/>
    <w:rsid w:val="50C42BDC"/>
    <w:rsid w:val="50CC2B7F"/>
    <w:rsid w:val="50DA2D94"/>
    <w:rsid w:val="50DC32B4"/>
    <w:rsid w:val="50E13A38"/>
    <w:rsid w:val="50E329DA"/>
    <w:rsid w:val="50E871C9"/>
    <w:rsid w:val="50EA0B67"/>
    <w:rsid w:val="50EB0C16"/>
    <w:rsid w:val="50ED05B0"/>
    <w:rsid w:val="50F15E84"/>
    <w:rsid w:val="50F742B5"/>
    <w:rsid w:val="50F77B28"/>
    <w:rsid w:val="50FD6AED"/>
    <w:rsid w:val="5105229E"/>
    <w:rsid w:val="510559A1"/>
    <w:rsid w:val="5107018E"/>
    <w:rsid w:val="51110826"/>
    <w:rsid w:val="51156811"/>
    <w:rsid w:val="51165E00"/>
    <w:rsid w:val="511A2E20"/>
    <w:rsid w:val="511F1D39"/>
    <w:rsid w:val="511F6DB1"/>
    <w:rsid w:val="512111CD"/>
    <w:rsid w:val="51220881"/>
    <w:rsid w:val="512600BE"/>
    <w:rsid w:val="512C192B"/>
    <w:rsid w:val="512F6D00"/>
    <w:rsid w:val="5133250E"/>
    <w:rsid w:val="51350558"/>
    <w:rsid w:val="513D04AA"/>
    <w:rsid w:val="514009EF"/>
    <w:rsid w:val="51410EB9"/>
    <w:rsid w:val="51583D23"/>
    <w:rsid w:val="51637B78"/>
    <w:rsid w:val="516C5FD7"/>
    <w:rsid w:val="516E1798"/>
    <w:rsid w:val="517A3D7D"/>
    <w:rsid w:val="51814EC3"/>
    <w:rsid w:val="518D25D0"/>
    <w:rsid w:val="51941AA3"/>
    <w:rsid w:val="519473A6"/>
    <w:rsid w:val="51960FE5"/>
    <w:rsid w:val="519B11B7"/>
    <w:rsid w:val="519D001B"/>
    <w:rsid w:val="51A0135C"/>
    <w:rsid w:val="51A478B0"/>
    <w:rsid w:val="51A7533D"/>
    <w:rsid w:val="51A93573"/>
    <w:rsid w:val="51AA37B0"/>
    <w:rsid w:val="51AD39A9"/>
    <w:rsid w:val="51AE3D6E"/>
    <w:rsid w:val="51B02739"/>
    <w:rsid w:val="51B45E1D"/>
    <w:rsid w:val="51B6604B"/>
    <w:rsid w:val="51BC0CDC"/>
    <w:rsid w:val="51C803D2"/>
    <w:rsid w:val="51D055E6"/>
    <w:rsid w:val="51E22A1D"/>
    <w:rsid w:val="51E50972"/>
    <w:rsid w:val="51E667EB"/>
    <w:rsid w:val="51EF4404"/>
    <w:rsid w:val="51F37A5E"/>
    <w:rsid w:val="52043EAB"/>
    <w:rsid w:val="520C130D"/>
    <w:rsid w:val="52111B18"/>
    <w:rsid w:val="521646DB"/>
    <w:rsid w:val="521A24D0"/>
    <w:rsid w:val="521C5DB3"/>
    <w:rsid w:val="521D1562"/>
    <w:rsid w:val="52266E22"/>
    <w:rsid w:val="522B7478"/>
    <w:rsid w:val="5230743E"/>
    <w:rsid w:val="5239566F"/>
    <w:rsid w:val="523A600E"/>
    <w:rsid w:val="523C5C69"/>
    <w:rsid w:val="52461B27"/>
    <w:rsid w:val="524677D1"/>
    <w:rsid w:val="524B21DC"/>
    <w:rsid w:val="5250485D"/>
    <w:rsid w:val="52570E9D"/>
    <w:rsid w:val="525941F7"/>
    <w:rsid w:val="525E7A5F"/>
    <w:rsid w:val="52606871"/>
    <w:rsid w:val="52606EB3"/>
    <w:rsid w:val="526D6FDC"/>
    <w:rsid w:val="52713FCB"/>
    <w:rsid w:val="52734DE0"/>
    <w:rsid w:val="52765C90"/>
    <w:rsid w:val="527D5A23"/>
    <w:rsid w:val="527F5E92"/>
    <w:rsid w:val="528666D8"/>
    <w:rsid w:val="52873378"/>
    <w:rsid w:val="52927FDD"/>
    <w:rsid w:val="529C6F2F"/>
    <w:rsid w:val="529D0346"/>
    <w:rsid w:val="52A07B61"/>
    <w:rsid w:val="52A23F72"/>
    <w:rsid w:val="52A25E2F"/>
    <w:rsid w:val="52A31916"/>
    <w:rsid w:val="52B4767F"/>
    <w:rsid w:val="52B72CCB"/>
    <w:rsid w:val="52BA4E53"/>
    <w:rsid w:val="52CA0C50"/>
    <w:rsid w:val="52CF0BF3"/>
    <w:rsid w:val="52D76029"/>
    <w:rsid w:val="52D90E94"/>
    <w:rsid w:val="52DF0C34"/>
    <w:rsid w:val="52E15745"/>
    <w:rsid w:val="52E84915"/>
    <w:rsid w:val="52EB0BC7"/>
    <w:rsid w:val="530509E3"/>
    <w:rsid w:val="53062531"/>
    <w:rsid w:val="5307091B"/>
    <w:rsid w:val="530F1F27"/>
    <w:rsid w:val="53157358"/>
    <w:rsid w:val="531C6BFE"/>
    <w:rsid w:val="532348AE"/>
    <w:rsid w:val="53292910"/>
    <w:rsid w:val="532A7941"/>
    <w:rsid w:val="53314089"/>
    <w:rsid w:val="53323BCF"/>
    <w:rsid w:val="53345290"/>
    <w:rsid w:val="533F5BC4"/>
    <w:rsid w:val="534740C2"/>
    <w:rsid w:val="534E08D6"/>
    <w:rsid w:val="53554285"/>
    <w:rsid w:val="53590226"/>
    <w:rsid w:val="5360593B"/>
    <w:rsid w:val="5362374D"/>
    <w:rsid w:val="53667E2D"/>
    <w:rsid w:val="536D7FCD"/>
    <w:rsid w:val="537160E8"/>
    <w:rsid w:val="537446AC"/>
    <w:rsid w:val="53802939"/>
    <w:rsid w:val="53821528"/>
    <w:rsid w:val="53835CEA"/>
    <w:rsid w:val="53890B0C"/>
    <w:rsid w:val="538A0573"/>
    <w:rsid w:val="53903D6D"/>
    <w:rsid w:val="53947D50"/>
    <w:rsid w:val="539664D5"/>
    <w:rsid w:val="539757E8"/>
    <w:rsid w:val="539861CB"/>
    <w:rsid w:val="53B839E7"/>
    <w:rsid w:val="53B94A9A"/>
    <w:rsid w:val="53BB7667"/>
    <w:rsid w:val="53BF3D9A"/>
    <w:rsid w:val="53C02053"/>
    <w:rsid w:val="53C44493"/>
    <w:rsid w:val="53CF0524"/>
    <w:rsid w:val="53CF5C63"/>
    <w:rsid w:val="53D0104E"/>
    <w:rsid w:val="53D60F95"/>
    <w:rsid w:val="53DE422B"/>
    <w:rsid w:val="53EC0A27"/>
    <w:rsid w:val="53F6692F"/>
    <w:rsid w:val="53F82930"/>
    <w:rsid w:val="54093DF0"/>
    <w:rsid w:val="540C7047"/>
    <w:rsid w:val="540F1882"/>
    <w:rsid w:val="540F286E"/>
    <w:rsid w:val="541232A4"/>
    <w:rsid w:val="541344C5"/>
    <w:rsid w:val="5415239F"/>
    <w:rsid w:val="54152739"/>
    <w:rsid w:val="541F39EB"/>
    <w:rsid w:val="542B03F1"/>
    <w:rsid w:val="542F5F42"/>
    <w:rsid w:val="54353FCB"/>
    <w:rsid w:val="543A79B0"/>
    <w:rsid w:val="543D5AD9"/>
    <w:rsid w:val="544600EC"/>
    <w:rsid w:val="544C0598"/>
    <w:rsid w:val="544D1B39"/>
    <w:rsid w:val="544E410F"/>
    <w:rsid w:val="54646A78"/>
    <w:rsid w:val="54676DAC"/>
    <w:rsid w:val="546E3137"/>
    <w:rsid w:val="546E41E6"/>
    <w:rsid w:val="54730273"/>
    <w:rsid w:val="54745F93"/>
    <w:rsid w:val="547526D7"/>
    <w:rsid w:val="547660E6"/>
    <w:rsid w:val="547B63CE"/>
    <w:rsid w:val="54834A12"/>
    <w:rsid w:val="54846378"/>
    <w:rsid w:val="54850846"/>
    <w:rsid w:val="548565F8"/>
    <w:rsid w:val="54880F83"/>
    <w:rsid w:val="54926DD2"/>
    <w:rsid w:val="54A63196"/>
    <w:rsid w:val="54AA4591"/>
    <w:rsid w:val="54AE76CE"/>
    <w:rsid w:val="54B2611A"/>
    <w:rsid w:val="54BB02A2"/>
    <w:rsid w:val="54CB4B48"/>
    <w:rsid w:val="54CF0C24"/>
    <w:rsid w:val="54D5378F"/>
    <w:rsid w:val="54D913C3"/>
    <w:rsid w:val="54D93F4C"/>
    <w:rsid w:val="54D96D8A"/>
    <w:rsid w:val="54DD0514"/>
    <w:rsid w:val="54DF7E7B"/>
    <w:rsid w:val="54E23693"/>
    <w:rsid w:val="54FD2F33"/>
    <w:rsid w:val="54FE040A"/>
    <w:rsid w:val="54FE1980"/>
    <w:rsid w:val="54FE68C1"/>
    <w:rsid w:val="5503126A"/>
    <w:rsid w:val="55052414"/>
    <w:rsid w:val="55115E23"/>
    <w:rsid w:val="55160978"/>
    <w:rsid w:val="551B3F90"/>
    <w:rsid w:val="551B664C"/>
    <w:rsid w:val="551D3C48"/>
    <w:rsid w:val="55270409"/>
    <w:rsid w:val="55287BB0"/>
    <w:rsid w:val="55392F9D"/>
    <w:rsid w:val="553F5B21"/>
    <w:rsid w:val="55425A9A"/>
    <w:rsid w:val="55461F08"/>
    <w:rsid w:val="555313D1"/>
    <w:rsid w:val="555F4E36"/>
    <w:rsid w:val="555F77B7"/>
    <w:rsid w:val="557A0405"/>
    <w:rsid w:val="5582167B"/>
    <w:rsid w:val="558A46C7"/>
    <w:rsid w:val="558F7E43"/>
    <w:rsid w:val="55904FE6"/>
    <w:rsid w:val="55917FB4"/>
    <w:rsid w:val="55942D51"/>
    <w:rsid w:val="55973A74"/>
    <w:rsid w:val="55A30F2D"/>
    <w:rsid w:val="55A40022"/>
    <w:rsid w:val="55A9741B"/>
    <w:rsid w:val="55AB4163"/>
    <w:rsid w:val="55AD1325"/>
    <w:rsid w:val="55AE4BBF"/>
    <w:rsid w:val="55AF3E8E"/>
    <w:rsid w:val="55B02A26"/>
    <w:rsid w:val="55B05CD7"/>
    <w:rsid w:val="55B464D4"/>
    <w:rsid w:val="55B6187D"/>
    <w:rsid w:val="55BD2CEE"/>
    <w:rsid w:val="55BF6453"/>
    <w:rsid w:val="55C41BD9"/>
    <w:rsid w:val="55C73A8D"/>
    <w:rsid w:val="55D4003F"/>
    <w:rsid w:val="55DA1CA8"/>
    <w:rsid w:val="55DF382B"/>
    <w:rsid w:val="55DF50D7"/>
    <w:rsid w:val="55E353C0"/>
    <w:rsid w:val="55E4599C"/>
    <w:rsid w:val="55E834E7"/>
    <w:rsid w:val="55E86F5B"/>
    <w:rsid w:val="55EA203E"/>
    <w:rsid w:val="55F0713C"/>
    <w:rsid w:val="55F207E3"/>
    <w:rsid w:val="55F8327C"/>
    <w:rsid w:val="55F979FD"/>
    <w:rsid w:val="5606140E"/>
    <w:rsid w:val="560D0B24"/>
    <w:rsid w:val="560E7CB4"/>
    <w:rsid w:val="561116B6"/>
    <w:rsid w:val="561914C9"/>
    <w:rsid w:val="5619218C"/>
    <w:rsid w:val="56264931"/>
    <w:rsid w:val="56277218"/>
    <w:rsid w:val="562F3F5F"/>
    <w:rsid w:val="56340956"/>
    <w:rsid w:val="563643E0"/>
    <w:rsid w:val="563C66AD"/>
    <w:rsid w:val="5640122A"/>
    <w:rsid w:val="56494A7A"/>
    <w:rsid w:val="564A113C"/>
    <w:rsid w:val="564B74B6"/>
    <w:rsid w:val="564C613A"/>
    <w:rsid w:val="565534F6"/>
    <w:rsid w:val="565824CF"/>
    <w:rsid w:val="5659167A"/>
    <w:rsid w:val="56616E95"/>
    <w:rsid w:val="5666086C"/>
    <w:rsid w:val="566847A1"/>
    <w:rsid w:val="566A6247"/>
    <w:rsid w:val="566C0595"/>
    <w:rsid w:val="566E5D97"/>
    <w:rsid w:val="567D1A49"/>
    <w:rsid w:val="56872762"/>
    <w:rsid w:val="56884CF1"/>
    <w:rsid w:val="568A343A"/>
    <w:rsid w:val="568B4B9B"/>
    <w:rsid w:val="5694027D"/>
    <w:rsid w:val="56B121F6"/>
    <w:rsid w:val="56B8006F"/>
    <w:rsid w:val="56C84B18"/>
    <w:rsid w:val="56CA2D34"/>
    <w:rsid w:val="56D75203"/>
    <w:rsid w:val="56D87B35"/>
    <w:rsid w:val="56DA167E"/>
    <w:rsid w:val="56DE4069"/>
    <w:rsid w:val="56DF41F3"/>
    <w:rsid w:val="56E10C5F"/>
    <w:rsid w:val="56E47668"/>
    <w:rsid w:val="56E642F3"/>
    <w:rsid w:val="56ED7603"/>
    <w:rsid w:val="56ED7EC1"/>
    <w:rsid w:val="56EE1A6C"/>
    <w:rsid w:val="56EF3C74"/>
    <w:rsid w:val="56F0762F"/>
    <w:rsid w:val="56F121AD"/>
    <w:rsid w:val="56F8459B"/>
    <w:rsid w:val="56F869A8"/>
    <w:rsid w:val="56FE78B5"/>
    <w:rsid w:val="57002DC1"/>
    <w:rsid w:val="57021C71"/>
    <w:rsid w:val="570661A5"/>
    <w:rsid w:val="57193DA2"/>
    <w:rsid w:val="571F22A8"/>
    <w:rsid w:val="57230371"/>
    <w:rsid w:val="57264408"/>
    <w:rsid w:val="572825EF"/>
    <w:rsid w:val="57314336"/>
    <w:rsid w:val="573D4523"/>
    <w:rsid w:val="57476390"/>
    <w:rsid w:val="57484B56"/>
    <w:rsid w:val="574D35DE"/>
    <w:rsid w:val="57674123"/>
    <w:rsid w:val="57695BC9"/>
    <w:rsid w:val="576C4D27"/>
    <w:rsid w:val="576F7833"/>
    <w:rsid w:val="577B02B8"/>
    <w:rsid w:val="578138A1"/>
    <w:rsid w:val="57930259"/>
    <w:rsid w:val="57941352"/>
    <w:rsid w:val="57983594"/>
    <w:rsid w:val="579E3B9B"/>
    <w:rsid w:val="579F0C48"/>
    <w:rsid w:val="57A85C8B"/>
    <w:rsid w:val="57AB31AF"/>
    <w:rsid w:val="57AF48B9"/>
    <w:rsid w:val="57B81C44"/>
    <w:rsid w:val="57BA3459"/>
    <w:rsid w:val="57BC0C2B"/>
    <w:rsid w:val="57C014E1"/>
    <w:rsid w:val="57CA6D9E"/>
    <w:rsid w:val="57D020AA"/>
    <w:rsid w:val="57D13845"/>
    <w:rsid w:val="57D85D3F"/>
    <w:rsid w:val="57E0144C"/>
    <w:rsid w:val="57E11A61"/>
    <w:rsid w:val="57E32E1A"/>
    <w:rsid w:val="57E43239"/>
    <w:rsid w:val="57ED0BCA"/>
    <w:rsid w:val="57F29C2C"/>
    <w:rsid w:val="57F57CA7"/>
    <w:rsid w:val="57FC5193"/>
    <w:rsid w:val="57FD4F1A"/>
    <w:rsid w:val="58071F24"/>
    <w:rsid w:val="58080059"/>
    <w:rsid w:val="580C7777"/>
    <w:rsid w:val="580F6D04"/>
    <w:rsid w:val="58304A53"/>
    <w:rsid w:val="58334EC0"/>
    <w:rsid w:val="583F6C41"/>
    <w:rsid w:val="58400AB9"/>
    <w:rsid w:val="58472741"/>
    <w:rsid w:val="584A72E2"/>
    <w:rsid w:val="585C0D40"/>
    <w:rsid w:val="585C5C0E"/>
    <w:rsid w:val="58657D29"/>
    <w:rsid w:val="58663551"/>
    <w:rsid w:val="586768C2"/>
    <w:rsid w:val="586B2775"/>
    <w:rsid w:val="587B479B"/>
    <w:rsid w:val="58836481"/>
    <w:rsid w:val="58840A5C"/>
    <w:rsid w:val="588A13FC"/>
    <w:rsid w:val="58993433"/>
    <w:rsid w:val="58A367BB"/>
    <w:rsid w:val="58A81959"/>
    <w:rsid w:val="58AD15C3"/>
    <w:rsid w:val="58AD3431"/>
    <w:rsid w:val="58AD5A20"/>
    <w:rsid w:val="58BB009F"/>
    <w:rsid w:val="58BE50C4"/>
    <w:rsid w:val="58C41377"/>
    <w:rsid w:val="58C72F9C"/>
    <w:rsid w:val="58C75E85"/>
    <w:rsid w:val="58CC07E6"/>
    <w:rsid w:val="58CC7446"/>
    <w:rsid w:val="58D45576"/>
    <w:rsid w:val="58E73EB0"/>
    <w:rsid w:val="58FC2BEE"/>
    <w:rsid w:val="58FF74EB"/>
    <w:rsid w:val="590914C5"/>
    <w:rsid w:val="590C702F"/>
    <w:rsid w:val="590F359D"/>
    <w:rsid w:val="591B4449"/>
    <w:rsid w:val="591B4456"/>
    <w:rsid w:val="59251C26"/>
    <w:rsid w:val="59296C55"/>
    <w:rsid w:val="592A464E"/>
    <w:rsid w:val="592E31CF"/>
    <w:rsid w:val="5938549B"/>
    <w:rsid w:val="59417793"/>
    <w:rsid w:val="5944285A"/>
    <w:rsid w:val="594F2FAF"/>
    <w:rsid w:val="59534CE4"/>
    <w:rsid w:val="595C7952"/>
    <w:rsid w:val="596228FB"/>
    <w:rsid w:val="59636026"/>
    <w:rsid w:val="59662247"/>
    <w:rsid w:val="596B4552"/>
    <w:rsid w:val="596B7136"/>
    <w:rsid w:val="596C3FD4"/>
    <w:rsid w:val="59742AEE"/>
    <w:rsid w:val="59743776"/>
    <w:rsid w:val="59751462"/>
    <w:rsid w:val="59771406"/>
    <w:rsid w:val="597C0DED"/>
    <w:rsid w:val="598874CD"/>
    <w:rsid w:val="598F42ED"/>
    <w:rsid w:val="5990482F"/>
    <w:rsid w:val="59907B3C"/>
    <w:rsid w:val="59911541"/>
    <w:rsid w:val="599A6FE7"/>
    <w:rsid w:val="59A12BA8"/>
    <w:rsid w:val="59A33373"/>
    <w:rsid w:val="59A42AA4"/>
    <w:rsid w:val="59A93AE5"/>
    <w:rsid w:val="59AA3F9C"/>
    <w:rsid w:val="59AA6BF7"/>
    <w:rsid w:val="59AE23A1"/>
    <w:rsid w:val="59B63CDD"/>
    <w:rsid w:val="59B85CA7"/>
    <w:rsid w:val="59B903D7"/>
    <w:rsid w:val="59C46691"/>
    <w:rsid w:val="59C7653A"/>
    <w:rsid w:val="59CC2A6D"/>
    <w:rsid w:val="59CE1649"/>
    <w:rsid w:val="59CF7C87"/>
    <w:rsid w:val="59DD1BD8"/>
    <w:rsid w:val="59DE3233"/>
    <w:rsid w:val="59EF5699"/>
    <w:rsid w:val="59F2664A"/>
    <w:rsid w:val="5A0104E1"/>
    <w:rsid w:val="5A1748E8"/>
    <w:rsid w:val="5A1C26A9"/>
    <w:rsid w:val="5A345161"/>
    <w:rsid w:val="5A3D633A"/>
    <w:rsid w:val="5A45483E"/>
    <w:rsid w:val="5A4A6AD6"/>
    <w:rsid w:val="5A504470"/>
    <w:rsid w:val="5A5577F3"/>
    <w:rsid w:val="5A600885"/>
    <w:rsid w:val="5A653BF5"/>
    <w:rsid w:val="5A6E2809"/>
    <w:rsid w:val="5A9F4315"/>
    <w:rsid w:val="5AA67350"/>
    <w:rsid w:val="5AA87804"/>
    <w:rsid w:val="5AB955B2"/>
    <w:rsid w:val="5ABC618F"/>
    <w:rsid w:val="5ABF4EF3"/>
    <w:rsid w:val="5AC4269B"/>
    <w:rsid w:val="5AC75F12"/>
    <w:rsid w:val="5ADC2D5B"/>
    <w:rsid w:val="5AE30AB0"/>
    <w:rsid w:val="5AEF72E2"/>
    <w:rsid w:val="5AF03058"/>
    <w:rsid w:val="5AF4053B"/>
    <w:rsid w:val="5B0127EC"/>
    <w:rsid w:val="5B061AA0"/>
    <w:rsid w:val="5B06409C"/>
    <w:rsid w:val="5B080F66"/>
    <w:rsid w:val="5B0C1EAA"/>
    <w:rsid w:val="5B190E71"/>
    <w:rsid w:val="5B1B2F41"/>
    <w:rsid w:val="5B1F6672"/>
    <w:rsid w:val="5B213F4C"/>
    <w:rsid w:val="5B223286"/>
    <w:rsid w:val="5B2317E1"/>
    <w:rsid w:val="5B32412C"/>
    <w:rsid w:val="5B431A49"/>
    <w:rsid w:val="5B4854BB"/>
    <w:rsid w:val="5B565242"/>
    <w:rsid w:val="5B622D9B"/>
    <w:rsid w:val="5B62307D"/>
    <w:rsid w:val="5B694D7F"/>
    <w:rsid w:val="5B6E20A4"/>
    <w:rsid w:val="5B7E4883"/>
    <w:rsid w:val="5B7F5B00"/>
    <w:rsid w:val="5B8003F6"/>
    <w:rsid w:val="5B8379B6"/>
    <w:rsid w:val="5B8F7864"/>
    <w:rsid w:val="5B934BFF"/>
    <w:rsid w:val="5B954976"/>
    <w:rsid w:val="5BA5225B"/>
    <w:rsid w:val="5BAA402B"/>
    <w:rsid w:val="5BAF6843"/>
    <w:rsid w:val="5BB42459"/>
    <w:rsid w:val="5BDA74B9"/>
    <w:rsid w:val="5BDD7A14"/>
    <w:rsid w:val="5BF60C1A"/>
    <w:rsid w:val="5BF903A4"/>
    <w:rsid w:val="5BF90A84"/>
    <w:rsid w:val="5C011CF3"/>
    <w:rsid w:val="5C0F1DCA"/>
    <w:rsid w:val="5C127A02"/>
    <w:rsid w:val="5C131EBB"/>
    <w:rsid w:val="5C13596E"/>
    <w:rsid w:val="5C1A710B"/>
    <w:rsid w:val="5C1E3DBB"/>
    <w:rsid w:val="5C216496"/>
    <w:rsid w:val="5C251E08"/>
    <w:rsid w:val="5C297F32"/>
    <w:rsid w:val="5C30578F"/>
    <w:rsid w:val="5C3242F4"/>
    <w:rsid w:val="5C3929A3"/>
    <w:rsid w:val="5C396B5A"/>
    <w:rsid w:val="5C3D151F"/>
    <w:rsid w:val="5C4A4791"/>
    <w:rsid w:val="5C4C00EE"/>
    <w:rsid w:val="5C5B0C7A"/>
    <w:rsid w:val="5C5C0EBD"/>
    <w:rsid w:val="5C5C463E"/>
    <w:rsid w:val="5C5E28A3"/>
    <w:rsid w:val="5C5F0A71"/>
    <w:rsid w:val="5C5F3075"/>
    <w:rsid w:val="5C605111"/>
    <w:rsid w:val="5C670B3F"/>
    <w:rsid w:val="5C6A0D92"/>
    <w:rsid w:val="5C726EC1"/>
    <w:rsid w:val="5C741FC5"/>
    <w:rsid w:val="5C781591"/>
    <w:rsid w:val="5C80154E"/>
    <w:rsid w:val="5C8C06F6"/>
    <w:rsid w:val="5C9272E9"/>
    <w:rsid w:val="5C952471"/>
    <w:rsid w:val="5C9C0BB2"/>
    <w:rsid w:val="5C9D637C"/>
    <w:rsid w:val="5CA12362"/>
    <w:rsid w:val="5CA45110"/>
    <w:rsid w:val="5CB016F5"/>
    <w:rsid w:val="5CB07109"/>
    <w:rsid w:val="5CB70B71"/>
    <w:rsid w:val="5CB76E91"/>
    <w:rsid w:val="5CBC77F8"/>
    <w:rsid w:val="5CC22CBF"/>
    <w:rsid w:val="5CC3679B"/>
    <w:rsid w:val="5CCB1B89"/>
    <w:rsid w:val="5CCE3A33"/>
    <w:rsid w:val="5CD673D2"/>
    <w:rsid w:val="5CDD7833"/>
    <w:rsid w:val="5CE009AB"/>
    <w:rsid w:val="5CEE532B"/>
    <w:rsid w:val="5CFB0FC0"/>
    <w:rsid w:val="5D050D67"/>
    <w:rsid w:val="5D087C6E"/>
    <w:rsid w:val="5D095C16"/>
    <w:rsid w:val="5D172BB0"/>
    <w:rsid w:val="5D1D7E97"/>
    <w:rsid w:val="5D2418A5"/>
    <w:rsid w:val="5D316135"/>
    <w:rsid w:val="5D4B5A50"/>
    <w:rsid w:val="5D4E417E"/>
    <w:rsid w:val="5D5418E7"/>
    <w:rsid w:val="5D5433AF"/>
    <w:rsid w:val="5D682F96"/>
    <w:rsid w:val="5D6D519C"/>
    <w:rsid w:val="5D6E03F8"/>
    <w:rsid w:val="5D6E34D7"/>
    <w:rsid w:val="5D7B5F87"/>
    <w:rsid w:val="5D7E0FB5"/>
    <w:rsid w:val="5D8A664D"/>
    <w:rsid w:val="5D8B70DE"/>
    <w:rsid w:val="5D90082C"/>
    <w:rsid w:val="5D947EBB"/>
    <w:rsid w:val="5D9E7526"/>
    <w:rsid w:val="5DA16738"/>
    <w:rsid w:val="5DAA4862"/>
    <w:rsid w:val="5DAD7F19"/>
    <w:rsid w:val="5DB752DD"/>
    <w:rsid w:val="5DB90618"/>
    <w:rsid w:val="5DBB52A0"/>
    <w:rsid w:val="5DCA0504"/>
    <w:rsid w:val="5DCF6315"/>
    <w:rsid w:val="5DD05011"/>
    <w:rsid w:val="5DD4552A"/>
    <w:rsid w:val="5DD530E8"/>
    <w:rsid w:val="5DE5254C"/>
    <w:rsid w:val="5DEE2A72"/>
    <w:rsid w:val="5DF002A9"/>
    <w:rsid w:val="5DF56900"/>
    <w:rsid w:val="5DFC3360"/>
    <w:rsid w:val="5DFE3466"/>
    <w:rsid w:val="5E04588F"/>
    <w:rsid w:val="5E071347"/>
    <w:rsid w:val="5E087953"/>
    <w:rsid w:val="5E090545"/>
    <w:rsid w:val="5E0922ED"/>
    <w:rsid w:val="5E0A78D9"/>
    <w:rsid w:val="5E1E22F9"/>
    <w:rsid w:val="5E224304"/>
    <w:rsid w:val="5E23390B"/>
    <w:rsid w:val="5E267260"/>
    <w:rsid w:val="5E2778DC"/>
    <w:rsid w:val="5E2D7E1B"/>
    <w:rsid w:val="5E306D78"/>
    <w:rsid w:val="5E347045"/>
    <w:rsid w:val="5E3479FB"/>
    <w:rsid w:val="5E3616F8"/>
    <w:rsid w:val="5E4F263A"/>
    <w:rsid w:val="5E512226"/>
    <w:rsid w:val="5E567E12"/>
    <w:rsid w:val="5E5B4017"/>
    <w:rsid w:val="5E673FD1"/>
    <w:rsid w:val="5E6E5184"/>
    <w:rsid w:val="5E74667C"/>
    <w:rsid w:val="5E7E0BA9"/>
    <w:rsid w:val="5E956CE1"/>
    <w:rsid w:val="5E9840CD"/>
    <w:rsid w:val="5E9D0FA2"/>
    <w:rsid w:val="5EA27B33"/>
    <w:rsid w:val="5EA7753B"/>
    <w:rsid w:val="5EAC56AE"/>
    <w:rsid w:val="5EAF04FD"/>
    <w:rsid w:val="5EB553D8"/>
    <w:rsid w:val="5EB94C0B"/>
    <w:rsid w:val="5EC147D3"/>
    <w:rsid w:val="5EC87D74"/>
    <w:rsid w:val="5EC927CC"/>
    <w:rsid w:val="5ECB1035"/>
    <w:rsid w:val="5ECF4770"/>
    <w:rsid w:val="5ED1105C"/>
    <w:rsid w:val="5EDB4FAB"/>
    <w:rsid w:val="5EE04CED"/>
    <w:rsid w:val="5EE148FA"/>
    <w:rsid w:val="5EEC01A1"/>
    <w:rsid w:val="5EEC1321"/>
    <w:rsid w:val="5EEE0070"/>
    <w:rsid w:val="5EEF6798"/>
    <w:rsid w:val="5EFE6F4C"/>
    <w:rsid w:val="5F01547F"/>
    <w:rsid w:val="5F040B01"/>
    <w:rsid w:val="5F0E3DDF"/>
    <w:rsid w:val="5F0E3EBF"/>
    <w:rsid w:val="5F0E4F95"/>
    <w:rsid w:val="5F114024"/>
    <w:rsid w:val="5F1178BB"/>
    <w:rsid w:val="5F143EC1"/>
    <w:rsid w:val="5F1934AB"/>
    <w:rsid w:val="5F194D5F"/>
    <w:rsid w:val="5F1A0816"/>
    <w:rsid w:val="5F1E58C8"/>
    <w:rsid w:val="5F241A90"/>
    <w:rsid w:val="5F24671E"/>
    <w:rsid w:val="5F26496F"/>
    <w:rsid w:val="5F366A5E"/>
    <w:rsid w:val="5F3C4CD5"/>
    <w:rsid w:val="5F3D0BFA"/>
    <w:rsid w:val="5F3E23E4"/>
    <w:rsid w:val="5F3E6693"/>
    <w:rsid w:val="5F4A2A68"/>
    <w:rsid w:val="5F4B6845"/>
    <w:rsid w:val="5F5901B1"/>
    <w:rsid w:val="5F5D4485"/>
    <w:rsid w:val="5F5E2010"/>
    <w:rsid w:val="5F6F0117"/>
    <w:rsid w:val="5F77580B"/>
    <w:rsid w:val="5F800204"/>
    <w:rsid w:val="5F824661"/>
    <w:rsid w:val="5F8B40F1"/>
    <w:rsid w:val="5F8D3732"/>
    <w:rsid w:val="5F912BA3"/>
    <w:rsid w:val="5F9A2663"/>
    <w:rsid w:val="5F9A3D7B"/>
    <w:rsid w:val="5F9F5213"/>
    <w:rsid w:val="5FA21CB9"/>
    <w:rsid w:val="5FA86E57"/>
    <w:rsid w:val="5FAD6EB4"/>
    <w:rsid w:val="5FC04D5A"/>
    <w:rsid w:val="5FD31560"/>
    <w:rsid w:val="5FD357AD"/>
    <w:rsid w:val="5FDF570A"/>
    <w:rsid w:val="5FEA20BE"/>
    <w:rsid w:val="5FF834E6"/>
    <w:rsid w:val="600503C7"/>
    <w:rsid w:val="60063B8E"/>
    <w:rsid w:val="60100B1D"/>
    <w:rsid w:val="60173731"/>
    <w:rsid w:val="601D6C4C"/>
    <w:rsid w:val="601F0FB3"/>
    <w:rsid w:val="602B2294"/>
    <w:rsid w:val="60335CD8"/>
    <w:rsid w:val="603602C6"/>
    <w:rsid w:val="603E5934"/>
    <w:rsid w:val="603E7279"/>
    <w:rsid w:val="60571FE0"/>
    <w:rsid w:val="60611468"/>
    <w:rsid w:val="60634492"/>
    <w:rsid w:val="60675DCC"/>
    <w:rsid w:val="60717BA1"/>
    <w:rsid w:val="60753B87"/>
    <w:rsid w:val="608265B2"/>
    <w:rsid w:val="60835BE7"/>
    <w:rsid w:val="60844B35"/>
    <w:rsid w:val="60871379"/>
    <w:rsid w:val="608878D6"/>
    <w:rsid w:val="60921331"/>
    <w:rsid w:val="60997EB4"/>
    <w:rsid w:val="609D0443"/>
    <w:rsid w:val="609D0497"/>
    <w:rsid w:val="609F65A9"/>
    <w:rsid w:val="60A02A35"/>
    <w:rsid w:val="60A76116"/>
    <w:rsid w:val="60AB601B"/>
    <w:rsid w:val="60B20B57"/>
    <w:rsid w:val="60B42F40"/>
    <w:rsid w:val="60B43E78"/>
    <w:rsid w:val="60B60FD5"/>
    <w:rsid w:val="60BB7593"/>
    <w:rsid w:val="60C86BFC"/>
    <w:rsid w:val="60C934F5"/>
    <w:rsid w:val="60C969EB"/>
    <w:rsid w:val="60D15123"/>
    <w:rsid w:val="60E0114B"/>
    <w:rsid w:val="60E36263"/>
    <w:rsid w:val="60E9574C"/>
    <w:rsid w:val="60ED4328"/>
    <w:rsid w:val="60F30A27"/>
    <w:rsid w:val="60FB1625"/>
    <w:rsid w:val="610B2B6B"/>
    <w:rsid w:val="610C2357"/>
    <w:rsid w:val="611127BB"/>
    <w:rsid w:val="611B48BF"/>
    <w:rsid w:val="61203EB0"/>
    <w:rsid w:val="61292BC0"/>
    <w:rsid w:val="61327668"/>
    <w:rsid w:val="613609C0"/>
    <w:rsid w:val="613C3AFE"/>
    <w:rsid w:val="613E51A1"/>
    <w:rsid w:val="613F1BDA"/>
    <w:rsid w:val="6143278F"/>
    <w:rsid w:val="614370A9"/>
    <w:rsid w:val="6150586C"/>
    <w:rsid w:val="61516A56"/>
    <w:rsid w:val="61564363"/>
    <w:rsid w:val="616A3743"/>
    <w:rsid w:val="61712C70"/>
    <w:rsid w:val="61713398"/>
    <w:rsid w:val="61761FA3"/>
    <w:rsid w:val="61770C9D"/>
    <w:rsid w:val="617F0CF3"/>
    <w:rsid w:val="61947C35"/>
    <w:rsid w:val="619836BC"/>
    <w:rsid w:val="61A44C37"/>
    <w:rsid w:val="61AA630D"/>
    <w:rsid w:val="61B851BE"/>
    <w:rsid w:val="61B945D8"/>
    <w:rsid w:val="61B96379"/>
    <w:rsid w:val="61BE4AF9"/>
    <w:rsid w:val="61BE6E88"/>
    <w:rsid w:val="61D32A09"/>
    <w:rsid w:val="61D856BC"/>
    <w:rsid w:val="61D87FB0"/>
    <w:rsid w:val="61E003A6"/>
    <w:rsid w:val="61F53258"/>
    <w:rsid w:val="61FD0109"/>
    <w:rsid w:val="62013FEA"/>
    <w:rsid w:val="622055C4"/>
    <w:rsid w:val="622F1646"/>
    <w:rsid w:val="623066B8"/>
    <w:rsid w:val="6232058F"/>
    <w:rsid w:val="62323904"/>
    <w:rsid w:val="62337D5D"/>
    <w:rsid w:val="623E192C"/>
    <w:rsid w:val="62566A1A"/>
    <w:rsid w:val="625F5CA8"/>
    <w:rsid w:val="626A08B6"/>
    <w:rsid w:val="62704EB0"/>
    <w:rsid w:val="62734B1F"/>
    <w:rsid w:val="62755A16"/>
    <w:rsid w:val="627566D0"/>
    <w:rsid w:val="629578F8"/>
    <w:rsid w:val="62981BC5"/>
    <w:rsid w:val="62987345"/>
    <w:rsid w:val="62993637"/>
    <w:rsid w:val="62B86BBF"/>
    <w:rsid w:val="62C075DC"/>
    <w:rsid w:val="62D90535"/>
    <w:rsid w:val="62DF45D8"/>
    <w:rsid w:val="62F1620B"/>
    <w:rsid w:val="62F25083"/>
    <w:rsid w:val="62F53AC8"/>
    <w:rsid w:val="62FB336A"/>
    <w:rsid w:val="62FC28DB"/>
    <w:rsid w:val="62FC3BB6"/>
    <w:rsid w:val="62FE79D4"/>
    <w:rsid w:val="631100BC"/>
    <w:rsid w:val="631931D8"/>
    <w:rsid w:val="6319709B"/>
    <w:rsid w:val="631A0AAC"/>
    <w:rsid w:val="631C3A98"/>
    <w:rsid w:val="633614D2"/>
    <w:rsid w:val="633640E0"/>
    <w:rsid w:val="633848A4"/>
    <w:rsid w:val="633C46C7"/>
    <w:rsid w:val="63475D14"/>
    <w:rsid w:val="6353499D"/>
    <w:rsid w:val="635B0B9D"/>
    <w:rsid w:val="636150D9"/>
    <w:rsid w:val="63633C7F"/>
    <w:rsid w:val="63661DA7"/>
    <w:rsid w:val="63742817"/>
    <w:rsid w:val="63750A53"/>
    <w:rsid w:val="637A221F"/>
    <w:rsid w:val="638151C5"/>
    <w:rsid w:val="63824307"/>
    <w:rsid w:val="638570D7"/>
    <w:rsid w:val="638B6C16"/>
    <w:rsid w:val="6392713A"/>
    <w:rsid w:val="639477E9"/>
    <w:rsid w:val="63957C54"/>
    <w:rsid w:val="63962E5F"/>
    <w:rsid w:val="63991848"/>
    <w:rsid w:val="63992481"/>
    <w:rsid w:val="63A30861"/>
    <w:rsid w:val="63A50988"/>
    <w:rsid w:val="63A57FCA"/>
    <w:rsid w:val="63AF5E35"/>
    <w:rsid w:val="63B32F36"/>
    <w:rsid w:val="63C06A65"/>
    <w:rsid w:val="63CE7D80"/>
    <w:rsid w:val="63D314EF"/>
    <w:rsid w:val="63D36061"/>
    <w:rsid w:val="63E95785"/>
    <w:rsid w:val="63F26259"/>
    <w:rsid w:val="6404340A"/>
    <w:rsid w:val="64093CE7"/>
    <w:rsid w:val="640A5197"/>
    <w:rsid w:val="640D66D5"/>
    <w:rsid w:val="64137F7D"/>
    <w:rsid w:val="641431CC"/>
    <w:rsid w:val="64157DCB"/>
    <w:rsid w:val="641C1D34"/>
    <w:rsid w:val="64204042"/>
    <w:rsid w:val="64275D80"/>
    <w:rsid w:val="642B2C83"/>
    <w:rsid w:val="642D4C93"/>
    <w:rsid w:val="64331308"/>
    <w:rsid w:val="64332E99"/>
    <w:rsid w:val="6436154B"/>
    <w:rsid w:val="643C0CE2"/>
    <w:rsid w:val="644202BB"/>
    <w:rsid w:val="64451D3E"/>
    <w:rsid w:val="64456349"/>
    <w:rsid w:val="64496AFC"/>
    <w:rsid w:val="64685B00"/>
    <w:rsid w:val="646911C9"/>
    <w:rsid w:val="647024AD"/>
    <w:rsid w:val="647B6112"/>
    <w:rsid w:val="647E3336"/>
    <w:rsid w:val="64827BC4"/>
    <w:rsid w:val="64862A0E"/>
    <w:rsid w:val="64915A72"/>
    <w:rsid w:val="649538AC"/>
    <w:rsid w:val="64A07139"/>
    <w:rsid w:val="64A664F5"/>
    <w:rsid w:val="64AB727D"/>
    <w:rsid w:val="64B0009B"/>
    <w:rsid w:val="64B75CC6"/>
    <w:rsid w:val="64BD5509"/>
    <w:rsid w:val="64C73E59"/>
    <w:rsid w:val="64CE5F8F"/>
    <w:rsid w:val="64CF24D9"/>
    <w:rsid w:val="64E66800"/>
    <w:rsid w:val="64EE6A20"/>
    <w:rsid w:val="64F727ED"/>
    <w:rsid w:val="64FB4283"/>
    <w:rsid w:val="6505257D"/>
    <w:rsid w:val="650C013C"/>
    <w:rsid w:val="6510406D"/>
    <w:rsid w:val="65110961"/>
    <w:rsid w:val="6512227A"/>
    <w:rsid w:val="65164090"/>
    <w:rsid w:val="65303897"/>
    <w:rsid w:val="654003A0"/>
    <w:rsid w:val="654150C5"/>
    <w:rsid w:val="654747ED"/>
    <w:rsid w:val="654D5B44"/>
    <w:rsid w:val="655003E0"/>
    <w:rsid w:val="655464EF"/>
    <w:rsid w:val="65556AA0"/>
    <w:rsid w:val="6569488A"/>
    <w:rsid w:val="656D2528"/>
    <w:rsid w:val="65713C59"/>
    <w:rsid w:val="6574083C"/>
    <w:rsid w:val="6579457C"/>
    <w:rsid w:val="65794646"/>
    <w:rsid w:val="65797DCC"/>
    <w:rsid w:val="657A1055"/>
    <w:rsid w:val="659D14CF"/>
    <w:rsid w:val="65A749E0"/>
    <w:rsid w:val="65B14601"/>
    <w:rsid w:val="65C53172"/>
    <w:rsid w:val="65D1275F"/>
    <w:rsid w:val="65D61591"/>
    <w:rsid w:val="65D65BDD"/>
    <w:rsid w:val="65DF49B0"/>
    <w:rsid w:val="65E22355"/>
    <w:rsid w:val="65E32F5E"/>
    <w:rsid w:val="65F665D7"/>
    <w:rsid w:val="66022783"/>
    <w:rsid w:val="66075179"/>
    <w:rsid w:val="66082BCF"/>
    <w:rsid w:val="660979AD"/>
    <w:rsid w:val="660C5ED8"/>
    <w:rsid w:val="660E2B36"/>
    <w:rsid w:val="66203890"/>
    <w:rsid w:val="662350AA"/>
    <w:rsid w:val="66283436"/>
    <w:rsid w:val="66293DE9"/>
    <w:rsid w:val="662E72BF"/>
    <w:rsid w:val="66337BE1"/>
    <w:rsid w:val="664142E8"/>
    <w:rsid w:val="66441912"/>
    <w:rsid w:val="66452A08"/>
    <w:rsid w:val="664718A2"/>
    <w:rsid w:val="66473864"/>
    <w:rsid w:val="664C724C"/>
    <w:rsid w:val="664D5175"/>
    <w:rsid w:val="664D64E9"/>
    <w:rsid w:val="66525D8E"/>
    <w:rsid w:val="66686690"/>
    <w:rsid w:val="667A4733"/>
    <w:rsid w:val="668246F3"/>
    <w:rsid w:val="668820C4"/>
    <w:rsid w:val="668C3B5D"/>
    <w:rsid w:val="66963478"/>
    <w:rsid w:val="66A84275"/>
    <w:rsid w:val="66AC26A3"/>
    <w:rsid w:val="66BD6FCF"/>
    <w:rsid w:val="66C503B6"/>
    <w:rsid w:val="66C91810"/>
    <w:rsid w:val="66DB66D6"/>
    <w:rsid w:val="66DE3782"/>
    <w:rsid w:val="66E005EB"/>
    <w:rsid w:val="66E373E5"/>
    <w:rsid w:val="66F3345A"/>
    <w:rsid w:val="66F3487E"/>
    <w:rsid w:val="670451F5"/>
    <w:rsid w:val="670B31A1"/>
    <w:rsid w:val="670C1B0F"/>
    <w:rsid w:val="670C5884"/>
    <w:rsid w:val="670D5158"/>
    <w:rsid w:val="67213BBD"/>
    <w:rsid w:val="67241800"/>
    <w:rsid w:val="673A2851"/>
    <w:rsid w:val="674212A6"/>
    <w:rsid w:val="67441025"/>
    <w:rsid w:val="67452DB8"/>
    <w:rsid w:val="675661B1"/>
    <w:rsid w:val="675D7A27"/>
    <w:rsid w:val="676277DD"/>
    <w:rsid w:val="6772576C"/>
    <w:rsid w:val="67735B8F"/>
    <w:rsid w:val="67761AB0"/>
    <w:rsid w:val="677D064B"/>
    <w:rsid w:val="67814F29"/>
    <w:rsid w:val="67884D6E"/>
    <w:rsid w:val="678E41D2"/>
    <w:rsid w:val="67913043"/>
    <w:rsid w:val="679965A2"/>
    <w:rsid w:val="679A69EC"/>
    <w:rsid w:val="67AD33A9"/>
    <w:rsid w:val="67B54079"/>
    <w:rsid w:val="67B55C26"/>
    <w:rsid w:val="67B657A4"/>
    <w:rsid w:val="67C940E5"/>
    <w:rsid w:val="67CD13FA"/>
    <w:rsid w:val="67D75B77"/>
    <w:rsid w:val="67DC0B0B"/>
    <w:rsid w:val="67E4235D"/>
    <w:rsid w:val="67F22B58"/>
    <w:rsid w:val="67FA5E37"/>
    <w:rsid w:val="67FE65E5"/>
    <w:rsid w:val="680B3AE8"/>
    <w:rsid w:val="68142C42"/>
    <w:rsid w:val="68211702"/>
    <w:rsid w:val="68251AF2"/>
    <w:rsid w:val="682C2E56"/>
    <w:rsid w:val="682F4817"/>
    <w:rsid w:val="682F72B6"/>
    <w:rsid w:val="68374B3E"/>
    <w:rsid w:val="683E3F6D"/>
    <w:rsid w:val="684132CA"/>
    <w:rsid w:val="684150B9"/>
    <w:rsid w:val="684B2566"/>
    <w:rsid w:val="684C08D5"/>
    <w:rsid w:val="684C4656"/>
    <w:rsid w:val="68522F5F"/>
    <w:rsid w:val="685425F2"/>
    <w:rsid w:val="6859633D"/>
    <w:rsid w:val="68603D07"/>
    <w:rsid w:val="6862145C"/>
    <w:rsid w:val="686E6BA9"/>
    <w:rsid w:val="686F5A96"/>
    <w:rsid w:val="6872337C"/>
    <w:rsid w:val="68792FE0"/>
    <w:rsid w:val="687F2AFC"/>
    <w:rsid w:val="68831B76"/>
    <w:rsid w:val="6884127F"/>
    <w:rsid w:val="68862932"/>
    <w:rsid w:val="68877B36"/>
    <w:rsid w:val="68957EF1"/>
    <w:rsid w:val="689A48B8"/>
    <w:rsid w:val="689B3806"/>
    <w:rsid w:val="689B615F"/>
    <w:rsid w:val="68A94183"/>
    <w:rsid w:val="68AB2E7A"/>
    <w:rsid w:val="68AD13A8"/>
    <w:rsid w:val="68BB591D"/>
    <w:rsid w:val="68C6660C"/>
    <w:rsid w:val="68CB1EE9"/>
    <w:rsid w:val="68D7726A"/>
    <w:rsid w:val="68D834CC"/>
    <w:rsid w:val="68DB27A2"/>
    <w:rsid w:val="68E8526A"/>
    <w:rsid w:val="68F26EDF"/>
    <w:rsid w:val="68F821E4"/>
    <w:rsid w:val="68F90096"/>
    <w:rsid w:val="68FD1868"/>
    <w:rsid w:val="68FF3987"/>
    <w:rsid w:val="6907401F"/>
    <w:rsid w:val="69122C87"/>
    <w:rsid w:val="69144B99"/>
    <w:rsid w:val="691C27EF"/>
    <w:rsid w:val="691E4D6F"/>
    <w:rsid w:val="692844CB"/>
    <w:rsid w:val="692A6937"/>
    <w:rsid w:val="693B0AB6"/>
    <w:rsid w:val="693C3FF3"/>
    <w:rsid w:val="693E3DB9"/>
    <w:rsid w:val="69413FBC"/>
    <w:rsid w:val="6945517B"/>
    <w:rsid w:val="69477BA3"/>
    <w:rsid w:val="694806C9"/>
    <w:rsid w:val="69657E7B"/>
    <w:rsid w:val="6966251A"/>
    <w:rsid w:val="6968767C"/>
    <w:rsid w:val="69712A1E"/>
    <w:rsid w:val="698015DF"/>
    <w:rsid w:val="698E333C"/>
    <w:rsid w:val="69932F94"/>
    <w:rsid w:val="699D27C3"/>
    <w:rsid w:val="69A32C06"/>
    <w:rsid w:val="69A34E76"/>
    <w:rsid w:val="69A5373A"/>
    <w:rsid w:val="69C24C50"/>
    <w:rsid w:val="69CF2EA8"/>
    <w:rsid w:val="69D219E4"/>
    <w:rsid w:val="69E0668A"/>
    <w:rsid w:val="69E307E7"/>
    <w:rsid w:val="69F83C2F"/>
    <w:rsid w:val="69F83F48"/>
    <w:rsid w:val="69F942E4"/>
    <w:rsid w:val="69FB017C"/>
    <w:rsid w:val="69FB3637"/>
    <w:rsid w:val="6A057367"/>
    <w:rsid w:val="6A0F4EAE"/>
    <w:rsid w:val="6A1644F9"/>
    <w:rsid w:val="6A1715DA"/>
    <w:rsid w:val="6A17753D"/>
    <w:rsid w:val="6A1954FA"/>
    <w:rsid w:val="6A1B3C72"/>
    <w:rsid w:val="6A1C16BF"/>
    <w:rsid w:val="6A207437"/>
    <w:rsid w:val="6A222792"/>
    <w:rsid w:val="6A2A7ACE"/>
    <w:rsid w:val="6A3C6480"/>
    <w:rsid w:val="6A415844"/>
    <w:rsid w:val="6A4650EE"/>
    <w:rsid w:val="6A5539B2"/>
    <w:rsid w:val="6A62452F"/>
    <w:rsid w:val="6A633A0D"/>
    <w:rsid w:val="6A76155C"/>
    <w:rsid w:val="6A7705D5"/>
    <w:rsid w:val="6A781D4D"/>
    <w:rsid w:val="6A7B4B25"/>
    <w:rsid w:val="6A7D3904"/>
    <w:rsid w:val="6A7D5B2D"/>
    <w:rsid w:val="6A7E7B68"/>
    <w:rsid w:val="6A927C8C"/>
    <w:rsid w:val="6A933447"/>
    <w:rsid w:val="6A9338B0"/>
    <w:rsid w:val="6A962A1C"/>
    <w:rsid w:val="6A9863B2"/>
    <w:rsid w:val="6A9B32B9"/>
    <w:rsid w:val="6A9D1507"/>
    <w:rsid w:val="6A9E4BEF"/>
    <w:rsid w:val="6AAF3C2C"/>
    <w:rsid w:val="6AB815BA"/>
    <w:rsid w:val="6ACD05C7"/>
    <w:rsid w:val="6AD10E0A"/>
    <w:rsid w:val="6AE67B40"/>
    <w:rsid w:val="6AF532AF"/>
    <w:rsid w:val="6AF85BD2"/>
    <w:rsid w:val="6B00096A"/>
    <w:rsid w:val="6B10343F"/>
    <w:rsid w:val="6B2A0087"/>
    <w:rsid w:val="6B2B6E20"/>
    <w:rsid w:val="6B3A709F"/>
    <w:rsid w:val="6B41480A"/>
    <w:rsid w:val="6B483077"/>
    <w:rsid w:val="6B4F3947"/>
    <w:rsid w:val="6B533A81"/>
    <w:rsid w:val="6B5639C9"/>
    <w:rsid w:val="6B566DE5"/>
    <w:rsid w:val="6B590827"/>
    <w:rsid w:val="6B656F8C"/>
    <w:rsid w:val="6B6D4417"/>
    <w:rsid w:val="6B7610F1"/>
    <w:rsid w:val="6B7943DA"/>
    <w:rsid w:val="6B796C1E"/>
    <w:rsid w:val="6B7F7702"/>
    <w:rsid w:val="6B8337E1"/>
    <w:rsid w:val="6B862C3A"/>
    <w:rsid w:val="6B8926B9"/>
    <w:rsid w:val="6B8C0D41"/>
    <w:rsid w:val="6B8D38E9"/>
    <w:rsid w:val="6B8E69EC"/>
    <w:rsid w:val="6B9036E3"/>
    <w:rsid w:val="6B9E2435"/>
    <w:rsid w:val="6B9E2F8E"/>
    <w:rsid w:val="6BA35268"/>
    <w:rsid w:val="6BA50F78"/>
    <w:rsid w:val="6BAE1909"/>
    <w:rsid w:val="6BAF05BF"/>
    <w:rsid w:val="6BB23A1B"/>
    <w:rsid w:val="6BC075E4"/>
    <w:rsid w:val="6BC15D13"/>
    <w:rsid w:val="6BC81F95"/>
    <w:rsid w:val="6BC93D43"/>
    <w:rsid w:val="6BD12532"/>
    <w:rsid w:val="6BD33AC2"/>
    <w:rsid w:val="6BD829D5"/>
    <w:rsid w:val="6BD82A45"/>
    <w:rsid w:val="6BD83DD2"/>
    <w:rsid w:val="6BED020B"/>
    <w:rsid w:val="6BEE3869"/>
    <w:rsid w:val="6BF0449F"/>
    <w:rsid w:val="6BFF59B7"/>
    <w:rsid w:val="6C016918"/>
    <w:rsid w:val="6C020AAA"/>
    <w:rsid w:val="6C0314F3"/>
    <w:rsid w:val="6C0963E6"/>
    <w:rsid w:val="6C156049"/>
    <w:rsid w:val="6C24785C"/>
    <w:rsid w:val="6C29676B"/>
    <w:rsid w:val="6C301562"/>
    <w:rsid w:val="6C314586"/>
    <w:rsid w:val="6C351441"/>
    <w:rsid w:val="6C3767E8"/>
    <w:rsid w:val="6C3832C3"/>
    <w:rsid w:val="6C472EBA"/>
    <w:rsid w:val="6C54431E"/>
    <w:rsid w:val="6C547349"/>
    <w:rsid w:val="6C5815E9"/>
    <w:rsid w:val="6C5C7A2B"/>
    <w:rsid w:val="6C611D9F"/>
    <w:rsid w:val="6C641D5D"/>
    <w:rsid w:val="6C6C09E4"/>
    <w:rsid w:val="6C754D1B"/>
    <w:rsid w:val="6C76746B"/>
    <w:rsid w:val="6C7F0BBC"/>
    <w:rsid w:val="6C8949C2"/>
    <w:rsid w:val="6C895B91"/>
    <w:rsid w:val="6C8D056C"/>
    <w:rsid w:val="6C946FE5"/>
    <w:rsid w:val="6CAD31C9"/>
    <w:rsid w:val="6CAE035D"/>
    <w:rsid w:val="6CB3375A"/>
    <w:rsid w:val="6CB40570"/>
    <w:rsid w:val="6CC14028"/>
    <w:rsid w:val="6CCD3198"/>
    <w:rsid w:val="6CDA6D5E"/>
    <w:rsid w:val="6CDD4570"/>
    <w:rsid w:val="6CE34344"/>
    <w:rsid w:val="6CE70B10"/>
    <w:rsid w:val="6CED683E"/>
    <w:rsid w:val="6CF10122"/>
    <w:rsid w:val="6CF272CA"/>
    <w:rsid w:val="6CFC6BCF"/>
    <w:rsid w:val="6D04603C"/>
    <w:rsid w:val="6D096AD0"/>
    <w:rsid w:val="6D1521D0"/>
    <w:rsid w:val="6D2911F1"/>
    <w:rsid w:val="6D2C2592"/>
    <w:rsid w:val="6D2E4990"/>
    <w:rsid w:val="6D3726C0"/>
    <w:rsid w:val="6D3C66A0"/>
    <w:rsid w:val="6D416490"/>
    <w:rsid w:val="6D464F20"/>
    <w:rsid w:val="6D472DBB"/>
    <w:rsid w:val="6D497853"/>
    <w:rsid w:val="6D4F2B49"/>
    <w:rsid w:val="6D503CCD"/>
    <w:rsid w:val="6D5917C0"/>
    <w:rsid w:val="6D621AC7"/>
    <w:rsid w:val="6D6276A5"/>
    <w:rsid w:val="6D6E3C10"/>
    <w:rsid w:val="6D745F31"/>
    <w:rsid w:val="6D8861C8"/>
    <w:rsid w:val="6D8C6C3D"/>
    <w:rsid w:val="6D8E6794"/>
    <w:rsid w:val="6D990756"/>
    <w:rsid w:val="6D9D39E0"/>
    <w:rsid w:val="6D9E097B"/>
    <w:rsid w:val="6DA450C2"/>
    <w:rsid w:val="6DA71CB8"/>
    <w:rsid w:val="6DAC133A"/>
    <w:rsid w:val="6DB16051"/>
    <w:rsid w:val="6DC32397"/>
    <w:rsid w:val="6DC81E31"/>
    <w:rsid w:val="6DC8790F"/>
    <w:rsid w:val="6DD1052B"/>
    <w:rsid w:val="6DE127E2"/>
    <w:rsid w:val="6DE309C1"/>
    <w:rsid w:val="6DE44E65"/>
    <w:rsid w:val="6DE805DD"/>
    <w:rsid w:val="6DEB3BCA"/>
    <w:rsid w:val="6DEF2630"/>
    <w:rsid w:val="6DF62778"/>
    <w:rsid w:val="6E003712"/>
    <w:rsid w:val="6E0E6DC5"/>
    <w:rsid w:val="6E186523"/>
    <w:rsid w:val="6E1B63AC"/>
    <w:rsid w:val="6E1C7427"/>
    <w:rsid w:val="6E1E6BB2"/>
    <w:rsid w:val="6E272FF6"/>
    <w:rsid w:val="6E2B3AC6"/>
    <w:rsid w:val="6E2F723D"/>
    <w:rsid w:val="6E321719"/>
    <w:rsid w:val="6E430CCA"/>
    <w:rsid w:val="6E4362DB"/>
    <w:rsid w:val="6E436722"/>
    <w:rsid w:val="6E4A66D4"/>
    <w:rsid w:val="6E540CC2"/>
    <w:rsid w:val="6E5638D5"/>
    <w:rsid w:val="6E6555C0"/>
    <w:rsid w:val="6E680567"/>
    <w:rsid w:val="6E690A0C"/>
    <w:rsid w:val="6E6F0B51"/>
    <w:rsid w:val="6E736222"/>
    <w:rsid w:val="6E76578E"/>
    <w:rsid w:val="6E7F2FDF"/>
    <w:rsid w:val="6E821D4B"/>
    <w:rsid w:val="6E861329"/>
    <w:rsid w:val="6E8E42B8"/>
    <w:rsid w:val="6E922461"/>
    <w:rsid w:val="6E93235C"/>
    <w:rsid w:val="6E9744B0"/>
    <w:rsid w:val="6E9B7E98"/>
    <w:rsid w:val="6E9C129B"/>
    <w:rsid w:val="6E9F150B"/>
    <w:rsid w:val="6EA171C8"/>
    <w:rsid w:val="6EB544FE"/>
    <w:rsid w:val="6EBE2657"/>
    <w:rsid w:val="6EC63FA0"/>
    <w:rsid w:val="6ED07012"/>
    <w:rsid w:val="6ED231BF"/>
    <w:rsid w:val="6ED87803"/>
    <w:rsid w:val="6EE10092"/>
    <w:rsid w:val="6EEA6B63"/>
    <w:rsid w:val="6EEC002D"/>
    <w:rsid w:val="6EED3F0C"/>
    <w:rsid w:val="6EFB1AC8"/>
    <w:rsid w:val="6F0D69E2"/>
    <w:rsid w:val="6F137EE5"/>
    <w:rsid w:val="6F1534DE"/>
    <w:rsid w:val="6F251C50"/>
    <w:rsid w:val="6F276F30"/>
    <w:rsid w:val="6F287007"/>
    <w:rsid w:val="6F2A2D4B"/>
    <w:rsid w:val="6F2E5E13"/>
    <w:rsid w:val="6F377280"/>
    <w:rsid w:val="6F392B85"/>
    <w:rsid w:val="6F397E6E"/>
    <w:rsid w:val="6F3B319B"/>
    <w:rsid w:val="6F400178"/>
    <w:rsid w:val="6F457B85"/>
    <w:rsid w:val="6F472897"/>
    <w:rsid w:val="6F4D02D8"/>
    <w:rsid w:val="6F4D2C81"/>
    <w:rsid w:val="6F543A4F"/>
    <w:rsid w:val="6F547DC8"/>
    <w:rsid w:val="6F56421B"/>
    <w:rsid w:val="6F6067E3"/>
    <w:rsid w:val="6F615253"/>
    <w:rsid w:val="6F6B6EC0"/>
    <w:rsid w:val="6F6C1C36"/>
    <w:rsid w:val="6F733FF6"/>
    <w:rsid w:val="6F7F6B9A"/>
    <w:rsid w:val="6F8075AE"/>
    <w:rsid w:val="6F854425"/>
    <w:rsid w:val="6F865B99"/>
    <w:rsid w:val="6F8B1310"/>
    <w:rsid w:val="6F8D6E36"/>
    <w:rsid w:val="6F9057F2"/>
    <w:rsid w:val="6FA17F92"/>
    <w:rsid w:val="6FA348AB"/>
    <w:rsid w:val="6FBB00FB"/>
    <w:rsid w:val="6FC44923"/>
    <w:rsid w:val="6FC8574F"/>
    <w:rsid w:val="6FC96F1C"/>
    <w:rsid w:val="6FD007E8"/>
    <w:rsid w:val="6FD139D6"/>
    <w:rsid w:val="6FDE1873"/>
    <w:rsid w:val="6FDF2E03"/>
    <w:rsid w:val="6FE23626"/>
    <w:rsid w:val="6FE55D23"/>
    <w:rsid w:val="6FF04B68"/>
    <w:rsid w:val="7008166F"/>
    <w:rsid w:val="70084D44"/>
    <w:rsid w:val="700F3CEF"/>
    <w:rsid w:val="700F6510"/>
    <w:rsid w:val="70124CB8"/>
    <w:rsid w:val="70195E4B"/>
    <w:rsid w:val="701C2670"/>
    <w:rsid w:val="701D465E"/>
    <w:rsid w:val="702B6081"/>
    <w:rsid w:val="702F38CC"/>
    <w:rsid w:val="7036127C"/>
    <w:rsid w:val="703C6BF4"/>
    <w:rsid w:val="703E3A80"/>
    <w:rsid w:val="70500EE6"/>
    <w:rsid w:val="70560679"/>
    <w:rsid w:val="70560AF5"/>
    <w:rsid w:val="70574571"/>
    <w:rsid w:val="705A3773"/>
    <w:rsid w:val="705B0349"/>
    <w:rsid w:val="70652B3B"/>
    <w:rsid w:val="706607C8"/>
    <w:rsid w:val="707E6762"/>
    <w:rsid w:val="70815EDC"/>
    <w:rsid w:val="70863262"/>
    <w:rsid w:val="70881BF5"/>
    <w:rsid w:val="708C4D52"/>
    <w:rsid w:val="7090589C"/>
    <w:rsid w:val="70A9033D"/>
    <w:rsid w:val="70AB1B08"/>
    <w:rsid w:val="70B10F13"/>
    <w:rsid w:val="70C03F20"/>
    <w:rsid w:val="70C8375D"/>
    <w:rsid w:val="70CE4E3B"/>
    <w:rsid w:val="70CF3CE3"/>
    <w:rsid w:val="70D73EE8"/>
    <w:rsid w:val="70E100B2"/>
    <w:rsid w:val="70E7534D"/>
    <w:rsid w:val="70EC786C"/>
    <w:rsid w:val="70EE6362"/>
    <w:rsid w:val="70EF24D1"/>
    <w:rsid w:val="70F00F54"/>
    <w:rsid w:val="70F6724E"/>
    <w:rsid w:val="710412E1"/>
    <w:rsid w:val="71071663"/>
    <w:rsid w:val="710E26A8"/>
    <w:rsid w:val="71253EFC"/>
    <w:rsid w:val="712649AC"/>
    <w:rsid w:val="71290FDF"/>
    <w:rsid w:val="712A0903"/>
    <w:rsid w:val="712E0EAD"/>
    <w:rsid w:val="71326BCA"/>
    <w:rsid w:val="71375311"/>
    <w:rsid w:val="713D5B47"/>
    <w:rsid w:val="713E68F1"/>
    <w:rsid w:val="71476207"/>
    <w:rsid w:val="714B43C4"/>
    <w:rsid w:val="715A3996"/>
    <w:rsid w:val="716774D2"/>
    <w:rsid w:val="716A21B6"/>
    <w:rsid w:val="716C38B3"/>
    <w:rsid w:val="716F14D3"/>
    <w:rsid w:val="7171617D"/>
    <w:rsid w:val="7173622B"/>
    <w:rsid w:val="71741E36"/>
    <w:rsid w:val="717764CC"/>
    <w:rsid w:val="717E737E"/>
    <w:rsid w:val="717E7E33"/>
    <w:rsid w:val="718129CA"/>
    <w:rsid w:val="718B636A"/>
    <w:rsid w:val="718E7B48"/>
    <w:rsid w:val="719129D8"/>
    <w:rsid w:val="719D3F71"/>
    <w:rsid w:val="71A319BF"/>
    <w:rsid w:val="71AC37BE"/>
    <w:rsid w:val="71AC6537"/>
    <w:rsid w:val="71B37F22"/>
    <w:rsid w:val="71B54FF6"/>
    <w:rsid w:val="71B83651"/>
    <w:rsid w:val="71B921CC"/>
    <w:rsid w:val="71C160A7"/>
    <w:rsid w:val="71C23FC0"/>
    <w:rsid w:val="71D46F9E"/>
    <w:rsid w:val="71D9349C"/>
    <w:rsid w:val="71DF6257"/>
    <w:rsid w:val="71E5366B"/>
    <w:rsid w:val="71EA6D75"/>
    <w:rsid w:val="71EE0541"/>
    <w:rsid w:val="71F159EA"/>
    <w:rsid w:val="71FB7E39"/>
    <w:rsid w:val="720024E5"/>
    <w:rsid w:val="72125036"/>
    <w:rsid w:val="72135482"/>
    <w:rsid w:val="721703BF"/>
    <w:rsid w:val="72172AA6"/>
    <w:rsid w:val="721E4830"/>
    <w:rsid w:val="721E571E"/>
    <w:rsid w:val="7222156A"/>
    <w:rsid w:val="7229540F"/>
    <w:rsid w:val="722A0FD4"/>
    <w:rsid w:val="722E2B52"/>
    <w:rsid w:val="723643B1"/>
    <w:rsid w:val="72387B3D"/>
    <w:rsid w:val="72477FB3"/>
    <w:rsid w:val="7258197D"/>
    <w:rsid w:val="725A20A2"/>
    <w:rsid w:val="72633D65"/>
    <w:rsid w:val="72637F90"/>
    <w:rsid w:val="72750E8C"/>
    <w:rsid w:val="72794B03"/>
    <w:rsid w:val="728812A1"/>
    <w:rsid w:val="729A0E8C"/>
    <w:rsid w:val="72A90FFE"/>
    <w:rsid w:val="72AB1FF7"/>
    <w:rsid w:val="72AD36F5"/>
    <w:rsid w:val="72AD430D"/>
    <w:rsid w:val="72B0386B"/>
    <w:rsid w:val="72BE7F0C"/>
    <w:rsid w:val="72C07522"/>
    <w:rsid w:val="72D57E12"/>
    <w:rsid w:val="72DB7369"/>
    <w:rsid w:val="72DC6EF5"/>
    <w:rsid w:val="72E51D4B"/>
    <w:rsid w:val="72F31107"/>
    <w:rsid w:val="72F72046"/>
    <w:rsid w:val="72F971FE"/>
    <w:rsid w:val="72FB5356"/>
    <w:rsid w:val="72FE60E2"/>
    <w:rsid w:val="73010267"/>
    <w:rsid w:val="730612B9"/>
    <w:rsid w:val="7306469D"/>
    <w:rsid w:val="73113944"/>
    <w:rsid w:val="73227203"/>
    <w:rsid w:val="73250B9A"/>
    <w:rsid w:val="73277977"/>
    <w:rsid w:val="732A5F17"/>
    <w:rsid w:val="73323206"/>
    <w:rsid w:val="7334739B"/>
    <w:rsid w:val="733A0D89"/>
    <w:rsid w:val="733B2E5C"/>
    <w:rsid w:val="73443F73"/>
    <w:rsid w:val="73502D3D"/>
    <w:rsid w:val="7375604E"/>
    <w:rsid w:val="73805F5C"/>
    <w:rsid w:val="73824117"/>
    <w:rsid w:val="73830C7C"/>
    <w:rsid w:val="738B10AD"/>
    <w:rsid w:val="738C2135"/>
    <w:rsid w:val="738C6F42"/>
    <w:rsid w:val="739E2C01"/>
    <w:rsid w:val="73A027B5"/>
    <w:rsid w:val="73A069A0"/>
    <w:rsid w:val="73A77539"/>
    <w:rsid w:val="73A971C4"/>
    <w:rsid w:val="73AA36D0"/>
    <w:rsid w:val="73DD40A3"/>
    <w:rsid w:val="73EB179F"/>
    <w:rsid w:val="73F20825"/>
    <w:rsid w:val="73F531FC"/>
    <w:rsid w:val="740530F8"/>
    <w:rsid w:val="74081F79"/>
    <w:rsid w:val="740A33BB"/>
    <w:rsid w:val="740B34DF"/>
    <w:rsid w:val="74141610"/>
    <w:rsid w:val="741C69DA"/>
    <w:rsid w:val="7423721C"/>
    <w:rsid w:val="742800B4"/>
    <w:rsid w:val="742B03C9"/>
    <w:rsid w:val="742D27FD"/>
    <w:rsid w:val="74335A84"/>
    <w:rsid w:val="74464405"/>
    <w:rsid w:val="74477916"/>
    <w:rsid w:val="744855ED"/>
    <w:rsid w:val="74500577"/>
    <w:rsid w:val="745413E9"/>
    <w:rsid w:val="74541DF4"/>
    <w:rsid w:val="745C18ED"/>
    <w:rsid w:val="74635E82"/>
    <w:rsid w:val="746C1DEC"/>
    <w:rsid w:val="74725B06"/>
    <w:rsid w:val="747B0F9B"/>
    <w:rsid w:val="747F7BDB"/>
    <w:rsid w:val="74852AD5"/>
    <w:rsid w:val="748A5C09"/>
    <w:rsid w:val="748E1901"/>
    <w:rsid w:val="749B0247"/>
    <w:rsid w:val="74A53DBB"/>
    <w:rsid w:val="74B8108F"/>
    <w:rsid w:val="74BB7743"/>
    <w:rsid w:val="74BF39F4"/>
    <w:rsid w:val="74C46BCF"/>
    <w:rsid w:val="74C77880"/>
    <w:rsid w:val="74CB3567"/>
    <w:rsid w:val="74CB5147"/>
    <w:rsid w:val="74CD50CC"/>
    <w:rsid w:val="74CE23CA"/>
    <w:rsid w:val="74D81898"/>
    <w:rsid w:val="74DD28F6"/>
    <w:rsid w:val="74E00D5E"/>
    <w:rsid w:val="74E17306"/>
    <w:rsid w:val="74E20FCC"/>
    <w:rsid w:val="74E405D9"/>
    <w:rsid w:val="74E65729"/>
    <w:rsid w:val="74EB2C29"/>
    <w:rsid w:val="74F37BB0"/>
    <w:rsid w:val="74F51CC7"/>
    <w:rsid w:val="750171AA"/>
    <w:rsid w:val="750C21B7"/>
    <w:rsid w:val="750F2321"/>
    <w:rsid w:val="751373E6"/>
    <w:rsid w:val="7516344C"/>
    <w:rsid w:val="751B184D"/>
    <w:rsid w:val="751E69FC"/>
    <w:rsid w:val="752A572D"/>
    <w:rsid w:val="7530273D"/>
    <w:rsid w:val="75324BA4"/>
    <w:rsid w:val="7534125F"/>
    <w:rsid w:val="75377F50"/>
    <w:rsid w:val="753D46DC"/>
    <w:rsid w:val="753F4D10"/>
    <w:rsid w:val="75433111"/>
    <w:rsid w:val="754835F6"/>
    <w:rsid w:val="754B1541"/>
    <w:rsid w:val="75524EC4"/>
    <w:rsid w:val="755F5691"/>
    <w:rsid w:val="75603D7E"/>
    <w:rsid w:val="75644571"/>
    <w:rsid w:val="756A5BF0"/>
    <w:rsid w:val="756E5292"/>
    <w:rsid w:val="7581286E"/>
    <w:rsid w:val="7583021F"/>
    <w:rsid w:val="75834F63"/>
    <w:rsid w:val="7586168D"/>
    <w:rsid w:val="758962F1"/>
    <w:rsid w:val="75944D28"/>
    <w:rsid w:val="75996A39"/>
    <w:rsid w:val="759E3FE6"/>
    <w:rsid w:val="75A629FF"/>
    <w:rsid w:val="75B0061C"/>
    <w:rsid w:val="75B337A6"/>
    <w:rsid w:val="75BA2FBE"/>
    <w:rsid w:val="75BC03FC"/>
    <w:rsid w:val="75BE73A3"/>
    <w:rsid w:val="75CC1B21"/>
    <w:rsid w:val="75CF2BE8"/>
    <w:rsid w:val="75DC4E4E"/>
    <w:rsid w:val="75DC52D4"/>
    <w:rsid w:val="75E07BEB"/>
    <w:rsid w:val="75E3543F"/>
    <w:rsid w:val="75E54DAC"/>
    <w:rsid w:val="75E5566B"/>
    <w:rsid w:val="75E7270A"/>
    <w:rsid w:val="75EA7A34"/>
    <w:rsid w:val="75F74FFB"/>
    <w:rsid w:val="75FB422C"/>
    <w:rsid w:val="760049CC"/>
    <w:rsid w:val="76067417"/>
    <w:rsid w:val="760B00DA"/>
    <w:rsid w:val="760C06EF"/>
    <w:rsid w:val="760D3B3A"/>
    <w:rsid w:val="761121A2"/>
    <w:rsid w:val="76171B72"/>
    <w:rsid w:val="76172B34"/>
    <w:rsid w:val="762C05BD"/>
    <w:rsid w:val="76361053"/>
    <w:rsid w:val="763A6B4F"/>
    <w:rsid w:val="763E1D63"/>
    <w:rsid w:val="763E725C"/>
    <w:rsid w:val="764451E4"/>
    <w:rsid w:val="764741E2"/>
    <w:rsid w:val="764946B4"/>
    <w:rsid w:val="76510FAB"/>
    <w:rsid w:val="765B263C"/>
    <w:rsid w:val="765D48BC"/>
    <w:rsid w:val="7663581E"/>
    <w:rsid w:val="76732680"/>
    <w:rsid w:val="767474B5"/>
    <w:rsid w:val="767D10C0"/>
    <w:rsid w:val="767F546B"/>
    <w:rsid w:val="76911E55"/>
    <w:rsid w:val="76930181"/>
    <w:rsid w:val="769A6A08"/>
    <w:rsid w:val="76A03431"/>
    <w:rsid w:val="76A90A23"/>
    <w:rsid w:val="76BA5774"/>
    <w:rsid w:val="76BF56C3"/>
    <w:rsid w:val="76D96E9F"/>
    <w:rsid w:val="76E27413"/>
    <w:rsid w:val="76F45B56"/>
    <w:rsid w:val="76F84227"/>
    <w:rsid w:val="77013629"/>
    <w:rsid w:val="77037255"/>
    <w:rsid w:val="770B6946"/>
    <w:rsid w:val="770E489B"/>
    <w:rsid w:val="77112A42"/>
    <w:rsid w:val="77191C5B"/>
    <w:rsid w:val="7720317E"/>
    <w:rsid w:val="77260AF8"/>
    <w:rsid w:val="7728394F"/>
    <w:rsid w:val="772E6EEE"/>
    <w:rsid w:val="773225B0"/>
    <w:rsid w:val="773B2A8D"/>
    <w:rsid w:val="77411144"/>
    <w:rsid w:val="77435FF8"/>
    <w:rsid w:val="7746253D"/>
    <w:rsid w:val="77521AFC"/>
    <w:rsid w:val="775748F9"/>
    <w:rsid w:val="775B73C3"/>
    <w:rsid w:val="77615EA5"/>
    <w:rsid w:val="776B3F01"/>
    <w:rsid w:val="777A4F42"/>
    <w:rsid w:val="777E599F"/>
    <w:rsid w:val="778B00FF"/>
    <w:rsid w:val="77A20A34"/>
    <w:rsid w:val="77A24F38"/>
    <w:rsid w:val="77A8713B"/>
    <w:rsid w:val="77AF423F"/>
    <w:rsid w:val="77C33D3D"/>
    <w:rsid w:val="77C90F20"/>
    <w:rsid w:val="77CA25B9"/>
    <w:rsid w:val="77CD27D4"/>
    <w:rsid w:val="77D45835"/>
    <w:rsid w:val="77E0528E"/>
    <w:rsid w:val="77E16728"/>
    <w:rsid w:val="77ED43AE"/>
    <w:rsid w:val="77F63C2B"/>
    <w:rsid w:val="77F82164"/>
    <w:rsid w:val="77FC3B8A"/>
    <w:rsid w:val="77FC7372"/>
    <w:rsid w:val="780107FD"/>
    <w:rsid w:val="78012A37"/>
    <w:rsid w:val="78042C72"/>
    <w:rsid w:val="780B2FB2"/>
    <w:rsid w:val="780F4374"/>
    <w:rsid w:val="781D2628"/>
    <w:rsid w:val="781E5417"/>
    <w:rsid w:val="782574E9"/>
    <w:rsid w:val="78265370"/>
    <w:rsid w:val="782C6E7D"/>
    <w:rsid w:val="783254D8"/>
    <w:rsid w:val="783B5003"/>
    <w:rsid w:val="783C6CA8"/>
    <w:rsid w:val="783F08BC"/>
    <w:rsid w:val="784B2187"/>
    <w:rsid w:val="784D2CE8"/>
    <w:rsid w:val="785247C1"/>
    <w:rsid w:val="78546C71"/>
    <w:rsid w:val="785D2031"/>
    <w:rsid w:val="785D6B1E"/>
    <w:rsid w:val="7866409C"/>
    <w:rsid w:val="78692DEA"/>
    <w:rsid w:val="786F4ADC"/>
    <w:rsid w:val="7872455C"/>
    <w:rsid w:val="787905FB"/>
    <w:rsid w:val="787A293A"/>
    <w:rsid w:val="78874250"/>
    <w:rsid w:val="788D02E6"/>
    <w:rsid w:val="7892370F"/>
    <w:rsid w:val="78936044"/>
    <w:rsid w:val="7894294B"/>
    <w:rsid w:val="78955BC6"/>
    <w:rsid w:val="78980789"/>
    <w:rsid w:val="78981AE3"/>
    <w:rsid w:val="78A230DC"/>
    <w:rsid w:val="78A43FAC"/>
    <w:rsid w:val="78A67707"/>
    <w:rsid w:val="78A7034B"/>
    <w:rsid w:val="78B25981"/>
    <w:rsid w:val="78B85B32"/>
    <w:rsid w:val="78C20A4C"/>
    <w:rsid w:val="78CC04D8"/>
    <w:rsid w:val="78CC0CB5"/>
    <w:rsid w:val="78D0772A"/>
    <w:rsid w:val="78D37FAF"/>
    <w:rsid w:val="78D7420B"/>
    <w:rsid w:val="78E068EC"/>
    <w:rsid w:val="78EC1F8D"/>
    <w:rsid w:val="78ED1061"/>
    <w:rsid w:val="78EF0B61"/>
    <w:rsid w:val="78F356BD"/>
    <w:rsid w:val="78F46178"/>
    <w:rsid w:val="78FE29E7"/>
    <w:rsid w:val="78FE47E0"/>
    <w:rsid w:val="790003F4"/>
    <w:rsid w:val="7909200A"/>
    <w:rsid w:val="7909470E"/>
    <w:rsid w:val="790B082C"/>
    <w:rsid w:val="791E0496"/>
    <w:rsid w:val="79461C05"/>
    <w:rsid w:val="79502A95"/>
    <w:rsid w:val="79532313"/>
    <w:rsid w:val="795501F2"/>
    <w:rsid w:val="795646B4"/>
    <w:rsid w:val="795A5FDB"/>
    <w:rsid w:val="796424E3"/>
    <w:rsid w:val="796E041E"/>
    <w:rsid w:val="79711C70"/>
    <w:rsid w:val="798B1341"/>
    <w:rsid w:val="798B2638"/>
    <w:rsid w:val="79917AC0"/>
    <w:rsid w:val="7992328F"/>
    <w:rsid w:val="79923426"/>
    <w:rsid w:val="79943050"/>
    <w:rsid w:val="799A4377"/>
    <w:rsid w:val="799E32A8"/>
    <w:rsid w:val="79A33B72"/>
    <w:rsid w:val="79B03058"/>
    <w:rsid w:val="79B33A61"/>
    <w:rsid w:val="79B6781E"/>
    <w:rsid w:val="79C4363D"/>
    <w:rsid w:val="79C7027F"/>
    <w:rsid w:val="79D60FDB"/>
    <w:rsid w:val="79D7762B"/>
    <w:rsid w:val="79D83E99"/>
    <w:rsid w:val="79E66BD4"/>
    <w:rsid w:val="79E75306"/>
    <w:rsid w:val="79EC04C7"/>
    <w:rsid w:val="79FA59C8"/>
    <w:rsid w:val="79FE04BE"/>
    <w:rsid w:val="7A0E2547"/>
    <w:rsid w:val="7A1E175C"/>
    <w:rsid w:val="7A211A94"/>
    <w:rsid w:val="7A236D15"/>
    <w:rsid w:val="7A28257D"/>
    <w:rsid w:val="7A2B7977"/>
    <w:rsid w:val="7A425E4F"/>
    <w:rsid w:val="7A4B616A"/>
    <w:rsid w:val="7A4C55E3"/>
    <w:rsid w:val="7A4D526C"/>
    <w:rsid w:val="7A4F07DB"/>
    <w:rsid w:val="7A546E52"/>
    <w:rsid w:val="7A55362A"/>
    <w:rsid w:val="7A581DFF"/>
    <w:rsid w:val="7A5C1CD5"/>
    <w:rsid w:val="7A7533DE"/>
    <w:rsid w:val="7A7C56AB"/>
    <w:rsid w:val="7A7F6834"/>
    <w:rsid w:val="7A825845"/>
    <w:rsid w:val="7A86075F"/>
    <w:rsid w:val="7A8749E9"/>
    <w:rsid w:val="7A883EB7"/>
    <w:rsid w:val="7A94551C"/>
    <w:rsid w:val="7A9D4606"/>
    <w:rsid w:val="7AA339B1"/>
    <w:rsid w:val="7AAB5094"/>
    <w:rsid w:val="7AB13B5E"/>
    <w:rsid w:val="7ABD67DD"/>
    <w:rsid w:val="7ACF2BFA"/>
    <w:rsid w:val="7ADB15DB"/>
    <w:rsid w:val="7ADC599F"/>
    <w:rsid w:val="7ADD1E9A"/>
    <w:rsid w:val="7AFB1129"/>
    <w:rsid w:val="7AFF6164"/>
    <w:rsid w:val="7B037996"/>
    <w:rsid w:val="7B0F7008"/>
    <w:rsid w:val="7B114932"/>
    <w:rsid w:val="7B1D504A"/>
    <w:rsid w:val="7B1E128A"/>
    <w:rsid w:val="7B1E2E3D"/>
    <w:rsid w:val="7B26404A"/>
    <w:rsid w:val="7B2F0C38"/>
    <w:rsid w:val="7B2F16E9"/>
    <w:rsid w:val="7B3038C4"/>
    <w:rsid w:val="7B346EFB"/>
    <w:rsid w:val="7B3F69CB"/>
    <w:rsid w:val="7B4126FA"/>
    <w:rsid w:val="7B4445E8"/>
    <w:rsid w:val="7B464A8D"/>
    <w:rsid w:val="7B4F7B13"/>
    <w:rsid w:val="7B593826"/>
    <w:rsid w:val="7B716271"/>
    <w:rsid w:val="7B727C2E"/>
    <w:rsid w:val="7B737644"/>
    <w:rsid w:val="7B841759"/>
    <w:rsid w:val="7B892D7F"/>
    <w:rsid w:val="7B8A2EA1"/>
    <w:rsid w:val="7B8A52AA"/>
    <w:rsid w:val="7B955FB7"/>
    <w:rsid w:val="7BA15170"/>
    <w:rsid w:val="7BB1775B"/>
    <w:rsid w:val="7BB7271C"/>
    <w:rsid w:val="7BBC5C04"/>
    <w:rsid w:val="7BC736D0"/>
    <w:rsid w:val="7BD0061C"/>
    <w:rsid w:val="7BD41587"/>
    <w:rsid w:val="7BF00D22"/>
    <w:rsid w:val="7BF27ED2"/>
    <w:rsid w:val="7BF41063"/>
    <w:rsid w:val="7C050BE5"/>
    <w:rsid w:val="7C163663"/>
    <w:rsid w:val="7C1A09C2"/>
    <w:rsid w:val="7C355947"/>
    <w:rsid w:val="7C3811DA"/>
    <w:rsid w:val="7C39657A"/>
    <w:rsid w:val="7C3B11AE"/>
    <w:rsid w:val="7C3D4A4B"/>
    <w:rsid w:val="7C3F5AE6"/>
    <w:rsid w:val="7C44694F"/>
    <w:rsid w:val="7C543718"/>
    <w:rsid w:val="7C571288"/>
    <w:rsid w:val="7C5A2F0A"/>
    <w:rsid w:val="7C604D78"/>
    <w:rsid w:val="7C624C20"/>
    <w:rsid w:val="7C637F2F"/>
    <w:rsid w:val="7C6D2241"/>
    <w:rsid w:val="7C76513D"/>
    <w:rsid w:val="7C7C45A6"/>
    <w:rsid w:val="7C8E608F"/>
    <w:rsid w:val="7C9C3BE4"/>
    <w:rsid w:val="7CB036F2"/>
    <w:rsid w:val="7CB0778F"/>
    <w:rsid w:val="7CB15751"/>
    <w:rsid w:val="7CBA6230"/>
    <w:rsid w:val="7CBC21D1"/>
    <w:rsid w:val="7CC2107B"/>
    <w:rsid w:val="7CC47303"/>
    <w:rsid w:val="7CDE27BD"/>
    <w:rsid w:val="7CDF09CD"/>
    <w:rsid w:val="7CDF1D6C"/>
    <w:rsid w:val="7CE0623E"/>
    <w:rsid w:val="7CE24DBB"/>
    <w:rsid w:val="7CE31CAD"/>
    <w:rsid w:val="7CE57F53"/>
    <w:rsid w:val="7CEA3CAF"/>
    <w:rsid w:val="7CEB5AA6"/>
    <w:rsid w:val="7CF02230"/>
    <w:rsid w:val="7CF268C9"/>
    <w:rsid w:val="7CFD2D0F"/>
    <w:rsid w:val="7D072AD9"/>
    <w:rsid w:val="7D07406E"/>
    <w:rsid w:val="7D120A67"/>
    <w:rsid w:val="7D124C9D"/>
    <w:rsid w:val="7D1763AF"/>
    <w:rsid w:val="7D1A00BA"/>
    <w:rsid w:val="7D1F440F"/>
    <w:rsid w:val="7D206BAF"/>
    <w:rsid w:val="7D28127F"/>
    <w:rsid w:val="7D396AB3"/>
    <w:rsid w:val="7D4066E6"/>
    <w:rsid w:val="7D437A95"/>
    <w:rsid w:val="7D457491"/>
    <w:rsid w:val="7D484D75"/>
    <w:rsid w:val="7D495C1B"/>
    <w:rsid w:val="7D4B3AAC"/>
    <w:rsid w:val="7D513749"/>
    <w:rsid w:val="7D575499"/>
    <w:rsid w:val="7D7307E3"/>
    <w:rsid w:val="7D7400EA"/>
    <w:rsid w:val="7D755326"/>
    <w:rsid w:val="7D7A7636"/>
    <w:rsid w:val="7D851A94"/>
    <w:rsid w:val="7D891584"/>
    <w:rsid w:val="7D8A6E10"/>
    <w:rsid w:val="7D91027B"/>
    <w:rsid w:val="7D952DE2"/>
    <w:rsid w:val="7D954CF4"/>
    <w:rsid w:val="7D955AC9"/>
    <w:rsid w:val="7D9962BA"/>
    <w:rsid w:val="7D9B1B0D"/>
    <w:rsid w:val="7D9E4DFF"/>
    <w:rsid w:val="7DA35609"/>
    <w:rsid w:val="7DA60C97"/>
    <w:rsid w:val="7DAE2D99"/>
    <w:rsid w:val="7DB10ACE"/>
    <w:rsid w:val="7DB52766"/>
    <w:rsid w:val="7DB67916"/>
    <w:rsid w:val="7DB87774"/>
    <w:rsid w:val="7DBB59D1"/>
    <w:rsid w:val="7DBC1BF4"/>
    <w:rsid w:val="7DBC4277"/>
    <w:rsid w:val="7DC9054A"/>
    <w:rsid w:val="7DCD708E"/>
    <w:rsid w:val="7DCE4B13"/>
    <w:rsid w:val="7DD24CD9"/>
    <w:rsid w:val="7DD96CC5"/>
    <w:rsid w:val="7DDB16B4"/>
    <w:rsid w:val="7DED4601"/>
    <w:rsid w:val="7DFAA08E"/>
    <w:rsid w:val="7DFF568A"/>
    <w:rsid w:val="7DFF7E65"/>
    <w:rsid w:val="7E0154F7"/>
    <w:rsid w:val="7E0A45DC"/>
    <w:rsid w:val="7E124C8B"/>
    <w:rsid w:val="7E135479"/>
    <w:rsid w:val="7E1D1A2D"/>
    <w:rsid w:val="7E3404C6"/>
    <w:rsid w:val="7E3A386D"/>
    <w:rsid w:val="7E3C0F32"/>
    <w:rsid w:val="7E442ECC"/>
    <w:rsid w:val="7E461224"/>
    <w:rsid w:val="7E47572E"/>
    <w:rsid w:val="7E4C7986"/>
    <w:rsid w:val="7E71642D"/>
    <w:rsid w:val="7E798D6F"/>
    <w:rsid w:val="7E7C4C45"/>
    <w:rsid w:val="7E824B2C"/>
    <w:rsid w:val="7E866276"/>
    <w:rsid w:val="7E894AA7"/>
    <w:rsid w:val="7E9050F8"/>
    <w:rsid w:val="7E9F214B"/>
    <w:rsid w:val="7EA877E8"/>
    <w:rsid w:val="7EAA1925"/>
    <w:rsid w:val="7EAA5432"/>
    <w:rsid w:val="7EB02B41"/>
    <w:rsid w:val="7EB90FD8"/>
    <w:rsid w:val="7EBB6A20"/>
    <w:rsid w:val="7EBD5201"/>
    <w:rsid w:val="7EC049A4"/>
    <w:rsid w:val="7EC213CE"/>
    <w:rsid w:val="7ED351B8"/>
    <w:rsid w:val="7ED77EF8"/>
    <w:rsid w:val="7EE1379A"/>
    <w:rsid w:val="7EE5109B"/>
    <w:rsid w:val="7EF06CFE"/>
    <w:rsid w:val="7EF7756A"/>
    <w:rsid w:val="7EFB0C27"/>
    <w:rsid w:val="7EFE6639"/>
    <w:rsid w:val="7F0B709F"/>
    <w:rsid w:val="7F0F26F4"/>
    <w:rsid w:val="7F0F5E0D"/>
    <w:rsid w:val="7F111170"/>
    <w:rsid w:val="7F126704"/>
    <w:rsid w:val="7F137E8D"/>
    <w:rsid w:val="7F196938"/>
    <w:rsid w:val="7F1A454A"/>
    <w:rsid w:val="7F1E229E"/>
    <w:rsid w:val="7F21143C"/>
    <w:rsid w:val="7F2229B6"/>
    <w:rsid w:val="7F27281B"/>
    <w:rsid w:val="7F2C0419"/>
    <w:rsid w:val="7F2C666B"/>
    <w:rsid w:val="7F370722"/>
    <w:rsid w:val="7F3C6183"/>
    <w:rsid w:val="7F3F3174"/>
    <w:rsid w:val="7F563B17"/>
    <w:rsid w:val="7F5850B8"/>
    <w:rsid w:val="7F637BB3"/>
    <w:rsid w:val="7F6B16C5"/>
    <w:rsid w:val="7F6C139D"/>
    <w:rsid w:val="7F7E7C65"/>
    <w:rsid w:val="7F805BDA"/>
    <w:rsid w:val="7F824029"/>
    <w:rsid w:val="7F826C35"/>
    <w:rsid w:val="7F916C0C"/>
    <w:rsid w:val="7F9229B1"/>
    <w:rsid w:val="7F923AFA"/>
    <w:rsid w:val="7F953113"/>
    <w:rsid w:val="7F972BEF"/>
    <w:rsid w:val="7FA81E2E"/>
    <w:rsid w:val="7FAD75B9"/>
    <w:rsid w:val="7FB126CD"/>
    <w:rsid w:val="7FBD13F2"/>
    <w:rsid w:val="7FBD1F2F"/>
    <w:rsid w:val="7FBD7923"/>
    <w:rsid w:val="7FC56BF0"/>
    <w:rsid w:val="7FCD110A"/>
    <w:rsid w:val="7FCF5C28"/>
    <w:rsid w:val="7FD135BC"/>
    <w:rsid w:val="7FD478B5"/>
    <w:rsid w:val="7FD76DB4"/>
    <w:rsid w:val="7FD9573B"/>
    <w:rsid w:val="7FE277CB"/>
    <w:rsid w:val="7FE42AA2"/>
    <w:rsid w:val="7FE455EC"/>
    <w:rsid w:val="7FE674E5"/>
    <w:rsid w:val="7FF11097"/>
    <w:rsid w:val="7FF16035"/>
    <w:rsid w:val="7FF25B3C"/>
    <w:rsid w:val="7FFC7F71"/>
    <w:rsid w:val="7FFE0D90"/>
    <w:rsid w:val="B3BEBA56"/>
    <w:rsid w:val="D52ECD7C"/>
    <w:rsid w:val="D7FB2D86"/>
    <w:rsid w:val="D8BFEA83"/>
    <w:rsid w:val="DEFF0B53"/>
    <w:rsid w:val="DF5B69A2"/>
    <w:rsid w:val="F7B7FB65"/>
    <w:rsid w:val="FD9EE53E"/>
    <w:rsid w:val="FDFE58D5"/>
    <w:rsid w:val="FEDED39D"/>
    <w:rsid w:val="FF63C8CA"/>
    <w:rsid w:val="FFB58B6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qFormat="1" w:unhideWhenUsed="0" w:uiPriority="99" w:semiHidden="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qFormat="1" w:unhideWhenUsed="0" w:uiPriority="99"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2"/>
    <w:qFormat/>
    <w:uiPriority w:val="99"/>
    <w:pPr>
      <w:keepNext/>
      <w:keepLines/>
      <w:numPr>
        <w:ilvl w:val="0"/>
        <w:numId w:val="1"/>
      </w:numPr>
      <w:adjustRightInd w:val="0"/>
      <w:snapToGrid w:val="0"/>
      <w:spacing w:before="120" w:after="163" w:afterLines="50" w:line="360" w:lineRule="auto"/>
      <w:jc w:val="center"/>
      <w:outlineLvl w:val="0"/>
    </w:pPr>
    <w:rPr>
      <w:b/>
      <w:bCs/>
      <w:kern w:val="44"/>
      <w:sz w:val="32"/>
      <w:szCs w:val="44"/>
    </w:rPr>
  </w:style>
  <w:style w:type="paragraph" w:styleId="3">
    <w:name w:val="heading 2"/>
    <w:basedOn w:val="1"/>
    <w:next w:val="1"/>
    <w:link w:val="43"/>
    <w:qFormat/>
    <w:uiPriority w:val="99"/>
    <w:pPr>
      <w:keepNext/>
      <w:keepLines/>
      <w:numPr>
        <w:ilvl w:val="1"/>
        <w:numId w:val="1"/>
      </w:numPr>
      <w:adjustRightInd w:val="0"/>
      <w:snapToGrid w:val="0"/>
      <w:spacing w:line="360" w:lineRule="auto"/>
      <w:jc w:val="center"/>
      <w:outlineLvl w:val="1"/>
    </w:pPr>
    <w:rPr>
      <w:rFonts w:eastAsia="黑体"/>
      <w:bCs/>
      <w:szCs w:val="32"/>
    </w:rPr>
  </w:style>
  <w:style w:type="paragraph" w:styleId="4">
    <w:name w:val="heading 3"/>
    <w:basedOn w:val="1"/>
    <w:next w:val="5"/>
    <w:link w:val="44"/>
    <w:qFormat/>
    <w:uiPriority w:val="99"/>
    <w:pPr>
      <w:keepNext/>
      <w:keepLines/>
      <w:numPr>
        <w:ilvl w:val="2"/>
        <w:numId w:val="1"/>
      </w:numPr>
      <w:adjustRightInd w:val="0"/>
      <w:snapToGrid w:val="0"/>
      <w:spacing w:line="360" w:lineRule="auto"/>
      <w:outlineLvl w:val="2"/>
    </w:pPr>
    <w:rPr>
      <w:bCs/>
      <w:szCs w:val="32"/>
    </w:rPr>
  </w:style>
  <w:style w:type="paragraph" w:styleId="6">
    <w:name w:val="heading 4"/>
    <w:basedOn w:val="1"/>
    <w:next w:val="1"/>
    <w:link w:val="45"/>
    <w:qFormat/>
    <w:uiPriority w:val="99"/>
    <w:pPr>
      <w:keepNext/>
      <w:keepLines/>
      <w:spacing w:before="100" w:after="100"/>
      <w:outlineLvl w:val="3"/>
    </w:pPr>
    <w:rPr>
      <w:bCs/>
      <w:szCs w:val="28"/>
    </w:rPr>
  </w:style>
  <w:style w:type="paragraph" w:styleId="7">
    <w:name w:val="heading 5"/>
    <w:basedOn w:val="1"/>
    <w:next w:val="1"/>
    <w:link w:val="46"/>
    <w:qFormat/>
    <w:uiPriority w:val="99"/>
    <w:pPr>
      <w:keepNext/>
      <w:keepLines/>
      <w:numPr>
        <w:ilvl w:val="4"/>
        <w:numId w:val="2"/>
      </w:numPr>
      <w:spacing w:before="280" w:after="290" w:line="376" w:lineRule="auto"/>
      <w:outlineLvl w:val="4"/>
    </w:pPr>
    <w:rPr>
      <w:b/>
      <w:bCs/>
      <w:sz w:val="28"/>
      <w:szCs w:val="28"/>
    </w:rPr>
  </w:style>
  <w:style w:type="paragraph" w:styleId="8">
    <w:name w:val="heading 6"/>
    <w:basedOn w:val="1"/>
    <w:next w:val="1"/>
    <w:link w:val="47"/>
    <w:qFormat/>
    <w:uiPriority w:val="99"/>
    <w:pPr>
      <w:keepNext/>
      <w:keepLines/>
      <w:numPr>
        <w:ilvl w:val="5"/>
        <w:numId w:val="2"/>
      </w:numPr>
      <w:spacing w:before="240" w:after="64" w:line="320" w:lineRule="auto"/>
      <w:outlineLvl w:val="5"/>
    </w:pPr>
    <w:rPr>
      <w:rFonts w:ascii="Arial" w:hAnsi="Arial" w:eastAsia="黑体"/>
      <w:b/>
      <w:bCs/>
    </w:rPr>
  </w:style>
  <w:style w:type="paragraph" w:styleId="9">
    <w:name w:val="heading 7"/>
    <w:basedOn w:val="1"/>
    <w:next w:val="1"/>
    <w:link w:val="48"/>
    <w:qFormat/>
    <w:uiPriority w:val="99"/>
    <w:pPr>
      <w:keepNext/>
      <w:keepLines/>
      <w:numPr>
        <w:ilvl w:val="6"/>
        <w:numId w:val="2"/>
      </w:numPr>
      <w:spacing w:before="240" w:after="64" w:line="320" w:lineRule="auto"/>
      <w:outlineLvl w:val="6"/>
    </w:pPr>
    <w:rPr>
      <w:b/>
      <w:bCs/>
    </w:rPr>
  </w:style>
  <w:style w:type="paragraph" w:styleId="10">
    <w:name w:val="heading 8"/>
    <w:basedOn w:val="1"/>
    <w:next w:val="1"/>
    <w:link w:val="49"/>
    <w:qFormat/>
    <w:uiPriority w:val="99"/>
    <w:pPr>
      <w:keepNext/>
      <w:keepLines/>
      <w:numPr>
        <w:ilvl w:val="7"/>
        <w:numId w:val="2"/>
      </w:numPr>
      <w:spacing w:before="240" w:after="64" w:line="320" w:lineRule="auto"/>
      <w:outlineLvl w:val="7"/>
    </w:pPr>
    <w:rPr>
      <w:rFonts w:ascii="Arial" w:hAnsi="Arial" w:eastAsia="黑体"/>
    </w:rPr>
  </w:style>
  <w:style w:type="paragraph" w:styleId="11">
    <w:name w:val="heading 9"/>
    <w:basedOn w:val="1"/>
    <w:next w:val="1"/>
    <w:link w:val="50"/>
    <w:qFormat/>
    <w:uiPriority w:val="99"/>
    <w:pPr>
      <w:keepNext/>
      <w:keepLines/>
      <w:numPr>
        <w:ilvl w:val="8"/>
        <w:numId w:val="2"/>
      </w:numPr>
      <w:spacing w:before="240" w:after="64" w:line="320" w:lineRule="auto"/>
      <w:outlineLvl w:val="8"/>
    </w:pPr>
    <w:rPr>
      <w:rFonts w:ascii="Arial" w:hAnsi="Arial" w:eastAsia="黑体"/>
      <w:sz w:val="21"/>
      <w:szCs w:val="21"/>
    </w:rPr>
  </w:style>
  <w:style w:type="character" w:default="1" w:styleId="37">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5">
    <w:name w:val="新建正文"/>
    <w:basedOn w:val="1"/>
    <w:qFormat/>
    <w:uiPriority w:val="99"/>
    <w:pPr>
      <w:snapToGrid w:val="0"/>
      <w:spacing w:line="360" w:lineRule="auto"/>
      <w:ind w:firstLine="480" w:firstLineChars="200"/>
    </w:pPr>
  </w:style>
  <w:style w:type="paragraph" w:styleId="12">
    <w:name w:val="toc 7"/>
    <w:basedOn w:val="1"/>
    <w:next w:val="1"/>
    <w:unhideWhenUsed/>
    <w:qFormat/>
    <w:uiPriority w:val="39"/>
    <w:pPr>
      <w:ind w:left="2520" w:leftChars="1200"/>
    </w:pPr>
    <w:rPr>
      <w:rFonts w:asciiTheme="minorHAnsi" w:hAnsiTheme="minorHAnsi" w:eastAsiaTheme="minorEastAsia" w:cstheme="minorBidi"/>
      <w:sz w:val="21"/>
      <w:szCs w:val="22"/>
    </w:rPr>
  </w:style>
  <w:style w:type="paragraph" w:styleId="13">
    <w:name w:val="caption"/>
    <w:basedOn w:val="1"/>
    <w:next w:val="1"/>
    <w:unhideWhenUsed/>
    <w:qFormat/>
    <w:uiPriority w:val="35"/>
    <w:pPr>
      <w:jc w:val="center"/>
    </w:pPr>
    <w:rPr>
      <w:rFonts w:eastAsia="黑体" w:cstheme="majorBidi"/>
      <w:sz w:val="20"/>
      <w:szCs w:val="20"/>
    </w:rPr>
  </w:style>
  <w:style w:type="paragraph" w:styleId="14">
    <w:name w:val="Document Map"/>
    <w:basedOn w:val="1"/>
    <w:link w:val="51"/>
    <w:semiHidden/>
    <w:qFormat/>
    <w:uiPriority w:val="99"/>
    <w:rPr>
      <w:rFonts w:ascii="宋体" w:hAnsi="MS Sans Serif"/>
      <w:sz w:val="18"/>
      <w:szCs w:val="18"/>
    </w:rPr>
  </w:style>
  <w:style w:type="paragraph" w:styleId="15">
    <w:name w:val="annotation text"/>
    <w:basedOn w:val="1"/>
    <w:link w:val="52"/>
    <w:unhideWhenUsed/>
    <w:qFormat/>
    <w:uiPriority w:val="99"/>
    <w:pPr>
      <w:jc w:val="left"/>
    </w:pPr>
  </w:style>
  <w:style w:type="paragraph" w:styleId="16">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7">
    <w:name w:val="toc 3"/>
    <w:basedOn w:val="1"/>
    <w:next w:val="1"/>
    <w:unhideWhenUsed/>
    <w:qFormat/>
    <w:uiPriority w:val="39"/>
    <w:pPr>
      <w:ind w:left="840" w:leftChars="400"/>
    </w:pPr>
  </w:style>
  <w:style w:type="paragraph" w:styleId="18">
    <w:name w:val="Plain Text"/>
    <w:basedOn w:val="1"/>
    <w:qFormat/>
    <w:uiPriority w:val="0"/>
    <w:rPr>
      <w:rFonts w:ascii="宋体" w:hAnsi="Courier New" w:cs="宋体"/>
      <w:szCs w:val="21"/>
    </w:rPr>
  </w:style>
  <w:style w:type="paragraph" w:styleId="19">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20">
    <w:name w:val="Balloon Text"/>
    <w:basedOn w:val="1"/>
    <w:link w:val="53"/>
    <w:semiHidden/>
    <w:qFormat/>
    <w:uiPriority w:val="99"/>
    <w:rPr>
      <w:rFonts w:ascii="MS Sans Serif" w:hAnsi="MS Sans Serif"/>
      <w:sz w:val="18"/>
      <w:szCs w:val="18"/>
    </w:rPr>
  </w:style>
  <w:style w:type="paragraph" w:styleId="21">
    <w:name w:val="footer"/>
    <w:basedOn w:val="1"/>
    <w:link w:val="54"/>
    <w:unhideWhenUsed/>
    <w:qFormat/>
    <w:uiPriority w:val="99"/>
    <w:pPr>
      <w:tabs>
        <w:tab w:val="center" w:pos="4153"/>
        <w:tab w:val="right" w:pos="8306"/>
      </w:tabs>
      <w:snapToGrid w:val="0"/>
      <w:jc w:val="left"/>
    </w:pPr>
    <w:rPr>
      <w:sz w:val="18"/>
      <w:szCs w:val="18"/>
    </w:rPr>
  </w:style>
  <w:style w:type="paragraph" w:styleId="22">
    <w:name w:val="header"/>
    <w:basedOn w:val="1"/>
    <w:link w:val="55"/>
    <w:unhideWhenUsed/>
    <w:qFormat/>
    <w:uiPriority w:val="99"/>
    <w:pPr>
      <w:tabs>
        <w:tab w:val="center" w:pos="4153"/>
        <w:tab w:val="right" w:pos="8306"/>
      </w:tabs>
      <w:wordWrap w:val="0"/>
      <w:snapToGrid w:val="0"/>
      <w:jc w:val="right"/>
    </w:pPr>
    <w:rPr>
      <w:sz w:val="21"/>
      <w:szCs w:val="21"/>
    </w:rPr>
  </w:style>
  <w:style w:type="paragraph" w:styleId="23">
    <w:name w:val="toc 1"/>
    <w:basedOn w:val="1"/>
    <w:next w:val="1"/>
    <w:unhideWhenUsed/>
    <w:qFormat/>
    <w:uiPriority w:val="39"/>
    <w:pPr>
      <w:tabs>
        <w:tab w:val="right" w:leader="dot" w:pos="7825"/>
        <w:tab w:val="center" w:pos="7995"/>
        <w:tab w:val="left" w:pos="8165"/>
      </w:tabs>
      <w:ind w:left="-2" w:leftChars="-23" w:hanging="53" w:hangingChars="22"/>
    </w:pPr>
  </w:style>
  <w:style w:type="paragraph" w:styleId="24">
    <w:name w:val="toc 4"/>
    <w:basedOn w:val="1"/>
    <w:next w:val="1"/>
    <w:unhideWhenUsed/>
    <w:qFormat/>
    <w:uiPriority w:val="39"/>
    <w:pPr>
      <w:ind w:left="1260" w:leftChars="600"/>
    </w:pPr>
    <w:rPr>
      <w:rFonts w:asciiTheme="minorHAnsi" w:hAnsiTheme="minorHAnsi" w:eastAsiaTheme="minorEastAsia" w:cstheme="minorBidi"/>
      <w:sz w:val="21"/>
      <w:szCs w:val="22"/>
    </w:rPr>
  </w:style>
  <w:style w:type="paragraph" w:styleId="25">
    <w:name w:val="Subtitle"/>
    <w:basedOn w:val="1"/>
    <w:next w:val="1"/>
    <w:link w:val="56"/>
    <w:qFormat/>
    <w:uiPriority w:val="11"/>
    <w:pPr>
      <w:spacing w:before="240" w:after="60" w:line="312" w:lineRule="auto"/>
      <w:jc w:val="center"/>
      <w:outlineLvl w:val="1"/>
    </w:pPr>
    <w:rPr>
      <w:b/>
      <w:bCs/>
      <w:kern w:val="28"/>
      <w:sz w:val="32"/>
      <w:szCs w:val="32"/>
    </w:rPr>
  </w:style>
  <w:style w:type="paragraph" w:styleId="26">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7">
    <w:name w:val="table of figures"/>
    <w:basedOn w:val="1"/>
    <w:next w:val="1"/>
    <w:unhideWhenUsed/>
    <w:qFormat/>
    <w:uiPriority w:val="99"/>
    <w:pPr>
      <w:ind w:left="200" w:leftChars="200" w:hanging="200" w:hangingChars="200"/>
    </w:pPr>
  </w:style>
  <w:style w:type="paragraph" w:styleId="28">
    <w:name w:val="toc 2"/>
    <w:basedOn w:val="1"/>
    <w:next w:val="1"/>
    <w:unhideWhenUsed/>
    <w:qFormat/>
    <w:uiPriority w:val="39"/>
    <w:pPr>
      <w:tabs>
        <w:tab w:val="right" w:leader="dot" w:pos="7825"/>
        <w:tab w:val="center" w:pos="7995"/>
        <w:tab w:val="left" w:pos="8165"/>
      </w:tabs>
      <w:ind w:left="420" w:leftChars="200"/>
    </w:pPr>
  </w:style>
  <w:style w:type="paragraph" w:styleId="29">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30">
    <w:name w:val="Normal (Web)"/>
    <w:basedOn w:val="1"/>
    <w:semiHidden/>
    <w:unhideWhenUsed/>
    <w:qFormat/>
    <w:uiPriority w:val="99"/>
    <w:pPr>
      <w:widowControl/>
      <w:spacing w:before="100" w:beforeAutospacing="1" w:after="100" w:afterAutospacing="1"/>
      <w:jc w:val="left"/>
    </w:pPr>
    <w:rPr>
      <w:rFonts w:ascii="宋体" w:hAnsi="宋体" w:cs="宋体"/>
      <w:kern w:val="0"/>
    </w:rPr>
  </w:style>
  <w:style w:type="paragraph" w:styleId="31">
    <w:name w:val="annotation subject"/>
    <w:basedOn w:val="15"/>
    <w:next w:val="15"/>
    <w:link w:val="57"/>
    <w:semiHidden/>
    <w:unhideWhenUsed/>
    <w:qFormat/>
    <w:uiPriority w:val="99"/>
    <w:rPr>
      <w:b/>
      <w:bCs/>
    </w:rPr>
  </w:style>
  <w:style w:type="table" w:styleId="33">
    <w:name w:val="Table Grid"/>
    <w:basedOn w:val="32"/>
    <w:qFormat/>
    <w:uiPriority w:val="99"/>
    <w:rPr>
      <w:rFonts w:ascii="MS Sans Serif" w:hAnsi="MS Sans Serif"/>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4">
    <w:name w:val="Table Theme"/>
    <w:basedOn w:val="3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Colorful 3"/>
    <w:basedOn w:val="32"/>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Times New Roman"/>
      </w:rPr>
      <w:tblPr/>
      <w:tcPr>
        <w:tcBorders>
          <w:bottom w:val="single" w:color="000000" w:sz="6" w:space="0"/>
          <w:tl2br w:val="nil"/>
          <w:tr2bl w:val="nil"/>
        </w:tcBorders>
        <w:shd w:val="solid" w:color="008080" w:fill="FFFFFF"/>
      </w:tcPr>
    </w:tblStylePr>
    <w:tblStylePr w:type="firstCol">
      <w:rPr>
        <w:rFonts w:cs="Times New Roman"/>
      </w:rPr>
      <w:tblPr/>
      <w:tcPr>
        <w:tcBorders>
          <w:left w:val="single" w:color="000000" w:sz="36" w:space="0"/>
          <w:right w:val="single" w:color="000000" w:sz="6" w:space="0"/>
          <w:tl2br w:val="nil"/>
          <w:tr2bl w:val="nil"/>
        </w:tcBorders>
        <w:shd w:val="solid" w:color="008080" w:fill="FFFFFF"/>
      </w:tcPr>
    </w:tblStylePr>
    <w:tblStylePr w:type="nwCell">
      <w:rPr>
        <w:rFonts w:cs="Times New Roman"/>
        <w:b/>
        <w:bCs/>
        <w:color w:val="FFFFFF"/>
      </w:rPr>
      <w:tblPr/>
      <w:tcPr>
        <w:tcBorders>
          <w:tl2br w:val="nil"/>
          <w:tr2bl w:val="nil"/>
        </w:tcBorders>
        <w:shd w:val="solid" w:color="000000" w:fill="FFFFFF"/>
      </w:tcPr>
    </w:tblStylePr>
  </w:style>
  <w:style w:type="table" w:styleId="36">
    <w:name w:val="Colorful Grid Accent 5"/>
    <w:basedOn w:val="32"/>
    <w:qFormat/>
    <w:uiPriority w:val="73"/>
    <w:rPr>
      <w:rFonts w:ascii="Calibri" w:hAnsi="Calibri"/>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38">
    <w:name w:val="FollowedHyperlink"/>
    <w:basedOn w:val="37"/>
    <w:semiHidden/>
    <w:qFormat/>
    <w:uiPriority w:val="99"/>
    <w:rPr>
      <w:rFonts w:cs="Times New Roman"/>
      <w:color w:val="800080"/>
      <w:u w:val="single"/>
    </w:rPr>
  </w:style>
  <w:style w:type="character" w:styleId="39">
    <w:name w:val="Emphasis"/>
    <w:basedOn w:val="37"/>
    <w:qFormat/>
    <w:uiPriority w:val="20"/>
    <w:rPr>
      <w:i/>
    </w:rPr>
  </w:style>
  <w:style w:type="character" w:styleId="40">
    <w:name w:val="Hyperlink"/>
    <w:basedOn w:val="37"/>
    <w:qFormat/>
    <w:uiPriority w:val="99"/>
  </w:style>
  <w:style w:type="character" w:styleId="41">
    <w:name w:val="annotation reference"/>
    <w:basedOn w:val="37"/>
    <w:semiHidden/>
    <w:unhideWhenUsed/>
    <w:qFormat/>
    <w:uiPriority w:val="99"/>
    <w:rPr>
      <w:sz w:val="21"/>
      <w:szCs w:val="21"/>
    </w:rPr>
  </w:style>
  <w:style w:type="character" w:customStyle="1" w:styleId="42">
    <w:name w:val="标题 1 字符"/>
    <w:basedOn w:val="37"/>
    <w:link w:val="2"/>
    <w:qFormat/>
    <w:uiPriority w:val="99"/>
    <w:rPr>
      <w:b/>
      <w:bCs/>
      <w:kern w:val="44"/>
      <w:sz w:val="32"/>
      <w:szCs w:val="44"/>
    </w:rPr>
  </w:style>
  <w:style w:type="character" w:customStyle="1" w:styleId="43">
    <w:name w:val="标题 2 字符"/>
    <w:basedOn w:val="37"/>
    <w:link w:val="3"/>
    <w:qFormat/>
    <w:uiPriority w:val="99"/>
    <w:rPr>
      <w:rFonts w:eastAsia="黑体"/>
      <w:bCs/>
      <w:kern w:val="2"/>
      <w:sz w:val="24"/>
      <w:szCs w:val="32"/>
    </w:rPr>
  </w:style>
  <w:style w:type="character" w:customStyle="1" w:styleId="44">
    <w:name w:val="标题 3 字符"/>
    <w:basedOn w:val="37"/>
    <w:link w:val="4"/>
    <w:qFormat/>
    <w:uiPriority w:val="99"/>
    <w:rPr>
      <w:bCs/>
      <w:kern w:val="2"/>
      <w:sz w:val="24"/>
      <w:szCs w:val="32"/>
    </w:rPr>
  </w:style>
  <w:style w:type="character" w:customStyle="1" w:styleId="45">
    <w:name w:val="标题 4 字符"/>
    <w:basedOn w:val="37"/>
    <w:link w:val="6"/>
    <w:qFormat/>
    <w:uiPriority w:val="99"/>
    <w:rPr>
      <w:bCs/>
      <w:szCs w:val="28"/>
    </w:rPr>
  </w:style>
  <w:style w:type="character" w:customStyle="1" w:styleId="46">
    <w:name w:val="标题 5 字符"/>
    <w:basedOn w:val="37"/>
    <w:link w:val="7"/>
    <w:qFormat/>
    <w:uiPriority w:val="99"/>
    <w:rPr>
      <w:b/>
      <w:bCs/>
      <w:kern w:val="2"/>
      <w:sz w:val="28"/>
      <w:szCs w:val="28"/>
    </w:rPr>
  </w:style>
  <w:style w:type="character" w:customStyle="1" w:styleId="47">
    <w:name w:val="标题 6 字符"/>
    <w:basedOn w:val="37"/>
    <w:link w:val="8"/>
    <w:qFormat/>
    <w:uiPriority w:val="99"/>
    <w:rPr>
      <w:rFonts w:ascii="Arial" w:hAnsi="Arial" w:eastAsia="黑体"/>
      <w:b/>
      <w:bCs/>
      <w:kern w:val="2"/>
      <w:sz w:val="24"/>
      <w:szCs w:val="24"/>
    </w:rPr>
  </w:style>
  <w:style w:type="character" w:customStyle="1" w:styleId="48">
    <w:name w:val="标题 7 字符"/>
    <w:basedOn w:val="37"/>
    <w:link w:val="9"/>
    <w:qFormat/>
    <w:uiPriority w:val="99"/>
    <w:rPr>
      <w:b/>
      <w:bCs/>
      <w:kern w:val="2"/>
      <w:sz w:val="24"/>
      <w:szCs w:val="24"/>
    </w:rPr>
  </w:style>
  <w:style w:type="character" w:customStyle="1" w:styleId="49">
    <w:name w:val="标题 8 字符"/>
    <w:basedOn w:val="37"/>
    <w:link w:val="10"/>
    <w:qFormat/>
    <w:uiPriority w:val="99"/>
    <w:rPr>
      <w:rFonts w:ascii="Arial" w:hAnsi="Arial" w:eastAsia="黑体"/>
      <w:kern w:val="2"/>
      <w:sz w:val="24"/>
      <w:szCs w:val="24"/>
    </w:rPr>
  </w:style>
  <w:style w:type="character" w:customStyle="1" w:styleId="50">
    <w:name w:val="标题 9 字符"/>
    <w:basedOn w:val="37"/>
    <w:link w:val="11"/>
    <w:qFormat/>
    <w:uiPriority w:val="99"/>
    <w:rPr>
      <w:rFonts w:ascii="Arial" w:hAnsi="Arial" w:eastAsia="黑体"/>
      <w:kern w:val="2"/>
      <w:sz w:val="21"/>
      <w:szCs w:val="21"/>
    </w:rPr>
  </w:style>
  <w:style w:type="character" w:customStyle="1" w:styleId="51">
    <w:name w:val="文档结构图 字符"/>
    <w:basedOn w:val="37"/>
    <w:link w:val="14"/>
    <w:semiHidden/>
    <w:qFormat/>
    <w:uiPriority w:val="99"/>
    <w:rPr>
      <w:rFonts w:ascii="宋体" w:hAnsi="MS Sans Serif"/>
      <w:sz w:val="18"/>
      <w:szCs w:val="18"/>
    </w:rPr>
  </w:style>
  <w:style w:type="character" w:customStyle="1" w:styleId="52">
    <w:name w:val="批注文字 字符"/>
    <w:basedOn w:val="37"/>
    <w:link w:val="15"/>
    <w:qFormat/>
    <w:uiPriority w:val="99"/>
  </w:style>
  <w:style w:type="character" w:customStyle="1" w:styleId="53">
    <w:name w:val="批注框文本 字符"/>
    <w:basedOn w:val="37"/>
    <w:link w:val="20"/>
    <w:semiHidden/>
    <w:qFormat/>
    <w:uiPriority w:val="99"/>
    <w:rPr>
      <w:rFonts w:ascii="MS Sans Serif" w:hAnsi="MS Sans Serif"/>
      <w:sz w:val="18"/>
      <w:szCs w:val="18"/>
    </w:rPr>
  </w:style>
  <w:style w:type="character" w:customStyle="1" w:styleId="54">
    <w:name w:val="页脚 字符"/>
    <w:basedOn w:val="37"/>
    <w:link w:val="21"/>
    <w:qFormat/>
    <w:uiPriority w:val="99"/>
    <w:rPr>
      <w:sz w:val="18"/>
      <w:szCs w:val="18"/>
    </w:rPr>
  </w:style>
  <w:style w:type="character" w:customStyle="1" w:styleId="55">
    <w:name w:val="页眉 字符"/>
    <w:basedOn w:val="37"/>
    <w:link w:val="22"/>
    <w:qFormat/>
    <w:uiPriority w:val="99"/>
    <w:rPr>
      <w:kern w:val="2"/>
      <w:sz w:val="21"/>
      <w:szCs w:val="21"/>
    </w:rPr>
  </w:style>
  <w:style w:type="character" w:customStyle="1" w:styleId="56">
    <w:name w:val="副标题 字符"/>
    <w:basedOn w:val="37"/>
    <w:link w:val="25"/>
    <w:qFormat/>
    <w:uiPriority w:val="11"/>
    <w:rPr>
      <w:b/>
      <w:bCs/>
      <w:kern w:val="28"/>
      <w:sz w:val="32"/>
      <w:szCs w:val="32"/>
    </w:rPr>
  </w:style>
  <w:style w:type="character" w:customStyle="1" w:styleId="57">
    <w:name w:val="批注主题 字符"/>
    <w:basedOn w:val="52"/>
    <w:link w:val="31"/>
    <w:semiHidden/>
    <w:qFormat/>
    <w:uiPriority w:val="99"/>
    <w:rPr>
      <w:b/>
      <w:bCs/>
    </w:rPr>
  </w:style>
  <w:style w:type="paragraph" w:customStyle="1" w:styleId="58">
    <w:name w:val=".table_head"/>
    <w:basedOn w:val="1"/>
    <w:qFormat/>
    <w:uiPriority w:val="99"/>
    <w:pPr>
      <w:widowControl/>
      <w:autoSpaceDE w:val="0"/>
      <w:autoSpaceDN w:val="0"/>
      <w:adjustRightInd w:val="0"/>
      <w:spacing w:before="75" w:after="75"/>
      <w:jc w:val="left"/>
    </w:pPr>
    <w:rPr>
      <w:rFonts w:ascii="ËÎÌå Western" w:hAnsi="ËÎÌå Western" w:cs="ËÎÌå Western"/>
      <w:color w:val="000000"/>
      <w:kern w:val="0"/>
      <w:sz w:val="20"/>
      <w:szCs w:val="20"/>
      <w:lang w:val="zh-CN"/>
    </w:rPr>
  </w:style>
  <w:style w:type="paragraph" w:customStyle="1" w:styleId="59">
    <w:name w:val=".text1"/>
    <w:basedOn w:val="1"/>
    <w:qFormat/>
    <w:uiPriority w:val="0"/>
    <w:pPr>
      <w:widowControl/>
      <w:jc w:val="left"/>
    </w:pPr>
    <w:rPr>
      <w:rFonts w:ascii="宋体" w:hAnsi="宋体"/>
      <w:color w:val="000000"/>
      <w:kern w:val="0"/>
      <w:sz w:val="20"/>
      <w:szCs w:val="20"/>
      <w:lang w:val="zh-CN"/>
    </w:rPr>
  </w:style>
  <w:style w:type="paragraph" w:customStyle="1" w:styleId="60">
    <w:name w:val=".text2"/>
    <w:basedOn w:val="1"/>
    <w:qFormat/>
    <w:uiPriority w:val="99"/>
    <w:pPr>
      <w:widowControl/>
      <w:autoSpaceDE w:val="0"/>
      <w:autoSpaceDN w:val="0"/>
      <w:adjustRightInd w:val="0"/>
      <w:jc w:val="left"/>
    </w:pPr>
    <w:rPr>
      <w:rFonts w:ascii="¿¬Ìå Western" w:hAnsi="¿¬Ìå Western" w:cs="¿¬Ìå Western"/>
      <w:b/>
      <w:bCs/>
      <w:color w:val="0000FF"/>
      <w:kern w:val="0"/>
      <w:lang w:val="zh-CN"/>
    </w:rPr>
  </w:style>
  <w:style w:type="paragraph" w:customStyle="1" w:styleId="61">
    <w:name w:val=".text6"/>
    <w:basedOn w:val="1"/>
    <w:qFormat/>
    <w:uiPriority w:val="99"/>
    <w:pPr>
      <w:widowControl/>
      <w:jc w:val="left"/>
    </w:pPr>
    <w:rPr>
      <w:rFonts w:ascii="宋体" w:hAnsi="宋体"/>
      <w:kern w:val="0"/>
      <w:sz w:val="20"/>
      <w:szCs w:val="20"/>
      <w:lang w:val="zh-CN"/>
    </w:rPr>
  </w:style>
  <w:style w:type="paragraph" w:customStyle="1" w:styleId="62">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table" w:customStyle="1" w:styleId="63">
    <w:name w:val="表B"/>
    <w:basedOn w:val="33"/>
    <w:qFormat/>
    <w:uiPriority w:val="99"/>
    <w:rPr>
      <w:sz w:val="18"/>
    </w:rPr>
    <w:tblPr>
      <w:tblBorders>
        <w:top w:val="single" w:color="auto" w:sz="12" w:space="0"/>
        <w:bottom w:val="single" w:color="auto" w:sz="12" w:space="0"/>
        <w:insideH w:val="single" w:color="auto" w:sz="8" w:space="0"/>
        <w:insideV w:val="single" w:color="auto" w:sz="8" w:space="0"/>
      </w:tblBorders>
    </w:tblPr>
    <w:tblStylePr w:type="firstRow">
      <w:rPr>
        <w:rFonts w:eastAsia="宋体"/>
        <w:b/>
        <w:sz w:val="18"/>
      </w:rPr>
      <w:tcPr>
        <w:shd w:val="clear" w:color="auto" w:fill="E7E6E6" w:themeFill="background2"/>
      </w:tcPr>
    </w:tblStylePr>
    <w:tblStylePr w:type="band2Horz">
      <w:tcPr>
        <w:shd w:val="clear" w:color="auto" w:fill="D9E2F3" w:themeFill="accent1" w:themeFillTint="33"/>
      </w:tcPr>
    </w:tblStylePr>
  </w:style>
  <w:style w:type="table" w:customStyle="1" w:styleId="64">
    <w:name w:val="表格A"/>
    <w:basedOn w:val="32"/>
    <w:qFormat/>
    <w:uiPriority w:val="99"/>
    <w:pPr>
      <w:jc w:val="center"/>
      <w:textAlignment w:val="center"/>
    </w:pPr>
    <w:rPr>
      <w:sz w:val="18"/>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eastAsia="宋体"/>
        <w:b/>
        <w:sz w:val="18"/>
      </w:rPr>
      <w:tcPr>
        <w:shd w:val="clear" w:color="auto" w:fill="E7E6E6" w:themeFill="background2"/>
      </w:tcPr>
    </w:tblStylePr>
    <w:tblStylePr w:type="band2Horz">
      <w:tcPr>
        <w:shd w:val="clear" w:color="auto" w:fill="D9E2F3" w:themeFill="accent1" w:themeFillTint="33"/>
      </w:tcPr>
    </w:tblStylePr>
  </w:style>
  <w:style w:type="paragraph" w:customStyle="1" w:styleId="65">
    <w:name w:val="表格内容"/>
    <w:basedOn w:val="1"/>
    <w:link w:val="66"/>
    <w:qFormat/>
    <w:uiPriority w:val="99"/>
    <w:pPr>
      <w:jc w:val="center"/>
    </w:pPr>
    <w:rPr>
      <w:sz w:val="21"/>
      <w:szCs w:val="21"/>
    </w:rPr>
  </w:style>
  <w:style w:type="character" w:customStyle="1" w:styleId="66">
    <w:name w:val="表格内容 Char"/>
    <w:link w:val="65"/>
    <w:qFormat/>
    <w:uiPriority w:val="99"/>
    <w:rPr>
      <w:kern w:val="2"/>
      <w:sz w:val="21"/>
      <w:szCs w:val="21"/>
    </w:rPr>
  </w:style>
  <w:style w:type="paragraph" w:customStyle="1" w:styleId="67">
    <w:name w:val="表后注释"/>
    <w:basedOn w:val="65"/>
    <w:qFormat/>
    <w:uiPriority w:val="0"/>
    <w:pPr>
      <w:tabs>
        <w:tab w:val="left" w:pos="420"/>
        <w:tab w:val="left" w:pos="794"/>
        <w:tab w:val="left" w:pos="1021"/>
      </w:tabs>
      <w:adjustRightInd w:val="0"/>
      <w:ind w:left="720" w:hanging="720" w:hangingChars="400"/>
      <w:jc w:val="left"/>
    </w:pPr>
    <w:rPr>
      <w:kern w:val="0"/>
      <w:sz w:val="18"/>
    </w:rPr>
  </w:style>
  <w:style w:type="paragraph" w:customStyle="1" w:styleId="68">
    <w:name w:val="表头"/>
    <w:basedOn w:val="1"/>
    <w:qFormat/>
    <w:uiPriority w:val="99"/>
    <w:pPr>
      <w:spacing w:line="360" w:lineRule="auto"/>
      <w:jc w:val="center"/>
    </w:pPr>
    <w:rPr>
      <w:b/>
      <w:sz w:val="21"/>
      <w:szCs w:val="21"/>
    </w:rPr>
  </w:style>
  <w:style w:type="paragraph" w:customStyle="1" w:styleId="69">
    <w:name w:val="插图格式"/>
    <w:basedOn w:val="1"/>
    <w:next w:val="1"/>
    <w:qFormat/>
    <w:uiPriority w:val="99"/>
    <w:pPr>
      <w:spacing w:after="80"/>
      <w:jc w:val="center"/>
    </w:pPr>
    <w:rPr>
      <w:sz w:val="21"/>
    </w:rPr>
  </w:style>
  <w:style w:type="paragraph" w:customStyle="1" w:styleId="70">
    <w:name w:val="4级编号"/>
    <w:basedOn w:val="1"/>
    <w:qFormat/>
    <w:uiPriority w:val="99"/>
    <w:pPr>
      <w:tabs>
        <w:tab w:val="left" w:pos="840"/>
      </w:tabs>
      <w:snapToGrid w:val="0"/>
      <w:spacing w:line="360" w:lineRule="auto"/>
      <w:ind w:firstLine="482" w:firstLineChars="200"/>
    </w:pPr>
  </w:style>
  <w:style w:type="paragraph" w:customStyle="1" w:styleId="71">
    <w:name w:val="列表显示"/>
    <w:basedOn w:val="5"/>
    <w:qFormat/>
    <w:uiPriority w:val="99"/>
    <w:pPr>
      <w:topLinePunct/>
    </w:pPr>
  </w:style>
  <w:style w:type="paragraph" w:styleId="72">
    <w:name w:val="List Paragraph"/>
    <w:basedOn w:val="1"/>
    <w:qFormat/>
    <w:uiPriority w:val="99"/>
    <w:pPr>
      <w:keepNext/>
      <w:keepLines/>
      <w:numPr>
        <w:ilvl w:val="1"/>
        <w:numId w:val="2"/>
      </w:numPr>
      <w:spacing w:after="163" w:afterLines="50" w:line="360" w:lineRule="auto"/>
      <w:jc w:val="center"/>
      <w:outlineLvl w:val="1"/>
    </w:pPr>
    <w:rPr>
      <w:rFonts w:eastAsia="黑体"/>
      <w:szCs w:val="20"/>
    </w:rPr>
  </w:style>
  <w:style w:type="table" w:customStyle="1" w:styleId="73">
    <w:name w:val="网格表 7 彩色1"/>
    <w:basedOn w:val="32"/>
    <w:qFormat/>
    <w:uiPriority w:val="52"/>
    <w:rPr>
      <w:color w:val="000000" w:themeColor="text1"/>
      <w:szCs w:val="2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74">
    <w:name w:val="样式1"/>
    <w:basedOn w:val="32"/>
    <w:qFormat/>
    <w:uiPriority w:val="99"/>
    <w:rPr>
      <w:szCs w:val="21"/>
    </w:rPr>
  </w:style>
  <w:style w:type="table" w:customStyle="1" w:styleId="75">
    <w:name w:val="样式2"/>
    <w:basedOn w:val="32"/>
    <w:qFormat/>
    <w:uiPriority w:val="9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
    <w:name w:val="批注框文本1"/>
    <w:basedOn w:val="1"/>
    <w:qFormat/>
    <w:uiPriority w:val="99"/>
    <w:rPr>
      <w:rFonts w:ascii="MS Sans Serif" w:hAnsi="MS Sans Serif"/>
      <w:sz w:val="18"/>
      <w:szCs w:val="18"/>
    </w:rPr>
  </w:style>
  <w:style w:type="paragraph" w:customStyle="1" w:styleId="77">
    <w:name w:val="文章标题"/>
    <w:basedOn w:val="68"/>
    <w:next w:val="1"/>
    <w:qFormat/>
    <w:uiPriority w:val="99"/>
    <w:rPr>
      <w:rFonts w:eastAsia="黑体"/>
      <w:b w:val="0"/>
      <w:sz w:val="30"/>
    </w:rPr>
  </w:style>
  <w:style w:type="paragraph" w:styleId="78">
    <w:name w:val="No Spacing"/>
    <w:qFormat/>
    <w:uiPriority w:val="1"/>
    <w:pPr>
      <w:widowControl w:val="0"/>
      <w:jc w:val="both"/>
    </w:pPr>
    <w:rPr>
      <w:rFonts w:ascii="MS Sans Serif" w:hAnsi="MS Sans Serif" w:eastAsia="宋体" w:cs="Times New Roman"/>
      <w:kern w:val="2"/>
      <w:lang w:val="en-US" w:eastAsia="zh-CN" w:bidi="ar-SA"/>
    </w:rPr>
  </w:style>
  <w:style w:type="paragraph" w:styleId="79">
    <w:name w:val="Quote"/>
    <w:basedOn w:val="1"/>
    <w:next w:val="1"/>
    <w:link w:val="8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80">
    <w:name w:val="引用 字符"/>
    <w:basedOn w:val="37"/>
    <w:link w:val="79"/>
    <w:qFormat/>
    <w:uiPriority w:val="29"/>
    <w:rPr>
      <w:i/>
      <w:iCs/>
      <w:color w:val="404040" w:themeColor="text1" w:themeTint="BF"/>
      <w14:textFill>
        <w14:solidFill>
          <w14:schemeClr w14:val="tx1">
            <w14:lumMod w14:val="75000"/>
            <w14:lumOff w14:val="25000"/>
          </w14:schemeClr>
        </w14:solidFill>
      </w14:textFill>
    </w:rPr>
  </w:style>
  <w:style w:type="character" w:customStyle="1" w:styleId="81">
    <w:name w:val="明显参考1"/>
    <w:basedOn w:val="37"/>
    <w:qFormat/>
    <w:uiPriority w:val="32"/>
    <w:rPr>
      <w:rFonts w:eastAsia="宋体"/>
      <w:bCs/>
      <w:smallCaps/>
      <w:color w:val="4472C4" w:themeColor="accent1"/>
      <w:spacing w:val="5"/>
      <w:sz w:val="24"/>
      <w14:textFill>
        <w14:solidFill>
          <w14:schemeClr w14:val="accent1"/>
        </w14:solidFill>
      </w14:textFill>
    </w:rPr>
  </w:style>
  <w:style w:type="paragraph" w:customStyle="1" w:styleId="82">
    <w:name w:val="comments"/>
    <w:basedOn w:val="79"/>
    <w:qFormat/>
    <w:uiPriority w:val="0"/>
    <w:pPr>
      <w:spacing w:before="0" w:after="80" w:line="360" w:lineRule="auto"/>
      <w:ind w:left="0" w:right="0" w:firstLine="200" w:firstLineChars="200"/>
      <w:jc w:val="both"/>
    </w:pPr>
    <w:rPr>
      <w:rFonts w:eastAsia="楷体"/>
      <w:i w:val="0"/>
      <w:color w:val="4D79C7" w:themeColor="accent1" w:themeTint="BF"/>
      <w14:textFill>
        <w14:solidFill>
          <w14:schemeClr w14:val="accent1">
            <w14:lumMod w14:val="75000"/>
            <w14:lumMod w14:val="75000"/>
            <w14:lumOff w14:val="25000"/>
          </w14:schemeClr>
        </w14:solidFill>
      </w14:textFill>
    </w:rPr>
  </w:style>
  <w:style w:type="character" w:styleId="83">
    <w:name w:val="Placeholder Text"/>
    <w:basedOn w:val="37"/>
    <w:semiHidden/>
    <w:qFormat/>
    <w:uiPriority w:val="99"/>
    <w:rPr>
      <w:color w:val="808080"/>
    </w:rPr>
  </w:style>
  <w:style w:type="table" w:customStyle="1" w:styleId="84">
    <w:name w:val="表B1"/>
    <w:basedOn w:val="33"/>
    <w:qFormat/>
    <w:uiPriority w:val="99"/>
    <w:pPr>
      <w:jc w:val="center"/>
    </w:pPr>
    <w:rPr>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宋体"/>
        <w:b/>
        <w:sz w:val="18"/>
      </w:rPr>
      <w:tcPr>
        <w:tcBorders>
          <w:top w:val="single" w:color="auto" w:sz="12" w:space="0"/>
          <w:left w:val="single" w:color="auto" w:sz="12" w:space="0"/>
          <w:bottom w:val="nil"/>
          <w:right w:val="single" w:color="auto" w:sz="12" w:space="0"/>
          <w:insideH w:val="single" w:sz="4" w:space="0"/>
          <w:insideV w:val="single" w:sz="4" w:space="0"/>
          <w:tl2br w:val="nil"/>
          <w:tr2bl w:val="nil"/>
        </w:tcBorders>
        <w:shd w:val="clear" w:color="auto" w:fill="FFFFFF" w:themeFill="background1"/>
      </w:tcPr>
    </w:tblStylePr>
    <w:tblStylePr w:type="band2Horz">
      <w:tcPr>
        <w:shd w:val="clear" w:color="auto" w:fill="D9E2F3"/>
      </w:tcPr>
    </w:tblStylePr>
  </w:style>
  <w:style w:type="paragraph" w:customStyle="1" w:styleId="85">
    <w:name w:val="公式"/>
    <w:basedOn w:val="13"/>
    <w:qFormat/>
    <w:uiPriority w:val="0"/>
    <w:pPr>
      <w:tabs>
        <w:tab w:val="center" w:pos="4080"/>
        <w:tab w:val="right" w:pos="8280"/>
      </w:tabs>
      <w:adjustRightInd w:val="0"/>
      <w:snapToGrid w:val="0"/>
      <w:spacing w:line="360" w:lineRule="auto"/>
    </w:pPr>
    <w:rPr>
      <w:rFonts w:eastAsia="宋体"/>
      <w:sz w:val="24"/>
    </w:rPr>
  </w:style>
  <w:style w:type="paragraph" w:customStyle="1" w:styleId="86">
    <w:name w:val="对齐正文"/>
    <w:basedOn w:val="1"/>
    <w:qFormat/>
    <w:uiPriority w:val="0"/>
    <w:pPr>
      <w:tabs>
        <w:tab w:val="right" w:pos="1644"/>
      </w:tabs>
      <w:snapToGrid w:val="0"/>
      <w:spacing w:line="360" w:lineRule="auto"/>
    </w:pPr>
  </w:style>
  <w:style w:type="table" w:customStyle="1" w:styleId="87">
    <w:name w:val="表B2"/>
    <w:basedOn w:val="33"/>
    <w:qFormat/>
    <w:uiPriority w:val="99"/>
    <w:rPr>
      <w:sz w:val="18"/>
    </w:rPr>
    <w:tblPr>
      <w:tblBorders>
        <w:top w:val="single" w:color="auto" w:sz="12" w:space="0"/>
        <w:bottom w:val="single" w:color="auto" w:sz="12" w:space="0"/>
        <w:insideH w:val="single" w:color="auto" w:sz="2" w:space="0"/>
        <w:insideV w:val="single" w:color="auto" w:sz="2" w:space="0"/>
      </w:tblBorders>
    </w:tblPr>
    <w:tcPr>
      <w:vAlign w:val="center"/>
    </w:tcPr>
    <w:tblStylePr w:type="firstRow">
      <w:rPr>
        <w:rFonts w:eastAsia="宋体"/>
        <w:b/>
        <w:sz w:val="18"/>
      </w:rPr>
      <w:tcPr>
        <w:shd w:val="clear" w:color="auto" w:fill="E7E6E6"/>
      </w:tcPr>
    </w:tblStylePr>
    <w:tblStylePr w:type="band2Horz">
      <w:tcPr>
        <w:shd w:val="clear" w:color="auto" w:fill="D9E2F3"/>
      </w:tcPr>
    </w:tblStylePr>
  </w:style>
  <w:style w:type="table" w:customStyle="1" w:styleId="88">
    <w:name w:val="表格A1"/>
    <w:basedOn w:val="32"/>
    <w:qFormat/>
    <w:uiPriority w:val="99"/>
    <w:pPr>
      <w:jc w:val="center"/>
      <w:textAlignment w:val="center"/>
    </w:pPr>
    <w:rPr>
      <w:sz w:val="18"/>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eastAsia="宋体"/>
        <w:b/>
        <w:sz w:val="18"/>
      </w:rPr>
      <w:tcPr>
        <w:shd w:val="clear" w:color="auto" w:fill="E7E6E6"/>
      </w:tcPr>
    </w:tblStylePr>
    <w:tblStylePr w:type="band2Horz">
      <w:tcPr>
        <w:shd w:val="clear" w:color="auto" w:fill="D9E2F3"/>
      </w:tcPr>
    </w:tblStylePr>
  </w:style>
  <w:style w:type="table" w:customStyle="1" w:styleId="89">
    <w:name w:val="表格A2"/>
    <w:basedOn w:val="32"/>
    <w:qFormat/>
    <w:uiPriority w:val="99"/>
    <w:pPr>
      <w:jc w:val="center"/>
      <w:textAlignment w:val="center"/>
    </w:pPr>
    <w:rPr>
      <w:sz w:val="18"/>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eastAsia="宋体"/>
        <w:b/>
        <w:sz w:val="18"/>
      </w:rPr>
      <w:tcPr>
        <w:shd w:val="clear" w:color="auto" w:fill="E7E6E6"/>
      </w:tcPr>
    </w:tblStylePr>
    <w:tblStylePr w:type="band2Horz">
      <w:tcPr>
        <w:shd w:val="clear" w:color="auto" w:fill="D9E2F3"/>
      </w:tcPr>
    </w:tblStylePr>
  </w:style>
  <w:style w:type="table" w:customStyle="1" w:styleId="90">
    <w:name w:val="表格A3"/>
    <w:basedOn w:val="32"/>
    <w:qFormat/>
    <w:uiPriority w:val="99"/>
    <w:pPr>
      <w:jc w:val="center"/>
      <w:textAlignment w:val="center"/>
    </w:pPr>
    <w:rPr>
      <w:sz w:val="18"/>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eastAsia="宋体"/>
        <w:b/>
        <w:sz w:val="18"/>
      </w:rPr>
      <w:tcPr>
        <w:shd w:val="clear" w:color="auto" w:fill="E7E6E6"/>
      </w:tcPr>
    </w:tblStylePr>
    <w:tblStylePr w:type="band2Horz">
      <w:tcPr>
        <w:shd w:val="clear" w:color="auto" w:fill="D9E2F3"/>
      </w:tcPr>
    </w:tblStylePr>
  </w:style>
  <w:style w:type="table" w:customStyle="1" w:styleId="91">
    <w:name w:val="网格型浅色1"/>
    <w:basedOn w:val="32"/>
    <w:qFormat/>
    <w:uiPriority w:val="40"/>
    <w:rPr>
      <w:rFonts w:ascii="等线" w:hAnsi="等线" w:eastAsia="等线"/>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2">
    <w:name w:val="表B3"/>
    <w:basedOn w:val="33"/>
    <w:qFormat/>
    <w:uiPriority w:val="99"/>
    <w:rPr>
      <w:sz w:val="18"/>
    </w:rPr>
    <w:tblPr>
      <w:tblBorders>
        <w:top w:val="single" w:color="auto" w:sz="12" w:space="0"/>
        <w:bottom w:val="single" w:color="auto" w:sz="12" w:space="0"/>
        <w:insideH w:val="single" w:color="auto" w:sz="2" w:space="0"/>
        <w:insideV w:val="single" w:color="auto" w:sz="2" w:space="0"/>
      </w:tblBorders>
    </w:tblPr>
    <w:tcPr>
      <w:vAlign w:val="center"/>
    </w:tcPr>
    <w:tblStylePr w:type="firstRow">
      <w:rPr>
        <w:rFonts w:eastAsia="宋体"/>
        <w:b/>
        <w:sz w:val="18"/>
      </w:rPr>
      <w:tcPr>
        <w:shd w:val="clear" w:color="auto" w:fill="E7E6E6" w:themeFill="background2"/>
      </w:tcPr>
    </w:tblStylePr>
    <w:tblStylePr w:type="band2Horz">
      <w:tcPr>
        <w:shd w:val="clear" w:color="auto" w:fill="D9E2F3" w:themeFill="accent1" w:themeFillTint="33"/>
      </w:tcPr>
    </w:tblStylePr>
  </w:style>
  <w:style w:type="paragraph" w:customStyle="1" w:styleId="93">
    <w:name w:val="标题1_无编号"/>
    <w:basedOn w:val="1"/>
    <w:qFormat/>
    <w:uiPriority w:val="0"/>
    <w:pPr>
      <w:jc w:val="center"/>
    </w:pPr>
    <w:rPr>
      <w:b/>
      <w:sz w:val="32"/>
    </w:rPr>
  </w:style>
  <w:style w:type="paragraph" w:customStyle="1" w:styleId="94">
    <w:name w:val="标题1-无号"/>
    <w:basedOn w:val="2"/>
    <w:next w:val="5"/>
    <w:qFormat/>
    <w:uiPriority w:val="0"/>
    <w:pPr>
      <w:numPr>
        <w:ilvl w:val="0"/>
        <w:numId w:val="0"/>
      </w:numPr>
    </w:pPr>
  </w:style>
  <w:style w:type="paragraph" w:customStyle="1" w:styleId="95">
    <w:name w:val="论文正文"/>
    <w:basedOn w:val="1"/>
    <w:qFormat/>
    <w:uiPriority w:val="0"/>
    <w:pPr>
      <w:ind w:firstLine="200" w:firstLineChars="200"/>
    </w:pPr>
    <w:rPr>
      <w:sz w:val="21"/>
    </w:rPr>
  </w:style>
  <w:style w:type="paragraph" w:customStyle="1" w:styleId="96">
    <w:name w:val="说明样式"/>
    <w:basedOn w:val="5"/>
    <w:next w:val="5"/>
    <w:qFormat/>
    <w:uiPriority w:val="0"/>
    <w:rPr>
      <w:rFonts w:ascii="仿宋" w:hAnsi="仿宋" w:eastAsia="仿宋"/>
    </w:rPr>
  </w:style>
  <w:style w:type="paragraph" w:customStyle="1" w:styleId="97">
    <w:name w:val="TOC 标题2"/>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98">
    <w:name w:val="标准3-无号"/>
    <w:basedOn w:val="4"/>
    <w:next w:val="99"/>
    <w:qFormat/>
    <w:uiPriority w:val="0"/>
    <w:pPr>
      <w:numPr>
        <w:ilvl w:val="0"/>
        <w:numId w:val="0"/>
      </w:numPr>
      <w:tabs>
        <w:tab w:val="left" w:pos="840"/>
      </w:tabs>
    </w:pPr>
  </w:style>
  <w:style w:type="paragraph" w:customStyle="1" w:styleId="99">
    <w:name w:val="说明正文"/>
    <w:basedOn w:val="1"/>
    <w:qFormat/>
    <w:uiPriority w:val="0"/>
    <w:pPr>
      <w:adjustRightInd w:val="0"/>
      <w:snapToGrid w:val="0"/>
      <w:spacing w:line="360" w:lineRule="auto"/>
      <w:ind w:firstLine="454"/>
    </w:pPr>
  </w:style>
  <w:style w:type="paragraph" w:customStyle="1" w:styleId="100">
    <w:name w:val="标题2-无号"/>
    <w:basedOn w:val="3"/>
    <w:qFormat/>
    <w:uiPriority w:val="0"/>
    <w:pPr>
      <w:numPr>
        <w:ilvl w:val="0"/>
        <w:numId w:val="0"/>
      </w:numPr>
    </w:pPr>
  </w:style>
  <w:style w:type="paragraph" w:customStyle="1" w:styleId="101">
    <w:name w:val="条文后注解"/>
    <w:basedOn w:val="67"/>
    <w:qFormat/>
    <w:uiPriority w:val="0"/>
    <w:rPr>
      <w:sz w:val="21"/>
    </w:rPr>
  </w:style>
  <w:style w:type="paragraph" w:customStyle="1" w:styleId="102">
    <w:name w:val="三级分类"/>
    <w:basedOn w:val="100"/>
    <w:qFormat/>
    <w:uiPriority w:val="0"/>
  </w:style>
  <w:style w:type="paragraph" w:customStyle="1" w:styleId="103">
    <w:name w:val="三级分类N"/>
    <w:basedOn w:val="5"/>
    <w:qFormat/>
    <w:uiPriority w:val="0"/>
    <w:pPr>
      <w:adjustRightInd w:val="0"/>
      <w:spacing w:before="50" w:beforeLines="50"/>
      <w:ind w:firstLine="0"/>
      <w:jc w:val="center"/>
    </w:pPr>
    <w:rPr>
      <w:rFonts w:eastAsia="仿宋"/>
    </w:rPr>
  </w:style>
  <w:style w:type="table" w:customStyle="1" w:styleId="104">
    <w:name w:val="表B11"/>
    <w:basedOn w:val="33"/>
    <w:qFormat/>
    <w:uiPriority w:val="99"/>
    <w:pPr>
      <w:jc w:val="center"/>
    </w:pPr>
    <w:rPr>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Arial"/>
        <w:b/>
        <w:sz w:val="18"/>
      </w:rPr>
      <w:tcPr>
        <w:tcBorders>
          <w:top w:val="single" w:color="auto" w:sz="12" w:space="0"/>
          <w:left w:val="nil"/>
          <w:bottom w:val="single" w:color="auto" w:sz="12" w:space="0"/>
          <w:right w:val="single" w:color="auto" w:sz="12" w:space="0"/>
          <w:insideH w:val="single" w:sz="4" w:space="0"/>
          <w:insideV w:val="single" w:sz="4" w:space="0"/>
          <w:tl2br w:val="nil"/>
          <w:tr2bl w:val="nil"/>
        </w:tcBorders>
        <w:shd w:val="clear" w:color="auto" w:fill="FFFFFF"/>
      </w:tcPr>
    </w:tblStylePr>
    <w:tblStylePr w:type="band2Horz">
      <w:tcPr>
        <w:shd w:val="clear" w:color="auto" w:fill="D9E2F3"/>
      </w:tcPr>
    </w:tblStylePr>
  </w:style>
  <w:style w:type="paragraph" w:customStyle="1" w:styleId="105">
    <w:name w:val="附录2级标题"/>
    <w:basedOn w:val="1"/>
    <w:qFormat/>
    <w:uiPriority w:val="0"/>
    <w:pPr>
      <w:keepNext/>
      <w:keepLines/>
      <w:numPr>
        <w:ilvl w:val="1"/>
        <w:numId w:val="3"/>
      </w:numPr>
      <w:spacing w:line="360" w:lineRule="auto"/>
      <w:jc w:val="center"/>
    </w:pPr>
    <w:rPr>
      <w:rFonts w:eastAsia="黑体"/>
      <w:bCs/>
      <w:szCs w:val="32"/>
    </w:rPr>
  </w:style>
  <w:style w:type="character" w:customStyle="1" w:styleId="106">
    <w:name w:val="未处理的提及1"/>
    <w:basedOn w:val="37"/>
    <w:semiHidden/>
    <w:unhideWhenUsed/>
    <w:qFormat/>
    <w:uiPriority w:val="99"/>
    <w:rPr>
      <w:color w:val="605E5C"/>
      <w:shd w:val="clear" w:color="auto" w:fill="E1DFDD"/>
    </w:rPr>
  </w:style>
  <w:style w:type="paragraph" w:customStyle="1" w:styleId="107">
    <w:name w:val="附录3级标题"/>
    <w:basedOn w:val="1"/>
    <w:qFormat/>
    <w:uiPriority w:val="0"/>
    <w:pPr>
      <w:numPr>
        <w:ilvl w:val="2"/>
        <w:numId w:val="4"/>
      </w:numPr>
      <w:spacing w:after="120" w:line="360" w:lineRule="auto"/>
    </w:pPr>
  </w:style>
  <w:style w:type="paragraph" w:customStyle="1" w:styleId="108">
    <w:name w:val="附录1级标题"/>
    <w:basedOn w:val="2"/>
    <w:qFormat/>
    <w:uiPriority w:val="0"/>
    <w:pPr>
      <w:numPr>
        <w:numId w:val="4"/>
      </w:numPr>
    </w:pPr>
  </w:style>
  <w:style w:type="paragraph" w:customStyle="1" w:styleId="109">
    <w:name w:val="前言正文"/>
    <w:basedOn w:val="1"/>
    <w:qFormat/>
    <w:uiPriority w:val="0"/>
    <w:pPr>
      <w:adjustRightInd w:val="0"/>
      <w:snapToGrid w:val="0"/>
      <w:spacing w:line="312" w:lineRule="auto"/>
      <w:ind w:firstLine="482"/>
    </w:pPr>
    <w:rPr>
      <w:kern w:val="1"/>
    </w:rPr>
  </w:style>
  <w:style w:type="paragraph" w:customStyle="1" w:styleId="110">
    <w:name w:val="前言单位"/>
    <w:basedOn w:val="1"/>
    <w:qFormat/>
    <w:uiPriority w:val="0"/>
    <w:pPr>
      <w:tabs>
        <w:tab w:val="left" w:pos="1920"/>
      </w:tabs>
      <w:adjustRightInd w:val="0"/>
      <w:spacing w:line="360" w:lineRule="auto"/>
      <w:ind w:firstLine="480" w:firstLineChars="200"/>
    </w:pPr>
    <w:rPr>
      <w:kern w:val="1"/>
    </w:rPr>
  </w:style>
  <w:style w:type="paragraph" w:customStyle="1" w:styleId="111">
    <w:name w:val="说明插图"/>
    <w:basedOn w:val="69"/>
    <w:qFormat/>
    <w:uiPriority w:val="0"/>
  </w:style>
  <w:style w:type="table" w:customStyle="1" w:styleId="112">
    <w:name w:val="表B12"/>
    <w:basedOn w:val="33"/>
    <w:qFormat/>
    <w:uiPriority w:val="99"/>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rFonts w:hint="default" w:ascii="MS Sans Serif" w:hAnsi="MS Sans Serif" w:eastAsia="宋体"/>
        <w:b/>
        <w:sz w:val="18"/>
        <w:szCs w:val="18"/>
      </w:rPr>
      <w:tcPr>
        <w:tcBorders>
          <w:top w:val="single" w:color="auto" w:sz="12" w:space="0"/>
          <w:left w:val="single" w:color="auto" w:sz="12" w:space="0"/>
          <w:bottom w:val="nil"/>
          <w:right w:val="single" w:color="auto" w:sz="12" w:space="0"/>
          <w:insideH w:val="single" w:sz="4" w:space="0"/>
          <w:insideV w:val="single" w:sz="4" w:space="0"/>
          <w:tl2br w:val="nil"/>
          <w:tr2bl w:val="nil"/>
        </w:tcBorders>
        <w:shd w:val="clear" w:color="auto" w:fill="FFFFFF" w:themeFill="background1"/>
      </w:tcPr>
    </w:tblStylePr>
    <w:tblStylePr w:type="band2Horz">
      <w:tcPr>
        <w:shd w:val="clear" w:color="auto" w:fill="D9E2F3"/>
      </w:tcPr>
    </w:tblStylePr>
  </w:style>
  <w:style w:type="paragraph" w:customStyle="1" w:styleId="113">
    <w:name w:val="TOC Heading"/>
    <w:basedOn w:val="2"/>
    <w:next w:val="1"/>
    <w:unhideWhenUsed/>
    <w:qFormat/>
    <w:uiPriority w:val="39"/>
    <w:pPr>
      <w:widowControl/>
      <w:numPr>
        <w:numId w:val="0"/>
      </w:numPr>
      <w:adjustRightInd/>
      <w:snapToGrid/>
      <w:spacing w:before="240" w:after="0" w:afterLines="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14">
    <w:name w:val="Unresolved Mention"/>
    <w:basedOn w:val="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microsoft.com/office/2006/relationships/keyMapCustomizations" Target="customizations.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0.jpe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emf"/><Relationship Id="rId90" Type="http://schemas.openxmlformats.org/officeDocument/2006/relationships/oleObject" Target="embeddings/oleObject2.bin"/><Relationship Id="rId9" Type="http://schemas.openxmlformats.org/officeDocument/2006/relationships/theme" Target="theme/theme1.xml"/><Relationship Id="rId89" Type="http://schemas.openxmlformats.org/officeDocument/2006/relationships/image" Target="media/image76.emf"/><Relationship Id="rId88" Type="http://schemas.openxmlformats.org/officeDocument/2006/relationships/oleObject" Target="embeddings/oleObject1.bin"/><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3.sv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2.svg"/><Relationship Id="rId62" Type="http://schemas.openxmlformats.org/officeDocument/2006/relationships/image" Target="media/image52.png"/><Relationship Id="rId61" Type="http://schemas.openxmlformats.org/officeDocument/2006/relationships/image" Target="media/image1.sv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emf"/><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141</Pages>
  <Words>14596</Words>
  <Characters>83203</Characters>
  <Lines>693</Lines>
  <Paragraphs>195</Paragraphs>
  <TotalTime>3195</TotalTime>
  <ScaleCrop>false</ScaleCrop>
  <LinksUpToDate>false</LinksUpToDate>
  <CharactersWithSpaces>97604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2025-04-17T10:11:00Z</dcterms:created>
  <dc:creator>李 黎明</dc:creator>
  <cp:lastModifiedBy>zxz</cp:lastModifiedBy>
  <cp:lastPrinted>2025-05-21T09:18:00Z</cp:lastPrinted>
  <dcterms:modified xsi:type="dcterms:W3CDTF">2025-07-07T08:57:15Z</dcterms:modified>
  <cp:revision>587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F76B144B20C75D4797A7CE6631335418_43</vt:lpwstr>
  </property>
</Properties>
</file>