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 </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A 12</w:t>
            </w:r>
            <w:r>
              <w:rPr>
                <w:rFonts w:ascii="黑体" w:hAnsi="黑体" w:eastAsia="黑体"/>
                <w:sz w:val="21"/>
                <w:szCs w:val="21"/>
              </w:rPr>
              <w:fldChar w:fldCharType="end"/>
            </w:r>
            <w:bookmarkEnd w:id="1"/>
          </w:p>
        </w:tc>
      </w:tr>
    </w:tbl>
    <w:tbl>
      <w:tblPr>
        <w:tblStyle w:val="29"/>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52"/>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39" cstate="print">
                            <a:extLst>
                              <a:ext uri="{28A0092B-C50C-407E-A947-70E740481C1C}">
                                <a14:useLocalDpi xmlns:a14="http://schemas.microsoft.com/office/drawing/2010/main" val="false"/>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11</w:t>
            </w:r>
            <w:r>
              <w:fldChar w:fldCharType="end"/>
            </w:r>
            <w:bookmarkEnd w:id="3"/>
          </w:p>
        </w:tc>
      </w:tr>
    </w:tbl>
    <w:p>
      <w:pPr>
        <w:pStyle w:val="53"/>
        <w:framePr w:w="9639" w:h="624" w:hRule="exact" w:hSpace="181" w:vSpace="181"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北京市</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8"/>
        <w:framePr/>
        <w:rPr>
          <w:lang w:val="fr-FR"/>
        </w:rPr>
      </w:pPr>
      <w:r>
        <w:rPr>
          <w:lang w:val="fr-FR"/>
        </w:rPr>
        <w:t>DB</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rPr>
        <w:t>11</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rFonts w:hint="eastAsia"/>
        </w:rPr>
        <w:t>596</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pPr>
        <w:pStyle w:val="199"/>
        <w:framePr/>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int="eastAsia" w:hAnsi="黑体"/>
        </w:rPr>
        <w:t>代替 DB11/T 596-2021</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ng0mW2AAAAAwB&#10;AAAPAAAAAAAAAAEAIAAAADgAAABkcnMvZG93bnJldi54bWxQSwECFAAUAAAACACHTuJASfTgWswB&#10;AABhAwAADgAAAAAAAAABACAAAAA9AQAAZHJzL2Uyb0RvYy54bWxQSwUGAAAAAAYABgBZAQAAewUA&#10;AAAA&#10;">
                <v:fill on="f" focussize="0,0"/>
                <v:stroke color="#000000" joinstyle="round"/>
                <v:imagedata o:title=""/>
                <o:lock v:ext="edit" aspectratio="f"/>
              </v:line>
            </w:pict>
          </mc:Fallback>
        </mc:AlternateContent>
      </w:r>
    </w:p>
    <w:p>
      <w:pPr>
        <w:pStyle w:val="53"/>
        <w:framePr w:w="9639" w:h="6976" w:hRule="exact" w:hSpace="0" w:vSpace="0" w:hAnchor="page" w:y="6408"/>
        <w:jc w:val="center"/>
        <w:rPr>
          <w:rFonts w:ascii="黑体" w:hAnsi="黑体" w:eastAsia="黑体"/>
          <w:b w:val="0"/>
          <w:bCs w:val="0"/>
          <w:w w:val="100"/>
        </w:rPr>
      </w:pPr>
    </w:p>
    <w:p>
      <w:pPr>
        <w:pStyle w:val="200"/>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停车场（库）运营服务规范</w:t>
      </w:r>
      <w:r>
        <w:fldChar w:fldCharType="end"/>
      </w:r>
      <w:bookmarkEnd w:id="9"/>
    </w:p>
    <w:p>
      <w:pPr>
        <w:framePr w:w="9639" w:h="6974" w:hRule="exact" w:wrap="around" w:vAnchor="page" w:hAnchor="page" w:x="1419" w:y="6408" w:anchorLock="1"/>
        <w:ind w:left="-1418"/>
      </w:pPr>
    </w:p>
    <w:p>
      <w:pPr>
        <w:pStyle w:val="128"/>
        <w:framePr w:w="9639" w:h="6974" w:hRule="exact" w:wrap="around" w:vAnchor="page" w:hAnchor="page" w:x="1419" w:y="6408" w:anchorLock="1"/>
        <w:textAlignment w:val="bottom"/>
        <w:rPr>
          <w:rFonts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hint="eastAsia" w:ascii="黑体" w:hAnsi="黑体" w:eastAsia="黑体"/>
          <w:szCs w:val="28"/>
        </w:rPr>
        <w:t>Specification for operation and services for parking lot (garage)</w:t>
      </w:r>
      <w:r>
        <w:rPr>
          <w:rFonts w:ascii="黑体" w:hAnsi="黑体" w:eastAsia="黑体"/>
          <w:szCs w:val="28"/>
        </w:rPr>
        <w:fldChar w:fldCharType="end"/>
      </w:r>
      <w:bookmarkEnd w:id="10"/>
    </w:p>
    <w:p>
      <w:pPr>
        <w:framePr w:w="9639" w:h="6974" w:hRule="exact" w:wrap="around" w:vAnchor="page" w:hAnchor="page" w:x="1419" w:y="6408" w:anchorLock="1"/>
        <w:spacing w:line="760" w:lineRule="exact"/>
        <w:ind w:left="-1418"/>
      </w:pPr>
    </w:p>
    <w:p>
      <w:pPr>
        <w:pStyle w:val="128"/>
        <w:framePr w:w="9639" w:h="6974" w:hRule="exact" w:wrap="around" w:vAnchor="page" w:hAnchor="page" w:x="1419" w:y="6408" w:anchorLock="1"/>
        <w:textAlignment w:val="bottom"/>
        <w:rPr>
          <w:rFonts w:eastAsia="黑体"/>
          <w:szCs w:val="28"/>
        </w:rPr>
      </w:pPr>
    </w:p>
    <w:p>
      <w:pPr>
        <w:pStyle w:val="12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（本草案完成时间：2025年4月30日）</w:t>
      </w:r>
      <w:r>
        <w:rPr>
          <w:sz w:val="21"/>
          <w:szCs w:val="28"/>
        </w:rPr>
        <w:fldChar w:fldCharType="end"/>
      </w:r>
      <w:bookmarkEnd w:id="12"/>
    </w:p>
    <w:p>
      <w:pPr>
        <w:pStyle w:val="128"/>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6"/>
        <w:framePr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7"/>
        <w:framePr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4"/>
        <w:framePr w:h="584" w:hRule="exact" w:hSpace="181" w:vSpace="181"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北 京 市 市 场 监 督 管 理 局</w:t>
      </w:r>
      <w:r>
        <w:rPr>
          <w:rFonts w:hAnsi="黑体"/>
          <w:w w:val="100"/>
          <w:sz w:val="28"/>
        </w:rPr>
        <w:fldChar w:fldCharType="end"/>
      </w:r>
      <w:bookmarkEnd w:id="20"/>
      <w:r>
        <w:rPr>
          <w:rFonts w:ascii="Times New Roman"/>
          <w:w w:val="100"/>
          <w:sz w:val="28"/>
        </w:rPr>
        <w:t>  </w:t>
      </w:r>
      <w:r>
        <w:rPr>
          <w:rStyle w:val="232"/>
          <w:rFonts w:hint="eastAsia" w:hAnsi="黑体"/>
          <w:position w:val="0"/>
        </w:rPr>
        <w:t>发</w:t>
      </w:r>
      <w:r>
        <w:rPr>
          <w:rStyle w:val="232"/>
          <w:rFonts w:hint="eastAsia" w:hAnsi="黑体"/>
          <w:spacing w:val="0"/>
          <w:position w:val="0"/>
        </w:rPr>
        <w:t>布</w:t>
      </w:r>
    </w:p>
    <w:p>
      <w:pPr>
        <w:rPr>
          <w:rFonts w:ascii="宋体" w:hAnsi="宋体"/>
          <w:sz w:val="28"/>
          <w:szCs w:val="28"/>
        </w:rPr>
        <w:sectPr>
          <w:headerReference r:id="rId7" w:type="first"/>
          <w:footerReference r:id="rId9" w:type="first"/>
          <w:headerReference r:id="rId5" w:type="default"/>
          <w:headerReference r:id="rId6" w:type="even"/>
          <w:footerReference r:id="rId8"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rMxz71wAAAA4BAAAP&#10;AAAAAAAAAAEAIAAAADgAAABkcnMvZG93bnJldi54bWxQSwECFAAUAAAACACHTuJAEc9x0soBAABf&#10;AwAADgAAAAAAAAABACAAAAA8AQAAZHJzL2Uyb0RvYy54bWxQSwUGAAAAAAYABgBZAQAAeAUAAAAA&#10;">
                <v:fill on="f" focussize="0,0"/>
                <v:stroke color="#000000" joinstyle="round"/>
                <v:imagedata o:title=""/>
                <o:lock v:ext="edit" aspectratio="f"/>
                <w10:anchorlock/>
              </v:line>
            </w:pict>
          </mc:Fallback>
        </mc:AlternateContent>
      </w:r>
    </w:p>
    <w:p>
      <w:pPr>
        <w:pStyle w:val="94"/>
        <w:spacing w:after="468"/>
      </w:pPr>
      <w:bookmarkStart w:id="21" w:name="BookMark1"/>
      <w:bookmarkStart w:id="22" w:name="_Toc195728763"/>
      <w:r>
        <w:rPr>
          <w:rFonts w:hint="eastAsia"/>
          <w:spacing w:val="320"/>
        </w:rPr>
        <w:t>目</w:t>
      </w:r>
      <w:r>
        <w:rPr>
          <w:rFonts w:hint="eastAsia"/>
        </w:rPr>
        <w:t>次</w:t>
      </w:r>
    </w:p>
    <w:p>
      <w:pPr>
        <w:pStyle w:val="20"/>
        <w:tabs>
          <w:tab w:val="right" w:leader="dot" w:pos="9344"/>
        </w:tabs>
        <w:rPr>
          <w:rFonts w:asciiTheme="minorHAnsi" w:hAnsiTheme="minorHAnsi" w:eastAsiaTheme="minorEastAsia" w:cstheme="minorBidi"/>
          <w:sz w:val="22"/>
          <w:szCs w:val="24"/>
          <w14:ligatures w14:val="standardContextual"/>
        </w:rPr>
      </w:pPr>
      <w:r>
        <w:rPr>
          <w:highlight w:val="yellow"/>
        </w:rPr>
        <w:fldChar w:fldCharType="begin"/>
      </w:r>
      <w:r>
        <w:rPr>
          <w:highlight w:val="yellow"/>
        </w:rPr>
        <w:instrText xml:space="preserve"> TOC \o "1-1" \h </w:instrText>
      </w:r>
      <w:r>
        <w:rPr>
          <w:highlight w:val="yellow"/>
        </w:rPr>
        <w:fldChar w:fldCharType="separate"/>
      </w:r>
      <w:r>
        <w:fldChar w:fldCharType="begin"/>
      </w:r>
      <w:r>
        <w:instrText xml:space="preserve"> HYPERLINK \l "_Toc196389908" </w:instrText>
      </w:r>
      <w:r>
        <w:fldChar w:fldCharType="separate"/>
      </w:r>
      <w:r>
        <w:rPr>
          <w:rStyle w:val="34"/>
          <w:rFonts w:hint="eastAsia"/>
        </w:rPr>
        <w:t>前言</w:t>
      </w:r>
      <w:r>
        <w:rPr>
          <w:rFonts w:hint="eastAsia"/>
        </w:rPr>
        <w:tab/>
      </w:r>
      <w:r>
        <w:rPr>
          <w:rFonts w:hint="eastAsia"/>
        </w:rPr>
        <w:fldChar w:fldCharType="begin"/>
      </w:r>
      <w:r>
        <w:rPr>
          <w:rFonts w:hint="eastAsia"/>
        </w:rPr>
        <w:instrText xml:space="preserve"> </w:instrText>
      </w:r>
      <w:r>
        <w:instrText xml:space="preserve">PAGEREF _Toc196389908 \h</w:instrText>
      </w:r>
      <w:r>
        <w:rPr>
          <w:rFonts w:hint="eastAsia"/>
        </w:rPr>
        <w:instrText xml:space="preserve"> </w:instrText>
      </w:r>
      <w:r>
        <w:rPr>
          <w:rFonts w:hint="eastAsia"/>
        </w:rPr>
        <w:fldChar w:fldCharType="separate"/>
      </w:r>
      <w:r>
        <w:t>II</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"_Toc196389909" </w:instrText>
      </w:r>
      <w:r>
        <w:fldChar w:fldCharType="separate"/>
      </w:r>
      <w:r>
        <w:rPr>
          <w:rStyle w:val="34"/>
          <w:rFonts w:hint="eastAsia"/>
        </w:rPr>
        <w:t>1</w:t>
      </w:r>
      <w:r>
        <w:rPr>
          <w:rStyle w:val="34"/>
        </w:rPr>
        <w:t xml:space="preserve"> </w:t>
      </w:r>
      <w:r>
        <w:rPr>
          <w:rStyle w:val="34"/>
          <w:rFonts w:hint="eastAsia"/>
        </w:rPr>
        <w:t xml:space="preserve"> 范围</w:t>
      </w:r>
      <w:r>
        <w:rPr>
          <w:rFonts w:hint="eastAsia"/>
        </w:rPr>
        <w:tab/>
      </w:r>
      <w:r>
        <w:rPr>
          <w:rFonts w:hint="eastAsia"/>
        </w:rPr>
        <w:fldChar w:fldCharType="begin"/>
      </w:r>
      <w:r>
        <w:rPr>
          <w:rFonts w:hint="eastAsia"/>
        </w:rPr>
        <w:instrText xml:space="preserve"> </w:instrText>
      </w:r>
      <w:r>
        <w:instrText xml:space="preserve">PAGEREF _Toc196389909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"_Toc196389911" </w:instrText>
      </w:r>
      <w:r>
        <w:fldChar w:fldCharType="separate"/>
      </w:r>
      <w:r>
        <w:rPr>
          <w:rStyle w:val="34"/>
        </w:rPr>
        <w:t xml:space="preserve">2 </w:t>
      </w:r>
      <w:r>
        <w:rPr>
          <w:rStyle w:val="34"/>
          <w:rFonts w:hint="eastAsia"/>
        </w:rPr>
        <w:t xml:space="preserve"> 规范性引用文件</w:t>
      </w:r>
      <w:r>
        <w:rPr>
          <w:rFonts w:hint="eastAsia"/>
        </w:rPr>
        <w:tab/>
      </w:r>
      <w:r>
        <w:rPr>
          <w:rFonts w:hint="eastAsia"/>
        </w:rPr>
        <w:fldChar w:fldCharType="begin"/>
      </w:r>
      <w:r>
        <w:rPr>
          <w:rFonts w:hint="eastAsia"/>
        </w:rPr>
        <w:instrText xml:space="preserve"> </w:instrText>
      </w:r>
      <w:r>
        <w:instrText xml:space="preserve">PAGEREF _Toc196389911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"_Toc196389912" </w:instrText>
      </w:r>
      <w:r>
        <w:fldChar w:fldCharType="separate"/>
      </w:r>
      <w:r>
        <w:rPr>
          <w:rStyle w:val="34"/>
          <w:rFonts w:hint="eastAsia"/>
        </w:rPr>
        <w:t>3</w:t>
      </w:r>
      <w:r>
        <w:rPr>
          <w:rStyle w:val="34"/>
        </w:rPr>
        <w:t xml:space="preserve"> </w:t>
      </w:r>
      <w:r>
        <w:rPr>
          <w:rStyle w:val="34"/>
          <w:rFonts w:hint="eastAsia"/>
        </w:rPr>
        <w:t xml:space="preserve"> 术语和定义</w:t>
      </w:r>
      <w:r>
        <w:rPr>
          <w:rFonts w:hint="eastAsia"/>
        </w:rPr>
        <w:tab/>
      </w:r>
      <w:r>
        <w:rPr>
          <w:rFonts w:hint="eastAsia"/>
        </w:rPr>
        <w:fldChar w:fldCharType="begin"/>
      </w:r>
      <w:r>
        <w:rPr>
          <w:rFonts w:hint="eastAsia"/>
        </w:rPr>
        <w:instrText xml:space="preserve"> </w:instrText>
      </w:r>
      <w:r>
        <w:instrText xml:space="preserve">PAGEREF _Toc196389912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"_Toc196389919" </w:instrText>
      </w:r>
      <w:r>
        <w:fldChar w:fldCharType="separate"/>
      </w:r>
      <w:r>
        <w:rPr>
          <w:rStyle w:val="34"/>
          <w:rFonts w:hint="eastAsia"/>
        </w:rPr>
        <w:t>4</w:t>
      </w:r>
      <w:r>
        <w:rPr>
          <w:rStyle w:val="34"/>
        </w:rPr>
        <w:t xml:space="preserve"> </w:t>
      </w:r>
      <w:r>
        <w:rPr>
          <w:rStyle w:val="34"/>
          <w:rFonts w:hint="eastAsia"/>
        </w:rPr>
        <w:t xml:space="preserve"> 经营者要求</w:t>
      </w:r>
      <w:r>
        <w:rPr>
          <w:rFonts w:hint="eastAsia"/>
        </w:rPr>
        <w:tab/>
      </w:r>
      <w:r>
        <w:rPr>
          <w:rFonts w:hint="eastAsia"/>
        </w:rPr>
        <w:fldChar w:fldCharType="begin"/>
      </w:r>
      <w:r>
        <w:rPr>
          <w:rFonts w:hint="eastAsia"/>
        </w:rPr>
        <w:instrText xml:space="preserve"> </w:instrText>
      </w:r>
      <w:r>
        <w:instrText xml:space="preserve">PAGEREF _Toc196389919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"_Toc196389920" </w:instrText>
      </w:r>
      <w:r>
        <w:fldChar w:fldCharType="separate"/>
      </w:r>
      <w:r>
        <w:rPr>
          <w:rStyle w:val="34"/>
          <w:rFonts w:hint="eastAsia"/>
        </w:rPr>
        <w:t>5</w:t>
      </w:r>
      <w:r>
        <w:rPr>
          <w:rStyle w:val="34"/>
        </w:rPr>
        <w:t xml:space="preserve"> </w:t>
      </w:r>
      <w:r>
        <w:rPr>
          <w:rStyle w:val="34"/>
          <w:rFonts w:hint="eastAsia"/>
        </w:rPr>
        <w:t xml:space="preserve"> 服务设施要求</w:t>
      </w:r>
      <w:r>
        <w:rPr>
          <w:rFonts w:hint="eastAsia"/>
        </w:rPr>
        <w:tab/>
      </w:r>
      <w:r>
        <w:rPr>
          <w:rFonts w:hint="eastAsia"/>
        </w:rPr>
        <w:fldChar w:fldCharType="begin"/>
      </w:r>
      <w:r>
        <w:rPr>
          <w:rFonts w:hint="eastAsia"/>
        </w:rPr>
        <w:instrText xml:space="preserve"> </w:instrText>
      </w:r>
      <w:r>
        <w:instrText xml:space="preserve">PAGEREF _Toc196389920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"_Toc196389921" </w:instrText>
      </w:r>
      <w:r>
        <w:fldChar w:fldCharType="separate"/>
      </w:r>
      <w:r>
        <w:rPr>
          <w:rStyle w:val="34"/>
          <w:rFonts w:hint="eastAsia"/>
        </w:rPr>
        <w:t>6</w:t>
      </w:r>
      <w:r>
        <w:rPr>
          <w:rStyle w:val="34"/>
        </w:rPr>
        <w:t xml:space="preserve"> </w:t>
      </w:r>
      <w:r>
        <w:rPr>
          <w:rStyle w:val="34"/>
          <w:rFonts w:hint="eastAsia"/>
        </w:rPr>
        <w:t xml:space="preserve"> 管理服务要求</w:t>
      </w:r>
      <w:r>
        <w:rPr>
          <w:rFonts w:hint="eastAsia"/>
        </w:rPr>
        <w:tab/>
      </w:r>
      <w:r>
        <w:rPr>
          <w:rFonts w:hint="eastAsia"/>
        </w:rPr>
        <w:fldChar w:fldCharType="begin"/>
      </w:r>
      <w:r>
        <w:rPr>
          <w:rFonts w:hint="eastAsia"/>
        </w:rPr>
        <w:instrText xml:space="preserve"> </w:instrText>
      </w:r>
      <w:r>
        <w:instrText xml:space="preserve">PAGEREF _Toc196389921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"_Toc196389922" </w:instrText>
      </w:r>
      <w:r>
        <w:fldChar w:fldCharType="separate"/>
      </w:r>
      <w:r>
        <w:rPr>
          <w:rStyle w:val="34"/>
          <w:rFonts w:hint="eastAsia"/>
        </w:rPr>
        <w:t>7</w:t>
      </w:r>
      <w:r>
        <w:rPr>
          <w:rStyle w:val="34"/>
        </w:rPr>
        <w:t xml:space="preserve"> </w:t>
      </w:r>
      <w:r>
        <w:rPr>
          <w:rStyle w:val="34"/>
          <w:rFonts w:hint="eastAsia"/>
        </w:rPr>
        <w:t xml:space="preserve"> 安全管理要求</w:t>
      </w:r>
      <w:r>
        <w:rPr>
          <w:rFonts w:hint="eastAsia"/>
        </w:rPr>
        <w:tab/>
      </w:r>
      <w:r>
        <w:rPr>
          <w:rFonts w:hint="eastAsia"/>
        </w:rPr>
        <w:fldChar w:fldCharType="begin"/>
      </w:r>
      <w:r>
        <w:rPr>
          <w:rFonts w:hint="eastAsia"/>
        </w:rPr>
        <w:instrText xml:space="preserve"> </w:instrText>
      </w:r>
      <w:r>
        <w:instrText xml:space="preserve">PAGEREF _Toc196389922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"_Toc196389923" </w:instrText>
      </w:r>
      <w:r>
        <w:fldChar w:fldCharType="separate"/>
      </w:r>
      <w:r>
        <w:rPr>
          <w:rStyle w:val="34"/>
          <w:rFonts w:hint="eastAsia"/>
        </w:rPr>
        <w:t>8</w:t>
      </w:r>
      <w:r>
        <w:rPr>
          <w:rStyle w:val="34"/>
        </w:rPr>
        <w:t xml:space="preserve"> </w:t>
      </w:r>
      <w:r>
        <w:rPr>
          <w:rStyle w:val="34"/>
          <w:rFonts w:hint="eastAsia"/>
        </w:rPr>
        <w:t xml:space="preserve"> 环境要求</w:t>
      </w:r>
      <w:r>
        <w:rPr>
          <w:rFonts w:hint="eastAsia"/>
        </w:rPr>
        <w:tab/>
      </w:r>
      <w:r>
        <w:rPr>
          <w:rFonts w:hint="eastAsia"/>
        </w:rPr>
        <w:fldChar w:fldCharType="begin"/>
      </w:r>
      <w:r>
        <w:rPr>
          <w:rFonts w:hint="eastAsia"/>
        </w:rPr>
        <w:instrText xml:space="preserve"> </w:instrText>
      </w:r>
      <w:r>
        <w:instrText xml:space="preserve">PAGEREF _Toc196389923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"_Toc196389924" </w:instrText>
      </w:r>
      <w:r>
        <w:fldChar w:fldCharType="separate"/>
      </w:r>
      <w:r>
        <w:rPr>
          <w:rStyle w:val="34"/>
          <w:rFonts w:hint="eastAsia"/>
        </w:rPr>
        <w:t>9</w:t>
      </w:r>
      <w:r>
        <w:rPr>
          <w:rStyle w:val="34"/>
        </w:rPr>
        <w:t xml:space="preserve"> </w:t>
      </w:r>
      <w:r>
        <w:rPr>
          <w:rStyle w:val="34"/>
          <w:rFonts w:hint="eastAsia"/>
        </w:rPr>
        <w:t xml:space="preserve"> 智能化要求</w:t>
      </w:r>
      <w:r>
        <w:rPr>
          <w:rFonts w:hint="eastAsia"/>
        </w:rPr>
        <w:tab/>
      </w:r>
      <w:r>
        <w:rPr>
          <w:rFonts w:hint="eastAsia"/>
        </w:rPr>
        <w:fldChar w:fldCharType="begin"/>
      </w:r>
      <w:r>
        <w:rPr>
          <w:rFonts w:hint="eastAsia"/>
        </w:rPr>
        <w:instrText xml:space="preserve"> </w:instrText>
      </w:r>
      <w:r>
        <w:instrText xml:space="preserve">PAGEREF _Toc196389924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"_Toc196389925" </w:instrText>
      </w:r>
      <w:r>
        <w:fldChar w:fldCharType="separate"/>
      </w:r>
      <w:r>
        <w:rPr>
          <w:rStyle w:val="34"/>
          <w:rFonts w:hint="eastAsia"/>
        </w:rPr>
        <w:t>附录A（资料性）停车场明码标价牌参考式样</w:t>
      </w:r>
      <w:r>
        <w:rPr>
          <w:rFonts w:hint="eastAsia"/>
        </w:rPr>
        <w:tab/>
      </w:r>
      <w:r>
        <w:rPr>
          <w:rFonts w:hint="eastAsia"/>
        </w:rPr>
        <w:fldChar w:fldCharType="begin"/>
      </w:r>
      <w:r>
        <w:rPr>
          <w:rFonts w:hint="eastAsia"/>
        </w:rPr>
        <w:instrText xml:space="preserve"> </w:instrText>
      </w:r>
      <w:r>
        <w:instrText xml:space="preserve">PAGEREF _Toc196389925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"_Toc196389926" </w:instrText>
      </w:r>
      <w:r>
        <w:fldChar w:fldCharType="separate"/>
      </w:r>
      <w:r>
        <w:rPr>
          <w:rStyle w:val="34"/>
          <w:rFonts w:hint="eastAsia"/>
        </w:rPr>
        <w:t>附录B（资料性）P+R停车场明码标价牌、收费标准公示牌、引导标识和换乘引导标识参考式样</w:t>
      </w:r>
      <w:r>
        <w:rPr>
          <w:rFonts w:hint="eastAsia"/>
        </w:rPr>
        <w:tab/>
      </w:r>
      <w:r>
        <w:rPr>
          <w:rFonts w:hint="eastAsia"/>
        </w:rPr>
        <w:fldChar w:fldCharType="begin"/>
      </w:r>
      <w:r>
        <w:rPr>
          <w:rFonts w:hint="eastAsia"/>
        </w:rPr>
        <w:instrText xml:space="preserve"> </w:instrText>
      </w:r>
      <w:r>
        <w:instrText xml:space="preserve">PAGEREF _Toc196389926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"_Toc196389927" </w:instrText>
      </w:r>
      <w:r>
        <w:fldChar w:fldCharType="separate"/>
      </w:r>
      <w:r>
        <w:rPr>
          <w:rStyle w:val="34"/>
          <w:rFonts w:hint="eastAsia"/>
        </w:rPr>
        <w:t>附录C（资料性）常用标志图形</w:t>
      </w:r>
      <w:r>
        <w:rPr>
          <w:rFonts w:hint="eastAsia"/>
        </w:rPr>
        <w:tab/>
      </w:r>
      <w:r>
        <w:rPr>
          <w:rFonts w:hint="eastAsia"/>
        </w:rPr>
        <w:fldChar w:fldCharType="begin"/>
      </w:r>
      <w:r>
        <w:rPr>
          <w:rFonts w:hint="eastAsia"/>
        </w:rPr>
        <w:instrText xml:space="preserve"> </w:instrText>
      </w:r>
      <w:r>
        <w:instrText xml:space="preserve">PAGEREF _Toc196389927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"_Toc196389928" </w:instrText>
      </w:r>
      <w:r>
        <w:fldChar w:fldCharType="separate"/>
      </w:r>
      <w:r>
        <w:rPr>
          <w:rStyle w:val="34"/>
          <w:rFonts w:hint="eastAsia"/>
        </w:rPr>
        <w:t>附录D（资料性）二轮摩托车停车泊位、标志牌参考式样</w:t>
      </w:r>
      <w:r>
        <w:rPr>
          <w:rFonts w:hint="eastAsia"/>
        </w:rPr>
        <w:tab/>
      </w:r>
      <w:r>
        <w:rPr>
          <w:rFonts w:hint="eastAsia"/>
        </w:rPr>
        <w:fldChar w:fldCharType="begin"/>
      </w:r>
      <w:r>
        <w:rPr>
          <w:rFonts w:hint="eastAsia"/>
        </w:rPr>
        <w:instrText xml:space="preserve"> </w:instrText>
      </w:r>
      <w:r>
        <w:instrText xml:space="preserve">PAGEREF _Toc196389928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pPr>
        <w:pStyle w:val="20"/>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"_Toc196389929" </w:instrText>
      </w:r>
      <w:r>
        <w:fldChar w:fldCharType="separate"/>
      </w:r>
      <w:r>
        <w:rPr>
          <w:rStyle w:val="34"/>
          <w:rFonts w:hint="eastAsia"/>
        </w:rPr>
        <w:t>附录E（资料性）电动汽车专用泊位、标志牌式样</w:t>
      </w:r>
      <w:r>
        <w:rPr>
          <w:rFonts w:hint="eastAsia"/>
        </w:rPr>
        <w:tab/>
      </w:r>
      <w:r>
        <w:rPr>
          <w:rFonts w:hint="eastAsia"/>
        </w:rPr>
        <w:fldChar w:fldCharType="begin"/>
      </w:r>
      <w:r>
        <w:rPr>
          <w:rFonts w:hint="eastAsia"/>
        </w:rPr>
        <w:instrText xml:space="preserve"> </w:instrText>
      </w:r>
      <w:r>
        <w:instrText xml:space="preserve">PAGEREF _Toc196389929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94"/>
        <w:spacing w:after="468"/>
        <w:rPr>
          <w:highlight w:val="yellow"/>
        </w:rPr>
        <w:sectPr>
          <w:headerReference r:id="rId10" w:type="default"/>
          <w:footerReference r:id="rId11" w:type="default"/>
          <w:footerReference r:id="rId12" w:type="even"/>
          <w:pgSz w:w="11906" w:h="16838"/>
          <w:pgMar w:top="1928" w:right="1134" w:bottom="1134" w:left="1134" w:header="1418" w:footer="1134" w:gutter="284"/>
          <w:pgNumType w:fmt="upperRoman" w:start="1"/>
          <w:cols w:space="425" w:num="1"/>
          <w:formProt w:val="0"/>
          <w:docGrid w:type="lines" w:linePitch="312" w:charSpace="0"/>
        </w:sectPr>
      </w:pPr>
      <w:r>
        <w:rPr>
          <w:highlight w:val="yellow"/>
        </w:rPr>
        <w:fldChar w:fldCharType="end"/>
      </w:r>
    </w:p>
    <w:bookmarkEnd w:id="21"/>
    <w:p>
      <w:pPr>
        <w:pStyle w:val="92"/>
        <w:spacing w:after="468"/>
      </w:pPr>
      <w:bookmarkStart w:id="23" w:name="_Toc196389908"/>
      <w:bookmarkStart w:id="24" w:name="BookMark2"/>
      <w:r>
        <w:rPr>
          <w:rFonts w:hint="eastAsia"/>
          <w:spacing w:val="320"/>
        </w:rPr>
        <w:t>前</w:t>
      </w:r>
      <w:r>
        <w:rPr>
          <w:rFonts w:hint="eastAsia"/>
        </w:rPr>
        <w:t>言</w:t>
      </w:r>
      <w:bookmarkEnd w:id="22"/>
      <w:bookmarkEnd w:id="23"/>
    </w:p>
    <w:p>
      <w:pPr>
        <w:pStyle w:val="59"/>
        <w:ind w:firstLine="420"/>
      </w:pPr>
      <w:r>
        <w:rPr>
          <w:rFonts w:hint="eastAsia"/>
        </w:rPr>
        <w:t>本文件按照GB/T 1.1—2020《标准化工作导则  第1部分：标准化文件的结构和起草规则》的规定起草。</w:t>
      </w:r>
    </w:p>
    <w:p>
      <w:pPr>
        <w:pStyle w:val="59"/>
        <w:ind w:firstLine="420"/>
      </w:pPr>
      <w:bookmarkStart w:id="25" w:name="_Hlk196385681"/>
      <w:r>
        <w:rPr>
          <w:rFonts w:hint="eastAsia"/>
        </w:rPr>
        <w:t>本文件代替DB11/T 596-2021《停车场(库)运营服务规范》，与B11/T 596一2021相比，除结构调整和编辑性改动外，主要技术变化如下：</w:t>
      </w:r>
    </w:p>
    <w:bookmarkEnd w:id="25"/>
    <w:p>
      <w:pPr>
        <w:pStyle w:val="177"/>
      </w:pPr>
      <w:bookmarkStart w:id="26" w:name="_Hlk196385784"/>
      <w:r>
        <w:rPr>
          <w:rFonts w:hint="eastAsia"/>
        </w:rPr>
        <w:t>更改了范围的内容(见1,2021年版1)；</w:t>
      </w:r>
    </w:p>
    <w:p>
      <w:pPr>
        <w:pStyle w:val="177"/>
      </w:pPr>
      <w:r>
        <w:rPr>
          <w:rFonts w:hint="eastAsia"/>
        </w:rPr>
        <w:t>更改了规范性引用文件的内容(见2,2021年版2)；</w:t>
      </w:r>
    </w:p>
    <w:p>
      <w:pPr>
        <w:pStyle w:val="177"/>
      </w:pPr>
      <w:r>
        <w:rPr>
          <w:rFonts w:hint="eastAsia"/>
        </w:rPr>
        <w:t>更改了术语和定义的内容(见3, 2021年版3)；</w:t>
      </w:r>
    </w:p>
    <w:p>
      <w:pPr>
        <w:pStyle w:val="177"/>
      </w:pPr>
      <w:r>
        <w:rPr>
          <w:rFonts w:hint="eastAsia"/>
        </w:rPr>
        <w:t>增加了对停车场经营者的要求（见4.1，4.2，4.4，4.5）；</w:t>
      </w:r>
    </w:p>
    <w:p>
      <w:pPr>
        <w:pStyle w:val="177"/>
      </w:pPr>
      <w:r>
        <w:rPr>
          <w:rFonts w:hint="eastAsia"/>
        </w:rPr>
        <w:t>增加了</w:t>
      </w:r>
      <w:bookmarkStart w:id="27" w:name="_Hlk196412976"/>
      <w:r>
        <w:rPr>
          <w:rFonts w:hint="eastAsia"/>
        </w:rPr>
        <w:t>P+R停车场规范设置设备设施的要求</w:t>
      </w:r>
      <w:bookmarkEnd w:id="27"/>
      <w:r>
        <w:rPr>
          <w:rFonts w:hint="eastAsia"/>
        </w:rPr>
        <w:t>（见5.1.5, 5.2.6）；</w:t>
      </w:r>
    </w:p>
    <w:p>
      <w:pPr>
        <w:pStyle w:val="177"/>
      </w:pPr>
      <w:r>
        <w:rPr>
          <w:rFonts w:hint="eastAsia"/>
        </w:rPr>
        <w:t>增加了有多个出口且连接多条道路的停车场设置指路标志内容的要求（见5.1.16）；</w:t>
      </w:r>
    </w:p>
    <w:p>
      <w:pPr>
        <w:pStyle w:val="177"/>
      </w:pPr>
      <w:r>
        <w:rPr>
          <w:rFonts w:hint="eastAsia"/>
        </w:rPr>
        <w:t>增加了停车位编码唯一性内容的要求（见5.1.20）；</w:t>
      </w:r>
    </w:p>
    <w:p>
      <w:pPr>
        <w:pStyle w:val="177"/>
      </w:pPr>
      <w:r>
        <w:rPr>
          <w:rFonts w:hint="eastAsia"/>
        </w:rPr>
        <w:t>增加了停车场</w:t>
      </w:r>
      <w:bookmarkStart w:id="28" w:name="_Hlk196413233"/>
      <w:r>
        <w:rPr>
          <w:rFonts w:hint="eastAsia"/>
        </w:rPr>
        <w:t>提供摩托车停车服务内容的要求</w:t>
      </w:r>
      <w:bookmarkEnd w:id="28"/>
      <w:r>
        <w:rPr>
          <w:rFonts w:hint="eastAsia"/>
        </w:rPr>
        <w:t>（见5.1.21，5.1.22，5.1.23，6.2.5）；</w:t>
      </w:r>
    </w:p>
    <w:p>
      <w:pPr>
        <w:pStyle w:val="177"/>
      </w:pPr>
      <w:r>
        <w:rPr>
          <w:rFonts w:hint="eastAsia"/>
        </w:rPr>
        <w:t>增加了</w:t>
      </w:r>
      <w:bookmarkStart w:id="29" w:name="_Hlk196414125"/>
      <w:r>
        <w:rPr>
          <w:rFonts w:hint="eastAsia"/>
        </w:rPr>
        <w:t>对外提供电动汽车充电服务停车场设置不同比例的超级快速、快速充电设施内容的要求（</w:t>
      </w:r>
      <w:bookmarkEnd w:id="29"/>
      <w:r>
        <w:rPr>
          <w:rFonts w:hint="eastAsia"/>
        </w:rPr>
        <w:t>见5.4.2）；</w:t>
      </w:r>
    </w:p>
    <w:p>
      <w:pPr>
        <w:pStyle w:val="177"/>
      </w:pPr>
      <w:r>
        <w:rPr>
          <w:rFonts w:hint="eastAsia"/>
        </w:rPr>
        <w:t>更改了电动汽车泊位设置内容的要求（见5.4.5，2021版见5.7.4）；</w:t>
      </w:r>
    </w:p>
    <w:p>
      <w:pPr>
        <w:pStyle w:val="177"/>
      </w:pPr>
      <w:r>
        <w:rPr>
          <w:rFonts w:hint="eastAsia"/>
        </w:rPr>
        <w:t>更改了电动汽车专用泊位设置内容的要求（见5.4.6，2021版见5.7.5）；</w:t>
      </w:r>
    </w:p>
    <w:p>
      <w:pPr>
        <w:pStyle w:val="177"/>
      </w:pPr>
      <w:r>
        <w:rPr>
          <w:rFonts w:hint="eastAsia"/>
        </w:rPr>
        <w:t>增加了引导简易自走式立体停车设备实现电动汽车停放与充电一体化功能内容的要求（见5.4.9）；</w:t>
      </w:r>
    </w:p>
    <w:p>
      <w:pPr>
        <w:pStyle w:val="177"/>
      </w:pPr>
      <w:r>
        <w:rPr>
          <w:rFonts w:hint="eastAsia"/>
        </w:rPr>
        <w:t>增加了</w:t>
      </w:r>
      <w:bookmarkStart w:id="30" w:name="_Hlk196414693"/>
      <w:r>
        <w:rPr>
          <w:rFonts w:hint="eastAsia"/>
        </w:rPr>
        <w:t>机械式立体停车设备安全管理内容的要求</w:t>
      </w:r>
      <w:bookmarkEnd w:id="30"/>
      <w:r>
        <w:rPr>
          <w:rFonts w:hint="eastAsia"/>
        </w:rPr>
        <w:t>（见5.5.14，5.5.15，5.1.16，5.1.17）；</w:t>
      </w:r>
    </w:p>
    <w:p>
      <w:pPr>
        <w:pStyle w:val="177"/>
      </w:pPr>
      <w:r>
        <w:rPr>
          <w:rFonts w:hint="eastAsia"/>
        </w:rPr>
        <w:t>增加了对停车场收费方式的要求（见6.2.3）；</w:t>
      </w:r>
    </w:p>
    <w:p>
      <w:pPr>
        <w:pStyle w:val="177"/>
      </w:pPr>
      <w:r>
        <w:rPr>
          <w:rFonts w:hint="eastAsia"/>
        </w:rPr>
        <w:t>增加了停车场使用“安心码”收费内容的要求（见6.2.4）</w:t>
      </w:r>
    </w:p>
    <w:p>
      <w:pPr>
        <w:pStyle w:val="177"/>
      </w:pPr>
      <w:r>
        <w:rPr>
          <w:rFonts w:hint="eastAsia"/>
        </w:rPr>
        <w:t>更改了停车场人工收费内容的要求（见6.2.7，2021版6.4.1）</w:t>
      </w:r>
    </w:p>
    <w:p>
      <w:pPr>
        <w:pStyle w:val="177"/>
      </w:pPr>
      <w:r>
        <w:rPr>
          <w:rFonts w:hint="eastAsia"/>
        </w:rPr>
        <w:t>增加了停车场共享停车内容的要求（见6.5.5，6.5.6）；</w:t>
      </w:r>
      <w:r>
        <w:t xml:space="preserve"> </w:t>
      </w:r>
    </w:p>
    <w:p>
      <w:pPr>
        <w:pStyle w:val="177"/>
      </w:pPr>
      <w:r>
        <w:rPr>
          <w:rFonts w:hint="eastAsia"/>
        </w:rPr>
        <w:t>增加了停车场</w:t>
      </w:r>
      <w:bookmarkStart w:id="31" w:name="_Hlk196415467"/>
      <w:r>
        <w:rPr>
          <w:rFonts w:hint="eastAsia"/>
        </w:rPr>
        <w:t>对发生故障的充电设施进行处置</w:t>
      </w:r>
      <w:bookmarkEnd w:id="31"/>
      <w:r>
        <w:rPr>
          <w:rFonts w:hint="eastAsia"/>
        </w:rPr>
        <w:t>的要求（见7.1.6）；</w:t>
      </w:r>
    </w:p>
    <w:p>
      <w:pPr>
        <w:pStyle w:val="177"/>
      </w:pPr>
      <w:r>
        <w:rPr>
          <w:rFonts w:hint="eastAsia"/>
        </w:rPr>
        <w:t>增加了地下停车场出入口防汛设施内容的要求（见7.1.7）</w:t>
      </w:r>
    </w:p>
    <w:p>
      <w:pPr>
        <w:pStyle w:val="177"/>
      </w:pPr>
      <w:r>
        <w:rPr>
          <w:rFonts w:hint="eastAsia"/>
        </w:rPr>
        <w:t>增加了</w:t>
      </w:r>
      <w:bookmarkStart w:id="32" w:name="_Hlk196415330"/>
      <w:r>
        <w:rPr>
          <w:rFonts w:hint="eastAsia"/>
        </w:rPr>
        <w:t>停车场采用监控系统开展安全巡查内容的要求（见7.2.3）；</w:t>
      </w:r>
    </w:p>
    <w:p>
      <w:pPr>
        <w:pStyle w:val="177"/>
      </w:pPr>
      <w:r>
        <w:rPr>
          <w:rFonts w:hint="eastAsia"/>
        </w:rPr>
        <w:t>更改了停车场视频监控系统储存图像时间内容的要求</w:t>
      </w:r>
      <w:bookmarkEnd w:id="32"/>
      <w:r>
        <w:rPr>
          <w:rFonts w:hint="eastAsia"/>
        </w:rPr>
        <w:t>（见7.2.4，2021版5.1.11）；</w:t>
      </w:r>
    </w:p>
    <w:p>
      <w:pPr>
        <w:pStyle w:val="177"/>
      </w:pPr>
      <w:r>
        <w:rPr>
          <w:rFonts w:hint="eastAsia"/>
        </w:rPr>
        <w:t>增加了停车场</w:t>
      </w:r>
      <w:bookmarkStart w:id="33" w:name="_Hlk196415449"/>
      <w:r>
        <w:rPr>
          <w:rFonts w:hint="eastAsia"/>
        </w:rPr>
        <w:t>加强对充电设施区域巡查和监控内容的要求</w:t>
      </w:r>
      <w:bookmarkEnd w:id="33"/>
      <w:r>
        <w:rPr>
          <w:rFonts w:hint="eastAsia"/>
        </w:rPr>
        <w:t>（见7.2.6）；</w:t>
      </w:r>
    </w:p>
    <w:p>
      <w:pPr>
        <w:pStyle w:val="177"/>
      </w:pPr>
      <w:r>
        <w:rPr>
          <w:rFonts w:hint="eastAsia"/>
        </w:rPr>
        <w:t>增加了停车场环境卫生内容的要求（见8.1，8.2，8.3，8.7，8.8，8.9）；</w:t>
      </w:r>
    </w:p>
    <w:p>
      <w:pPr>
        <w:pStyle w:val="177"/>
      </w:pPr>
      <w:r>
        <w:rPr>
          <w:rFonts w:hint="eastAsia"/>
        </w:rPr>
        <w:t>增加了智慧停车相关内容的要求（见9.1，9.2，9.3，9.4，9.6）；</w:t>
      </w:r>
    </w:p>
    <w:p>
      <w:pPr>
        <w:pStyle w:val="177"/>
      </w:pPr>
      <w:r>
        <w:rPr>
          <w:rFonts w:hint="eastAsia"/>
        </w:rPr>
        <w:t>删除了停车场设置便民服务信息牌内容的要求（见2021版的5.5.1）；</w:t>
      </w:r>
    </w:p>
    <w:p>
      <w:pPr>
        <w:pStyle w:val="177"/>
      </w:pPr>
      <w:r>
        <w:rPr>
          <w:rFonts w:hint="eastAsia"/>
        </w:rPr>
        <w:t>删除了大型、特大型停车场设置服务区内容的要求（见2021版的5.5.3）；</w:t>
      </w:r>
    </w:p>
    <w:p>
      <w:pPr>
        <w:pStyle w:val="177"/>
      </w:pPr>
      <w:r>
        <w:rPr>
          <w:rFonts w:hint="eastAsia"/>
        </w:rPr>
        <w:t>更改了停车场明码标价牌参考式样(见附录A，2021版附录A);</w:t>
      </w:r>
    </w:p>
    <w:p>
      <w:pPr>
        <w:pStyle w:val="177"/>
      </w:pPr>
      <w:r>
        <w:rPr>
          <w:rFonts w:hint="eastAsia"/>
        </w:rPr>
        <w:t>增加了</w:t>
      </w:r>
      <w:bookmarkStart w:id="34" w:name="_Hlk196416000"/>
      <w:r>
        <w:rPr>
          <w:rFonts w:hint="eastAsia"/>
        </w:rPr>
        <w:t>P+R停车场明码标价牌、收费标准公示牌、引导标识和换乘引导标识参考式样</w:t>
      </w:r>
      <w:bookmarkEnd w:id="34"/>
      <w:r>
        <w:rPr>
          <w:rFonts w:hint="eastAsia"/>
        </w:rPr>
        <w:t>(见附录B)；</w:t>
      </w:r>
    </w:p>
    <w:p>
      <w:pPr>
        <w:pStyle w:val="177"/>
      </w:pPr>
      <w:r>
        <w:rPr>
          <w:rFonts w:hint="eastAsia"/>
        </w:rPr>
        <w:t>删除了</w:t>
      </w:r>
      <w:bookmarkStart w:id="35" w:name="_Hlk196415934"/>
      <w:r>
        <w:rPr>
          <w:rFonts w:hint="eastAsia"/>
        </w:rPr>
        <w:t>指示标志图形和禁止标志图形</w:t>
      </w:r>
      <w:bookmarkEnd w:id="35"/>
      <w:r>
        <w:rPr>
          <w:rFonts w:hint="eastAsia"/>
        </w:rPr>
        <w:t>(见2021版的附录B)；</w:t>
      </w:r>
    </w:p>
    <w:p>
      <w:pPr>
        <w:pStyle w:val="177"/>
      </w:pPr>
      <w:r>
        <w:rPr>
          <w:rFonts w:hint="eastAsia"/>
        </w:rPr>
        <w:t xml:space="preserve">增加了摩托车停车泊位、标志牌参考式样（见附录D）； </w:t>
      </w:r>
    </w:p>
    <w:p>
      <w:pPr>
        <w:pStyle w:val="177"/>
      </w:pPr>
      <w:r>
        <w:rPr>
          <w:rFonts w:hint="eastAsia"/>
        </w:rPr>
        <w:t>删除了电动汽车泊位、标志牌式样（见2021版的附录C）；</w:t>
      </w:r>
    </w:p>
    <w:p>
      <w:pPr>
        <w:pStyle w:val="177"/>
      </w:pPr>
      <w:r>
        <w:rPr>
          <w:rFonts w:hint="eastAsia"/>
        </w:rPr>
        <w:t>更改了电动汽车专用泊位、标志牌式样（见附录E，2021版见附录C）</w:t>
      </w:r>
    </w:p>
    <w:p>
      <w:pPr>
        <w:pStyle w:val="177"/>
      </w:pPr>
      <w:r>
        <w:rPr>
          <w:rFonts w:hint="eastAsia"/>
        </w:rPr>
        <w:t>删除了车辆引导流程图（见2021版的附录E）；</w:t>
      </w:r>
    </w:p>
    <w:p>
      <w:pPr>
        <w:pStyle w:val="177"/>
      </w:pPr>
      <w:r>
        <w:rPr>
          <w:rFonts w:hint="eastAsia"/>
        </w:rPr>
        <w:t>删除了车辆收费服务流程图（见2021版的附录F）；</w:t>
      </w:r>
    </w:p>
    <w:p>
      <w:pPr>
        <w:pStyle w:val="177"/>
      </w:pPr>
      <w:r>
        <w:rPr>
          <w:rFonts w:hint="eastAsia"/>
        </w:rPr>
        <w:t>删除了纠纷处理流程图（见2021版的附录G）；</w:t>
      </w:r>
    </w:p>
    <w:p>
      <w:pPr>
        <w:pStyle w:val="177"/>
      </w:pPr>
      <w:r>
        <w:rPr>
          <w:rFonts w:hint="eastAsia"/>
        </w:rPr>
        <w:t>删除了应急处理流程图（见2021版的附录H）。</w:t>
      </w:r>
    </w:p>
    <w:bookmarkEnd w:id="26"/>
    <w:p>
      <w:pPr>
        <w:pStyle w:val="59"/>
        <w:ind w:firstLine="420"/>
      </w:pPr>
      <w:r>
        <w:rPr>
          <w:rFonts w:hint="eastAsia"/>
        </w:rPr>
        <w:t>本文件由北京市交通委员会提出</w:t>
      </w:r>
      <w:r>
        <w:rPr>
          <w:rFonts w:hint="eastAsia"/>
          <w:lang w:eastAsia="zh-CN"/>
        </w:rPr>
        <w:t>并</w:t>
      </w:r>
      <w:r>
        <w:rPr>
          <w:rFonts w:hint="eastAsia"/>
        </w:rPr>
        <w:t>归口。</w:t>
      </w:r>
    </w:p>
    <w:p>
      <w:pPr>
        <w:pStyle w:val="59"/>
        <w:ind w:firstLine="420"/>
      </w:pPr>
      <w:r>
        <w:rPr>
          <w:rFonts w:hint="eastAsia"/>
        </w:rPr>
        <w:t>本文件由北京市交通委员会</w:t>
      </w:r>
      <w:r>
        <w:rPr>
          <w:rFonts w:hint="eastAsia"/>
          <w:lang w:eastAsia="zh-CN"/>
        </w:rPr>
        <w:t>组织实施</w:t>
      </w:r>
      <w:bookmarkStart w:id="221" w:name="_GoBack"/>
      <w:bookmarkEnd w:id="221"/>
      <w:r>
        <w:rPr>
          <w:rFonts w:hint="eastAsia"/>
        </w:rPr>
        <w:t>。</w:t>
      </w:r>
    </w:p>
    <w:p>
      <w:pPr>
        <w:pStyle w:val="59"/>
        <w:ind w:firstLine="420"/>
      </w:pPr>
      <w:r>
        <w:rPr>
          <w:rFonts w:hint="eastAsia"/>
        </w:rPr>
        <w:t>本文件起草单位：</w:t>
      </w:r>
    </w:p>
    <w:p>
      <w:pPr>
        <w:pStyle w:val="59"/>
        <w:ind w:firstLine="420"/>
      </w:pPr>
      <w:r>
        <w:rPr>
          <w:rFonts w:hint="eastAsia"/>
        </w:rPr>
        <w:t>本文件主要起草人：</w:t>
      </w:r>
    </w:p>
    <w:p>
      <w:pPr>
        <w:pStyle w:val="59"/>
        <w:ind w:firstLine="420"/>
      </w:pPr>
      <w:r>
        <w:rPr>
          <w:rFonts w:hint="eastAsia"/>
        </w:rPr>
        <w:t>本文件及其所代替文件的历次版本发布情况为：</w:t>
      </w:r>
    </w:p>
    <w:p>
      <w:pPr>
        <w:pStyle w:val="59"/>
        <w:ind w:firstLine="420"/>
      </w:pPr>
      <w:r>
        <w:rPr>
          <w:rFonts w:hint="eastAsia"/>
        </w:rPr>
        <w:t>——2008年首次发布DB11/T 596一2008。</w:t>
      </w:r>
    </w:p>
    <w:p>
      <w:pPr>
        <w:pStyle w:val="59"/>
        <w:ind w:firstLine="420"/>
      </w:pPr>
      <w:r>
        <w:rPr>
          <w:rFonts w:hint="eastAsia"/>
        </w:rPr>
        <w:t>——2021年第一次修订DB11/T 596一2021。</w:t>
      </w:r>
    </w:p>
    <w:p>
      <w:pPr>
        <w:pStyle w:val="59"/>
        <w:ind w:firstLine="420"/>
      </w:pPr>
      <w:r>
        <w:rPr>
          <w:rFonts w:hint="eastAsia"/>
        </w:rPr>
        <w:t>——本次为第二次修订。</w:t>
      </w:r>
    </w:p>
    <w:p>
      <w:pPr>
        <w:pStyle w:val="59"/>
        <w:ind w:firstLine="420"/>
      </w:pPr>
    </w:p>
    <w:p>
      <w:pPr>
        <w:pStyle w:val="59"/>
        <w:ind w:firstLine="420"/>
        <w:sectPr>
          <w:headerReference r:id="rId13" w:type="even"/>
          <w:pgSz w:w="11906" w:h="16838"/>
          <w:pgMar w:top="1928" w:right="1134" w:bottom="1134" w:left="1134" w:header="1418" w:footer="1134" w:gutter="284"/>
          <w:pgNumType w:fmt="upperRoman"/>
          <w:cols w:space="425" w:num="1"/>
          <w:formProt w:val="0"/>
          <w:docGrid w:type="lines" w:linePitch="312" w:charSpace="0"/>
        </w:sectPr>
      </w:pPr>
    </w:p>
    <w:bookmarkEnd w:id="24"/>
    <w:p>
      <w:pPr>
        <w:spacing w:line="20" w:lineRule="exact"/>
        <w:jc w:val="center"/>
        <w:rPr>
          <w:rFonts w:ascii="黑体" w:hAnsi="黑体" w:eastAsia="黑体"/>
          <w:sz w:val="32"/>
          <w:szCs w:val="32"/>
        </w:rPr>
      </w:pPr>
      <w:bookmarkStart w:id="36" w:name="BookMark4"/>
    </w:p>
    <w:p>
      <w:pPr>
        <w:spacing w:line="20" w:lineRule="exact"/>
        <w:jc w:val="center"/>
        <w:rPr>
          <w:rFonts w:ascii="黑体" w:hAnsi="黑体" w:eastAsia="黑体"/>
          <w:sz w:val="32"/>
          <w:szCs w:val="32"/>
        </w:rPr>
      </w:pPr>
    </w:p>
    <w:sdt>
      <w:sdtPr>
        <w:tag w:val="NEW_STAND_NAME"/>
        <w:id w:val="595910757"/>
        <w:lock w:val="sdtLocked"/>
        <w:placeholder>
          <w:docPart w:val="B842A69CB24249E983B8ECD3D53EBB89"/>
        </w:placeholder>
      </w:sdtPr>
      <w:sdtContent>
        <w:p>
          <w:pPr>
            <w:pStyle w:val="180"/>
            <w:spacing w:before="312" w:beforeLines="100" w:after="686" w:afterLines="220"/>
          </w:pPr>
          <w:bookmarkStart w:id="37" w:name="NEW_STAND_NAME"/>
          <w:r>
            <w:rPr>
              <w:rFonts w:hint="eastAsia"/>
            </w:rPr>
            <w:t>停车场（库）运营服务规范</w:t>
          </w:r>
        </w:p>
      </w:sdtContent>
    </w:sdt>
    <w:bookmarkEnd w:id="37"/>
    <w:p>
      <w:pPr>
        <w:pStyle w:val="107"/>
        <w:spacing w:before="312" w:after="312"/>
      </w:pPr>
      <w:bookmarkStart w:id="38" w:name="_Toc195728764"/>
      <w:bookmarkStart w:id="39" w:name="_Toc26986771"/>
      <w:bookmarkStart w:id="40" w:name="_Toc17233325"/>
      <w:bookmarkStart w:id="41" w:name="_Toc26986530"/>
      <w:bookmarkStart w:id="42" w:name="_Toc24884218"/>
      <w:bookmarkStart w:id="43" w:name="_Toc97191423"/>
      <w:bookmarkStart w:id="44" w:name="_Toc17233333"/>
      <w:bookmarkStart w:id="45" w:name="_Toc26648465"/>
      <w:bookmarkStart w:id="46" w:name="_Toc26718930"/>
      <w:bookmarkStart w:id="47" w:name="_Toc196389909"/>
      <w:bookmarkStart w:id="48" w:name="_Toc24884211"/>
      <w:r>
        <w:rPr>
          <w:rFonts w:hint="eastAsia"/>
        </w:rPr>
        <w:t>范围</w:t>
      </w:r>
      <w:bookmarkEnd w:id="38"/>
      <w:bookmarkEnd w:id="39"/>
      <w:bookmarkEnd w:id="40"/>
      <w:bookmarkEnd w:id="41"/>
      <w:bookmarkEnd w:id="42"/>
      <w:bookmarkEnd w:id="43"/>
      <w:bookmarkEnd w:id="44"/>
      <w:bookmarkEnd w:id="45"/>
      <w:bookmarkEnd w:id="46"/>
      <w:bookmarkEnd w:id="47"/>
      <w:bookmarkEnd w:id="48"/>
    </w:p>
    <w:p>
      <w:pPr>
        <w:pStyle w:val="59"/>
        <w:ind w:firstLine="420"/>
      </w:pPr>
      <w:bookmarkStart w:id="49" w:name="_Toc24884212"/>
      <w:bookmarkStart w:id="50" w:name="_Toc17233326"/>
      <w:bookmarkStart w:id="51" w:name="_Toc24884219"/>
      <w:bookmarkStart w:id="52" w:name="_Toc26648466"/>
      <w:bookmarkStart w:id="53" w:name="_Toc17233334"/>
      <w:r>
        <w:rPr>
          <w:rFonts w:hint="eastAsia"/>
        </w:rPr>
        <w:t>本文件规定了经营性机动车停车场（库）运营服务的经营者要求、服务设施要求、管理服务要求、安全管理要求、环境要求和智能化要求。</w:t>
      </w:r>
    </w:p>
    <w:p>
      <w:pPr>
        <w:pStyle w:val="59"/>
        <w:ind w:firstLine="420"/>
      </w:pPr>
      <w:r>
        <w:rPr>
          <w:rFonts w:hint="eastAsia"/>
        </w:rPr>
        <w:t>本文件适用于</w:t>
      </w:r>
      <w:bookmarkStart w:id="54" w:name="OLE_LINK3"/>
      <w:r>
        <w:rPr>
          <w:rFonts w:hint="eastAsia"/>
        </w:rPr>
        <w:t>为机动车停放的经营性停车场（库）</w:t>
      </w:r>
      <w:bookmarkEnd w:id="54"/>
      <w:r>
        <w:rPr>
          <w:rFonts w:hint="eastAsia"/>
        </w:rPr>
        <w:t>。</w:t>
      </w:r>
    </w:p>
    <w:p>
      <w:pPr>
        <w:pStyle w:val="107"/>
        <w:spacing w:before="312" w:after="312"/>
      </w:pPr>
      <w:bookmarkStart w:id="55" w:name="_Toc196389910"/>
      <w:bookmarkEnd w:id="55"/>
      <w:bookmarkStart w:id="56" w:name="_Toc26986772"/>
      <w:bookmarkStart w:id="57" w:name="_Toc97191424"/>
      <w:bookmarkStart w:id="58" w:name="_Toc195728765"/>
      <w:bookmarkStart w:id="59" w:name="_Toc196389911"/>
      <w:bookmarkStart w:id="60" w:name="_Toc26986531"/>
      <w:bookmarkStart w:id="61" w:name="_Toc26718931"/>
      <w:r>
        <w:rPr>
          <w:rFonts w:hint="eastAsia"/>
        </w:rPr>
        <w:t>规范性引用文件</w:t>
      </w:r>
      <w:bookmarkEnd w:id="49"/>
      <w:bookmarkEnd w:id="50"/>
      <w:bookmarkEnd w:id="51"/>
      <w:bookmarkEnd w:id="52"/>
      <w:bookmarkEnd w:id="53"/>
      <w:bookmarkEnd w:id="56"/>
      <w:bookmarkEnd w:id="57"/>
      <w:bookmarkEnd w:id="58"/>
      <w:bookmarkEnd w:id="59"/>
      <w:bookmarkEnd w:id="60"/>
      <w:bookmarkEnd w:id="61"/>
    </w:p>
    <w:sdt>
      <w:sdtPr>
        <w:rPr>
          <w:rFonts w:hint="eastAsia"/>
        </w:rPr>
        <w:id w:val="715848253"/>
        <w:placeholder>
          <w:docPart w:val="2C65A197DB7444C9A038D79A1B043EBB"/>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9"/>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9"/>
        <w:ind w:firstLine="420"/>
      </w:pPr>
      <w:r>
        <w:rPr>
          <w:rFonts w:hint="eastAsia"/>
        </w:rPr>
        <w:t>GB 2894 安全标志及其使用导则</w:t>
      </w:r>
    </w:p>
    <w:p>
      <w:pPr>
        <w:pStyle w:val="59"/>
        <w:ind w:firstLine="420"/>
      </w:pPr>
      <w:r>
        <w:rPr>
          <w:rFonts w:hint="eastAsia"/>
        </w:rPr>
        <w:t>GB 3096 声环境质量标准</w:t>
      </w:r>
    </w:p>
    <w:p>
      <w:pPr>
        <w:pStyle w:val="59"/>
        <w:ind w:firstLine="420"/>
      </w:pPr>
      <w:r>
        <w:rPr>
          <w:rFonts w:hint="eastAsia"/>
        </w:rPr>
        <w:t>GB 5768 道路交通标志和标线</w:t>
      </w:r>
    </w:p>
    <w:p>
      <w:pPr>
        <w:pStyle w:val="59"/>
        <w:ind w:firstLine="420"/>
      </w:pPr>
      <w:r>
        <w:rPr>
          <w:rFonts w:hint="eastAsia"/>
        </w:rPr>
        <w:t>GB 8978 污水综合排放标准</w:t>
      </w:r>
    </w:p>
    <w:p>
      <w:pPr>
        <w:pStyle w:val="59"/>
        <w:ind w:firstLine="420"/>
      </w:pPr>
      <w:r>
        <w:rPr>
          <w:rFonts w:hint="eastAsia"/>
        </w:rPr>
        <w:t>GB 7258 机动车运行安全技术条件</w:t>
      </w:r>
    </w:p>
    <w:p>
      <w:pPr>
        <w:pStyle w:val="59"/>
        <w:ind w:firstLine="420"/>
      </w:pPr>
      <w:r>
        <w:rPr>
          <w:rFonts w:hint="eastAsia"/>
        </w:rPr>
        <w:t>GB/T 10001.1 公共信息图形符号 第1部分：通用符号</w:t>
      </w:r>
    </w:p>
    <w:p>
      <w:pPr>
        <w:pStyle w:val="59"/>
        <w:ind w:firstLine="420"/>
      </w:pPr>
      <w:r>
        <w:rPr>
          <w:rFonts w:hint="eastAsia"/>
        </w:rPr>
        <w:t>GB/T 10001.9 标志用公共信息图形符号 第9部分：无障碍设施符号</w:t>
      </w:r>
    </w:p>
    <w:p>
      <w:pPr>
        <w:pStyle w:val="59"/>
        <w:ind w:firstLine="420"/>
      </w:pPr>
      <w:r>
        <w:rPr>
          <w:rFonts w:hint="eastAsia"/>
        </w:rPr>
        <w:t>GB 13495.1 消防安全标志 第1部分：标志</w:t>
      </w:r>
    </w:p>
    <w:p>
      <w:pPr>
        <w:pStyle w:val="59"/>
        <w:ind w:firstLine="420"/>
      </w:pPr>
      <w:r>
        <w:rPr>
          <w:rFonts w:hint="eastAsia"/>
        </w:rPr>
        <w:t>GB/T 15566.1 公共信息导向系统设置原则与要求 第1部分：总则</w:t>
      </w:r>
    </w:p>
    <w:p>
      <w:pPr>
        <w:pStyle w:val="59"/>
        <w:ind w:firstLine="420"/>
      </w:pPr>
      <w:r>
        <w:rPr>
          <w:rFonts w:hint="eastAsia"/>
        </w:rPr>
        <w:t>GB/T 15566.11 公共信息导向系统设置原则与要求 第11部分：机动车停车场</w:t>
      </w:r>
    </w:p>
    <w:p>
      <w:pPr>
        <w:pStyle w:val="59"/>
        <w:ind w:firstLine="420"/>
      </w:pPr>
      <w:r>
        <w:rPr>
          <w:rFonts w:hint="eastAsia"/>
        </w:rPr>
        <w:t>GB 15630 消防安全标志设置要求</w:t>
      </w:r>
    </w:p>
    <w:p>
      <w:pPr>
        <w:pStyle w:val="59"/>
        <w:ind w:firstLine="420"/>
      </w:pPr>
      <w:r>
        <w:rPr>
          <w:rFonts w:hint="eastAsia"/>
        </w:rPr>
        <w:t>GB 17907 机械式停车设备通用安全要求</w:t>
      </w:r>
    </w:p>
    <w:p>
      <w:pPr>
        <w:pStyle w:val="59"/>
        <w:ind w:firstLine="420"/>
      </w:pPr>
      <w:r>
        <w:rPr>
          <w:rFonts w:hint="eastAsia"/>
        </w:rPr>
        <w:t>GB 17945 消防应急照明和疏散指示系统</w:t>
      </w:r>
    </w:p>
    <w:p>
      <w:pPr>
        <w:pStyle w:val="59"/>
        <w:ind w:firstLine="420"/>
      </w:pPr>
      <w:r>
        <w:rPr>
          <w:rFonts w:hint="eastAsia"/>
        </w:rPr>
        <w:t>GB/T 24973 收费用电动栏杆</w:t>
      </w:r>
    </w:p>
    <w:p>
      <w:pPr>
        <w:pStyle w:val="59"/>
        <w:ind w:firstLine="420"/>
      </w:pPr>
      <w:r>
        <w:rPr>
          <w:rFonts w:hint="eastAsia"/>
        </w:rPr>
        <w:t xml:space="preserve">GB/T 35070 停车场电子收费（所有部分） </w:t>
      </w:r>
    </w:p>
    <w:p>
      <w:pPr>
        <w:pStyle w:val="59"/>
        <w:ind w:firstLine="420"/>
      </w:pPr>
      <w:r>
        <w:rPr>
          <w:rFonts w:hint="eastAsia"/>
        </w:rPr>
        <w:t>GB/T 37078 出入口控制系统技术要求</w:t>
      </w:r>
    </w:p>
    <w:p>
      <w:pPr>
        <w:pStyle w:val="59"/>
        <w:ind w:firstLine="420"/>
      </w:pPr>
      <w:r>
        <w:rPr>
          <w:rFonts w:hint="eastAsia"/>
        </w:rPr>
        <w:t>GB 50067 汽车库、修车库、停车场设计防火规范</w:t>
      </w:r>
    </w:p>
    <w:p>
      <w:pPr>
        <w:pStyle w:val="59"/>
        <w:ind w:firstLine="420"/>
      </w:pPr>
      <w:r>
        <w:rPr>
          <w:rFonts w:hint="eastAsia"/>
        </w:rPr>
        <w:t>GB 50116 火灾自动报警系统设计规范</w:t>
      </w:r>
    </w:p>
    <w:p>
      <w:pPr>
        <w:pStyle w:val="59"/>
        <w:ind w:firstLine="420"/>
      </w:pPr>
      <w:r>
        <w:rPr>
          <w:rFonts w:hint="eastAsia"/>
        </w:rPr>
        <w:t>GB 50763 无障碍设计规范</w:t>
      </w:r>
    </w:p>
    <w:p>
      <w:pPr>
        <w:pStyle w:val="59"/>
        <w:ind w:firstLine="420"/>
      </w:pPr>
      <w:r>
        <w:rPr>
          <w:rFonts w:hint="eastAsia"/>
        </w:rPr>
        <w:t>GB 51038 城市道路交通标志和标线设置规范</w:t>
      </w:r>
    </w:p>
    <w:p>
      <w:pPr>
        <w:pStyle w:val="59"/>
        <w:ind w:firstLine="420"/>
      </w:pPr>
      <w:r>
        <w:rPr>
          <w:rFonts w:hint="eastAsia"/>
        </w:rPr>
        <w:t>GA/T 394 出入口控制系统技术要求</w:t>
      </w:r>
    </w:p>
    <w:p>
      <w:pPr>
        <w:pStyle w:val="59"/>
        <w:ind w:firstLine="420"/>
      </w:pPr>
      <w:r>
        <w:rPr>
          <w:rFonts w:hint="eastAsia"/>
        </w:rPr>
        <w:t>GA/T 992 停车库（场）出入口控制设备技术要求</w:t>
      </w:r>
    </w:p>
    <w:p>
      <w:pPr>
        <w:pStyle w:val="59"/>
        <w:ind w:firstLine="420"/>
      </w:pPr>
      <w:r>
        <w:rPr>
          <w:rFonts w:hint="eastAsia"/>
        </w:rPr>
        <w:t>JGJ 100 车库建筑设计规范</w:t>
      </w:r>
    </w:p>
    <w:p>
      <w:pPr>
        <w:pStyle w:val="59"/>
        <w:ind w:firstLine="420"/>
      </w:pPr>
      <w:r>
        <w:rPr>
          <w:rFonts w:hint="eastAsia"/>
        </w:rPr>
        <w:t>DB11/T 307 水污染物综合排放标准</w:t>
      </w:r>
    </w:p>
    <w:p>
      <w:pPr>
        <w:pStyle w:val="59"/>
        <w:ind w:firstLine="420"/>
      </w:pPr>
      <w:r>
        <w:rPr>
          <w:rFonts w:hint="eastAsia"/>
        </w:rPr>
        <w:t>DB11/T 334 公共场所中文标识英文译写规范 通则</w:t>
      </w:r>
    </w:p>
    <w:p>
      <w:pPr>
        <w:pStyle w:val="59"/>
        <w:ind w:firstLine="420"/>
      </w:pPr>
      <w:r>
        <w:rPr>
          <w:rFonts w:hint="eastAsia"/>
        </w:rPr>
        <w:t>DB11/T 334.1 公共场所双语标识英文译法 第1部分：道路交通</w:t>
      </w:r>
    </w:p>
    <w:p>
      <w:pPr>
        <w:pStyle w:val="59"/>
        <w:ind w:firstLine="420"/>
      </w:pPr>
      <w:r>
        <w:rPr>
          <w:rFonts w:hint="eastAsia"/>
        </w:rPr>
        <w:t>DB11/T 837 机械式停车场（库）工程建设规范</w:t>
      </w:r>
    </w:p>
    <w:p>
      <w:pPr>
        <w:pStyle w:val="59"/>
        <w:ind w:firstLine="420"/>
      </w:pPr>
      <w:r>
        <w:rPr>
          <w:rFonts w:hint="eastAsia"/>
        </w:rPr>
        <w:t>DB11/T 1455 电动汽车充电基础设施规划设计标准</w:t>
      </w:r>
    </w:p>
    <w:p>
      <w:pPr>
        <w:pStyle w:val="59"/>
        <w:ind w:firstLine="420"/>
      </w:pPr>
      <w:r>
        <w:rPr>
          <w:rFonts w:hint="eastAsia"/>
        </w:rPr>
        <w:t>DB11/T 384 图像信息管理系统技术规范（所有部分）</w:t>
      </w:r>
    </w:p>
    <w:p>
      <w:pPr>
        <w:pStyle w:val="59"/>
        <w:ind w:firstLine="420"/>
      </w:pPr>
      <w:r>
        <w:rPr>
          <w:rFonts w:hint="eastAsia"/>
        </w:rPr>
        <w:t>DB11/T 853 封闭式停车库（场）安全防范通用要求</w:t>
      </w:r>
    </w:p>
    <w:p>
      <w:pPr>
        <w:pStyle w:val="59"/>
        <w:ind w:firstLine="420"/>
      </w:pPr>
      <w:r>
        <w:rPr>
          <w:rFonts w:hint="eastAsia"/>
        </w:rPr>
        <w:t>GB/T 42442.1 智慧城市智慧停车第1部分：总体要求</w:t>
      </w:r>
    </w:p>
    <w:p>
      <w:pPr>
        <w:pStyle w:val="59"/>
        <w:ind w:firstLine="420"/>
      </w:pPr>
      <w:r>
        <w:rPr>
          <w:rFonts w:hint="eastAsia"/>
        </w:rPr>
        <w:t>GB/T 42442.2 智慧城市智慧停车第2部分：数据要求</w:t>
      </w:r>
    </w:p>
    <w:p>
      <w:pPr>
        <w:pStyle w:val="59"/>
        <w:ind w:firstLine="420"/>
      </w:pPr>
      <w:r>
        <w:rPr>
          <w:rFonts w:hint="eastAsia"/>
        </w:rPr>
        <w:t>DB11/T 2046.1 智慧停车系统技术要求 第1部分 总则</w:t>
      </w:r>
    </w:p>
    <w:p>
      <w:pPr>
        <w:pStyle w:val="59"/>
        <w:ind w:firstLine="420"/>
      </w:pPr>
      <w:r>
        <w:rPr>
          <w:rFonts w:hint="eastAsia"/>
        </w:rPr>
        <w:t>DB11/T 2046.4 智慧停车系统技术要求 第4部分 数据规范及质量评估</w:t>
      </w:r>
    </w:p>
    <w:p>
      <w:pPr>
        <w:pStyle w:val="59"/>
        <w:ind w:firstLine="420"/>
      </w:pPr>
      <w:r>
        <w:rPr>
          <w:rFonts w:hint="eastAsia"/>
        </w:rPr>
        <w:t>DB11/T 2115 机械式停车设备使用管理和维护保养安全技术规范</w:t>
      </w:r>
    </w:p>
    <w:p>
      <w:pPr>
        <w:pStyle w:val="107"/>
        <w:spacing w:before="312" w:after="312"/>
      </w:pPr>
      <w:bookmarkStart w:id="62" w:name="_Toc196389912"/>
      <w:bookmarkStart w:id="63" w:name="_Toc195728766"/>
      <w:bookmarkStart w:id="64" w:name="_Toc97191425"/>
      <w:r>
        <w:rPr>
          <w:rFonts w:hint="eastAsia"/>
          <w:szCs w:val="21"/>
        </w:rPr>
        <w:t>术语和定义</w:t>
      </w:r>
      <w:bookmarkEnd w:id="62"/>
      <w:bookmarkEnd w:id="63"/>
      <w:bookmarkEnd w:id="64"/>
    </w:p>
    <w:sdt>
      <w:sdtPr>
        <w:id w:val="-1909835108"/>
        <w:placeholder>
          <w:docPart w:val="471C99C718A445E787911CB862C874B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9"/>
            <w:ind w:firstLine="420"/>
          </w:pPr>
          <w:bookmarkStart w:id="65" w:name="_Toc26986532"/>
          <w:bookmarkEnd w:id="65"/>
          <w:r>
            <w:t>下列术语和定义适用于本文件。</w:t>
          </w:r>
        </w:p>
      </w:sdtContent>
    </w:sdt>
    <w:p>
      <w:pPr>
        <w:pStyle w:val="108"/>
        <w:spacing w:before="156" w:after="156"/>
      </w:pPr>
      <w:bookmarkStart w:id="66" w:name="_Toc195728767"/>
      <w:bookmarkEnd w:id="66"/>
    </w:p>
    <w:p>
      <w:pPr>
        <w:pStyle w:val="226"/>
        <w:numPr>
          <w:ilvl w:val="0"/>
          <w:numId w:val="0"/>
        </w:numPr>
        <w:ind w:left="420"/>
        <w:rPr>
          <w:rFonts w:ascii="黑体" w:hAnsi="黑体" w:eastAsia="黑体"/>
        </w:rPr>
      </w:pPr>
      <w:r>
        <w:rPr>
          <w:rFonts w:hint="eastAsia" w:ascii="黑体" w:hAnsi="黑体" w:eastAsia="黑体"/>
        </w:rPr>
        <w:t xml:space="preserve">经营性机动车停车场（库） </w:t>
      </w:r>
      <w:r>
        <w:rPr>
          <w:rFonts w:ascii="黑体" w:hAnsi="黑体" w:eastAsia="黑体"/>
        </w:rPr>
        <w:t>Commercial motor vehicle parking lot (garage)</w:t>
      </w:r>
    </w:p>
    <w:p>
      <w:pPr>
        <w:pStyle w:val="226"/>
        <w:numPr>
          <w:ilvl w:val="0"/>
          <w:numId w:val="0"/>
        </w:numPr>
        <w:ind w:firstLine="420" w:firstLineChars="200"/>
      </w:pPr>
      <w:r>
        <w:rPr>
          <w:rFonts w:hint="eastAsia"/>
        </w:rPr>
        <w:t>指在道路以外，对外向不特定群体提供有偿机动车停放服务的场所。包括独立建设的停车场、临时建设的停车场和建设工程配建的作为公共服务设施的停车场。以下简称停车场。</w:t>
      </w:r>
    </w:p>
    <w:p>
      <w:pPr>
        <w:pStyle w:val="108"/>
        <w:spacing w:before="156" w:after="156"/>
      </w:pPr>
      <w:bookmarkStart w:id="67" w:name="_Toc195728768"/>
      <w:bookmarkEnd w:id="67"/>
      <w:bookmarkStart w:id="68" w:name="_Toc194062201"/>
      <w:bookmarkEnd w:id="68"/>
    </w:p>
    <w:p>
      <w:pPr>
        <w:pStyle w:val="226"/>
        <w:numPr>
          <w:ilvl w:val="0"/>
          <w:numId w:val="0"/>
        </w:numPr>
        <w:ind w:firstLine="420" w:firstLineChars="200"/>
        <w:rPr>
          <w:rFonts w:ascii="黑体" w:hAnsi="黑体" w:eastAsia="黑体"/>
        </w:rPr>
      </w:pPr>
      <w:r>
        <w:rPr>
          <w:rFonts w:hint="eastAsia" w:ascii="黑体" w:hAnsi="黑体" w:eastAsia="黑体"/>
        </w:rPr>
        <w:t>停车场（库）经营者 parking management corporation</w:t>
      </w:r>
    </w:p>
    <w:p>
      <w:pPr>
        <w:pStyle w:val="59"/>
        <w:ind w:firstLine="420"/>
      </w:pPr>
      <w:r>
        <w:rPr>
          <w:rFonts w:hint="eastAsia"/>
        </w:rPr>
        <w:t>自主经营或接受委托经营停车场（库）的法人。以下简称经营者。</w:t>
      </w:r>
    </w:p>
    <w:p>
      <w:pPr>
        <w:pStyle w:val="108"/>
        <w:spacing w:before="156" w:after="156"/>
      </w:pPr>
      <w:bookmarkStart w:id="69" w:name="_Toc195728769"/>
      <w:bookmarkEnd w:id="69"/>
      <w:bookmarkStart w:id="70" w:name="_Toc195728770"/>
      <w:bookmarkEnd w:id="70"/>
      <w:bookmarkStart w:id="71" w:name="_Toc194062203"/>
      <w:bookmarkEnd w:id="71"/>
      <w:bookmarkStart w:id="72" w:name="_Toc194062202"/>
      <w:bookmarkEnd w:id="72"/>
    </w:p>
    <w:p>
      <w:pPr>
        <w:pStyle w:val="226"/>
        <w:numPr>
          <w:ilvl w:val="0"/>
          <w:numId w:val="0"/>
        </w:numPr>
        <w:ind w:firstLine="420" w:firstLineChars="200"/>
        <w:rPr>
          <w:rFonts w:ascii="黑体" w:hAnsi="黑体" w:eastAsia="黑体"/>
        </w:rPr>
      </w:pPr>
      <w:r>
        <w:rPr>
          <w:rFonts w:hint="eastAsia" w:ascii="黑体" w:hAnsi="黑体" w:eastAsia="黑体"/>
        </w:rPr>
        <w:t>驻车换乘停车场 park and ride parking</w:t>
      </w:r>
    </w:p>
    <w:p>
      <w:pPr>
        <w:pStyle w:val="226"/>
        <w:numPr>
          <w:ilvl w:val="0"/>
          <w:numId w:val="0"/>
        </w:numPr>
        <w:ind w:firstLine="420" w:firstLineChars="200"/>
      </w:pPr>
      <w:r>
        <w:rPr>
          <w:rFonts w:hint="eastAsia"/>
        </w:rPr>
        <w:t>指在本市城市外围设置的，与轨道交通（含市郊铁路）、地面公交、交通枢纽等公共交通设施相衔接，引导驾车人停车并换乘公共交通出行的停车场。以下简称P+R停车场。</w:t>
      </w:r>
    </w:p>
    <w:p>
      <w:pPr>
        <w:pStyle w:val="108"/>
        <w:spacing w:before="156" w:after="156"/>
      </w:pPr>
      <w:bookmarkStart w:id="73" w:name="_Toc194062204"/>
      <w:bookmarkEnd w:id="73"/>
      <w:bookmarkStart w:id="74" w:name="_Toc195728771"/>
      <w:bookmarkEnd w:id="74"/>
    </w:p>
    <w:p>
      <w:pPr>
        <w:pStyle w:val="226"/>
        <w:numPr>
          <w:ilvl w:val="0"/>
          <w:numId w:val="0"/>
        </w:numPr>
        <w:ind w:firstLine="420" w:firstLineChars="200"/>
        <w:rPr>
          <w:rFonts w:ascii="黑体" w:hAnsi="黑体" w:eastAsia="黑体"/>
        </w:rPr>
      </w:pPr>
      <w:r>
        <w:rPr>
          <w:rFonts w:hint="eastAsia" w:ascii="黑体" w:hAnsi="黑体" w:eastAsia="黑体"/>
        </w:rPr>
        <w:t>机械式立体停车设备 mechanical cubic parking lot</w:t>
      </w:r>
    </w:p>
    <w:p>
      <w:pPr>
        <w:pStyle w:val="226"/>
        <w:numPr>
          <w:ilvl w:val="0"/>
          <w:numId w:val="0"/>
        </w:numPr>
        <w:ind w:firstLine="420" w:firstLineChars="200"/>
      </w:pPr>
      <w:r>
        <w:rPr>
          <w:rFonts w:hint="eastAsia"/>
        </w:rPr>
        <w:t>利用地上空间，用来存取储放车辆的机械或机械设备系统。。</w:t>
      </w:r>
    </w:p>
    <w:p>
      <w:pPr>
        <w:pStyle w:val="108"/>
        <w:spacing w:before="156" w:after="156"/>
      </w:pPr>
      <w:bookmarkStart w:id="75" w:name="_Toc195728772"/>
      <w:bookmarkEnd w:id="75"/>
      <w:bookmarkStart w:id="76" w:name="_Toc194062205"/>
      <w:bookmarkEnd w:id="76"/>
    </w:p>
    <w:p>
      <w:pPr>
        <w:pStyle w:val="226"/>
        <w:numPr>
          <w:ilvl w:val="0"/>
          <w:numId w:val="0"/>
        </w:numPr>
        <w:ind w:firstLine="420" w:firstLineChars="200"/>
        <w:rPr>
          <w:rFonts w:ascii="黑体" w:hAnsi="黑体" w:eastAsia="黑体"/>
        </w:rPr>
      </w:pPr>
      <w:r>
        <w:rPr>
          <w:rFonts w:hint="eastAsia" w:ascii="黑体" w:hAnsi="黑体" w:eastAsia="黑体"/>
        </w:rPr>
        <w:t>简易自走式立体停车设备 simple self-propelled three-dimensional parking equipment</w:t>
      </w:r>
    </w:p>
    <w:p>
      <w:pPr>
        <w:pStyle w:val="226"/>
        <w:numPr>
          <w:ilvl w:val="0"/>
          <w:numId w:val="0"/>
        </w:numPr>
        <w:ind w:firstLine="420" w:firstLineChars="200"/>
      </w:pPr>
      <w:r>
        <w:rPr>
          <w:rFonts w:hint="eastAsia"/>
        </w:rPr>
        <w:t>指利用地上空间，以钢结构为主体，车辆通过多层停车空间之间衔接通道直接驶入（出）停车泊位，从而实现车辆停放的停车设备。</w:t>
      </w:r>
    </w:p>
    <w:p>
      <w:pPr>
        <w:pStyle w:val="108"/>
        <w:spacing w:before="156" w:after="156"/>
      </w:pPr>
      <w:bookmarkStart w:id="77" w:name="_Toc195728773"/>
      <w:bookmarkEnd w:id="77"/>
      <w:bookmarkStart w:id="78" w:name="_Toc194062206"/>
      <w:bookmarkEnd w:id="78"/>
      <w:bookmarkStart w:id="79" w:name="_Toc195728774"/>
      <w:bookmarkEnd w:id="79"/>
      <w:bookmarkStart w:id="80" w:name="_Toc194062208"/>
      <w:bookmarkEnd w:id="80"/>
      <w:bookmarkStart w:id="81" w:name="_Toc195728775"/>
      <w:bookmarkEnd w:id="81"/>
      <w:bookmarkStart w:id="82" w:name="_Toc194062207"/>
      <w:bookmarkEnd w:id="82"/>
    </w:p>
    <w:p>
      <w:pPr>
        <w:pStyle w:val="226"/>
        <w:numPr>
          <w:ilvl w:val="0"/>
          <w:numId w:val="0"/>
        </w:numPr>
        <w:ind w:left="420"/>
        <w:rPr>
          <w:rFonts w:ascii="黑体" w:hAnsi="黑体" w:eastAsia="黑体"/>
        </w:rPr>
      </w:pPr>
      <w:r>
        <w:rPr>
          <w:rFonts w:hint="eastAsia" w:ascii="黑体" w:hAnsi="黑体" w:eastAsia="黑体"/>
        </w:rPr>
        <w:t>电动汽车泊位 parking space for electric vehicle</w:t>
      </w:r>
    </w:p>
    <w:p>
      <w:pPr>
        <w:pStyle w:val="226"/>
        <w:numPr>
          <w:ilvl w:val="0"/>
          <w:numId w:val="0"/>
        </w:numPr>
        <w:ind w:firstLine="420" w:firstLineChars="200"/>
        <w:rPr>
          <w:rFonts w:ascii="Calibri" w:hAnsi="Calibri"/>
          <w:kern w:val="2"/>
          <w:szCs w:val="21"/>
        </w:rPr>
      </w:pPr>
      <w:r>
        <w:rPr>
          <w:rFonts w:hint="eastAsia"/>
          <w:kern w:val="2"/>
          <w:szCs w:val="21"/>
        </w:rPr>
        <w:t>为电动汽车提供充电服务，未充电时可临时停放机动车（含燃油汽车、电动汽车）的停车位。</w:t>
      </w:r>
    </w:p>
    <w:p>
      <w:pPr>
        <w:pStyle w:val="108"/>
        <w:spacing w:before="156" w:after="156"/>
      </w:pPr>
      <w:bookmarkStart w:id="83" w:name="_Toc194062209"/>
      <w:bookmarkEnd w:id="83"/>
      <w:bookmarkStart w:id="84" w:name="_Toc195728776"/>
      <w:bookmarkEnd w:id="84"/>
    </w:p>
    <w:p>
      <w:pPr>
        <w:pStyle w:val="226"/>
        <w:numPr>
          <w:ilvl w:val="0"/>
          <w:numId w:val="0"/>
        </w:numPr>
        <w:ind w:left="420"/>
        <w:rPr>
          <w:rFonts w:ascii="黑体" w:hAnsi="黑体" w:eastAsia="黑体"/>
        </w:rPr>
      </w:pPr>
      <w:r>
        <w:rPr>
          <w:rFonts w:hint="eastAsia" w:ascii="黑体" w:hAnsi="黑体" w:eastAsia="黑体"/>
        </w:rPr>
        <w:t>电动汽车专用泊位 dedicated parking space for electric vehicle</w:t>
      </w:r>
    </w:p>
    <w:p>
      <w:pPr>
        <w:pStyle w:val="59"/>
        <w:ind w:firstLine="420"/>
        <w:rPr>
          <w:kern w:val="2"/>
          <w:szCs w:val="21"/>
        </w:rPr>
      </w:pPr>
      <w:r>
        <w:rPr>
          <w:rFonts w:hint="eastAsia"/>
          <w:kern w:val="2"/>
          <w:szCs w:val="21"/>
        </w:rPr>
        <w:t>为电动汽车提供充电服务，且任何时段都不允许其他机动车（含燃油汽车、没有充电需求的</w:t>
      </w:r>
    </w:p>
    <w:p>
      <w:pPr>
        <w:pStyle w:val="59"/>
        <w:ind w:firstLine="0" w:firstLineChars="0"/>
        <w:rPr>
          <w:kern w:val="2"/>
          <w:szCs w:val="21"/>
        </w:rPr>
      </w:pPr>
      <w:r>
        <w:rPr>
          <w:rFonts w:hint="eastAsia"/>
          <w:kern w:val="2"/>
          <w:szCs w:val="21"/>
        </w:rPr>
        <w:t>电动汽车）停放的停车位。</w:t>
      </w:r>
    </w:p>
    <w:p>
      <w:pPr>
        <w:pStyle w:val="108"/>
        <w:spacing w:before="156" w:after="156"/>
      </w:pPr>
      <w:bookmarkStart w:id="85" w:name="_Toc194062210"/>
      <w:bookmarkEnd w:id="85"/>
      <w:bookmarkStart w:id="86" w:name="_Toc195728777"/>
      <w:bookmarkEnd w:id="86"/>
    </w:p>
    <w:p>
      <w:pPr>
        <w:pStyle w:val="226"/>
        <w:numPr>
          <w:ilvl w:val="0"/>
          <w:numId w:val="0"/>
        </w:numPr>
        <w:ind w:left="420"/>
        <w:rPr>
          <w:rFonts w:ascii="黑体" w:hAnsi="黑体" w:eastAsia="黑体"/>
        </w:rPr>
      </w:pPr>
      <w:r>
        <w:rPr>
          <w:rFonts w:ascii="黑体" w:hAnsi="黑体" w:eastAsia="黑体"/>
        </w:rPr>
        <w:t>摩托车</w:t>
      </w:r>
      <w:r>
        <w:rPr>
          <w:rFonts w:hint="eastAsia" w:ascii="黑体" w:hAnsi="黑体" w:eastAsia="黑体"/>
        </w:rPr>
        <w:t xml:space="preserve"> </w:t>
      </w:r>
      <w:r>
        <w:rPr>
          <w:rFonts w:ascii="黑体" w:hAnsi="黑体" w:eastAsia="黑体"/>
        </w:rPr>
        <w:t>motorcycle and moped</w:t>
      </w:r>
    </w:p>
    <w:p>
      <w:pPr>
        <w:pStyle w:val="59"/>
        <w:ind w:firstLine="420"/>
        <w:rPr>
          <w:kern w:val="2"/>
          <w:szCs w:val="21"/>
        </w:rPr>
      </w:pPr>
      <w:r>
        <w:rPr>
          <w:rFonts w:hint="eastAsia"/>
          <w:kern w:val="2"/>
          <w:szCs w:val="21"/>
        </w:rPr>
        <w:t>由动力装置驱动的，具有两个或三个车轮的道路车辆。</w:t>
      </w:r>
    </w:p>
    <w:p>
      <w:pPr>
        <w:pStyle w:val="107"/>
        <w:spacing w:before="312" w:after="312"/>
      </w:pPr>
      <w:bookmarkStart w:id="87" w:name="_Toc194062211"/>
      <w:bookmarkEnd w:id="87"/>
      <w:bookmarkStart w:id="88" w:name="_Toc196389913"/>
      <w:bookmarkEnd w:id="88"/>
      <w:bookmarkStart w:id="89" w:name="_Toc194062212"/>
      <w:bookmarkEnd w:id="89"/>
      <w:bookmarkStart w:id="90" w:name="_Toc196389915"/>
      <w:bookmarkEnd w:id="90"/>
      <w:bookmarkStart w:id="91" w:name="_Toc196389916"/>
      <w:bookmarkEnd w:id="91"/>
      <w:bookmarkStart w:id="92" w:name="_Toc196389918"/>
      <w:bookmarkEnd w:id="92"/>
      <w:bookmarkStart w:id="93" w:name="_Toc195728778"/>
      <w:bookmarkEnd w:id="93"/>
      <w:bookmarkStart w:id="94" w:name="_Toc195728779"/>
      <w:bookmarkEnd w:id="94"/>
      <w:bookmarkStart w:id="95" w:name="_Toc196389917"/>
      <w:bookmarkEnd w:id="95"/>
      <w:bookmarkStart w:id="96" w:name="_Toc196389914"/>
      <w:bookmarkEnd w:id="96"/>
      <w:bookmarkStart w:id="97" w:name="_Toc195728780"/>
      <w:bookmarkStart w:id="98" w:name="_Toc196389919"/>
      <w:bookmarkStart w:id="99" w:name="_Toc194062213"/>
      <w:r>
        <w:rPr>
          <w:rFonts w:hint="eastAsia"/>
        </w:rPr>
        <w:t>经营者要求</w:t>
      </w:r>
      <w:bookmarkEnd w:id="97"/>
      <w:bookmarkEnd w:id="98"/>
      <w:bookmarkEnd w:id="99"/>
    </w:p>
    <w:p>
      <w:pPr>
        <w:pStyle w:val="165"/>
      </w:pPr>
      <w:bookmarkStart w:id="100" w:name="_Hlk196490862"/>
      <w:r>
        <w:rPr>
          <w:rFonts w:hint="eastAsia"/>
        </w:rPr>
        <w:t>经营者应</w:t>
      </w:r>
      <w:bookmarkStart w:id="101" w:name="OLE_LINK4"/>
      <w:r>
        <w:rPr>
          <w:rFonts w:hint="eastAsia"/>
        </w:rPr>
        <w:t>具有合法有效的法人登记和备案证明等相关证件</w:t>
      </w:r>
      <w:bookmarkEnd w:id="101"/>
      <w:r>
        <w:rPr>
          <w:rFonts w:hint="eastAsia"/>
        </w:rPr>
        <w:t>。</w:t>
      </w:r>
    </w:p>
    <w:bookmarkEnd w:id="100"/>
    <w:p>
      <w:pPr>
        <w:pStyle w:val="165"/>
      </w:pPr>
      <w:bookmarkStart w:id="102" w:name="OLE_LINK5"/>
      <w:r>
        <w:rPr>
          <w:rFonts w:hint="eastAsia"/>
        </w:rPr>
        <w:t>经营者应具有完善的停车服务、设备设施保障、信息服务保障、现场巡查、人员管理、安全规范、收费及票据管理、投诉受理、应急处理等运营管理制度，并明确责任人、主要工作程序和岗位职责。</w:t>
      </w:r>
    </w:p>
    <w:bookmarkEnd w:id="102"/>
    <w:p>
      <w:pPr>
        <w:pStyle w:val="165"/>
      </w:pPr>
      <w:r>
        <w:rPr>
          <w:rFonts w:hint="eastAsia"/>
        </w:rPr>
        <w:t>经营者应负责组织停车管理员进行专业培训，培训内容应包括停车相关法律、法规、政策、管理制度、安全规范、消防知识、停车引导、收费管理、纠纷处理、应急预案等，并对培训合格后的停车管理员配发企业统一的上岗标识。</w:t>
      </w:r>
    </w:p>
    <w:p>
      <w:pPr>
        <w:pStyle w:val="165"/>
      </w:pPr>
      <w:bookmarkStart w:id="103" w:name="OLE_LINK6"/>
      <w:r>
        <w:rPr>
          <w:rFonts w:hint="eastAsia"/>
        </w:rPr>
        <w:t>经营者宜创立优质服务品牌，注册服务商标或使用服务品牌标识。经营多个停车场的，宜使用统一服务标识并实施标准化、信息化、网络化经营管理，支持本地区停车信息共享。</w:t>
      </w:r>
    </w:p>
    <w:bookmarkEnd w:id="103"/>
    <w:p>
      <w:pPr>
        <w:pStyle w:val="165"/>
      </w:pPr>
      <w:bookmarkStart w:id="104" w:name="OLE_LINK7"/>
      <w:r>
        <w:rPr>
          <w:rFonts w:hint="eastAsia"/>
        </w:rPr>
        <w:t>经营者应建立运营服务质量自我评价制度，并参加停车管理部门或行业协会组织的信用等级评价，接受社会监督。</w:t>
      </w:r>
    </w:p>
    <w:bookmarkEnd w:id="104"/>
    <w:p>
      <w:pPr>
        <w:pStyle w:val="107"/>
        <w:spacing w:before="312" w:after="312"/>
      </w:pPr>
      <w:bookmarkStart w:id="105" w:name="_Toc196389920"/>
      <w:bookmarkStart w:id="106" w:name="_Toc195728781"/>
      <w:bookmarkStart w:id="107" w:name="_Toc194062214"/>
      <w:r>
        <w:rPr>
          <w:rFonts w:hint="eastAsia"/>
        </w:rPr>
        <w:t>服务设施要求</w:t>
      </w:r>
      <w:bookmarkEnd w:id="105"/>
      <w:bookmarkEnd w:id="106"/>
      <w:bookmarkEnd w:id="107"/>
    </w:p>
    <w:p>
      <w:pPr>
        <w:pStyle w:val="108"/>
        <w:spacing w:before="156" w:after="156"/>
      </w:pPr>
      <w:bookmarkStart w:id="108" w:name="_Toc195728782"/>
      <w:bookmarkStart w:id="109" w:name="_Toc194062215"/>
      <w:r>
        <w:rPr>
          <w:rFonts w:hint="eastAsia"/>
        </w:rPr>
        <w:t>标志标线要求</w:t>
      </w:r>
      <w:bookmarkEnd w:id="108"/>
      <w:bookmarkEnd w:id="109"/>
    </w:p>
    <w:p>
      <w:pPr>
        <w:pStyle w:val="168"/>
      </w:pPr>
      <w:r>
        <w:rPr>
          <w:rFonts w:hint="eastAsia"/>
        </w:rPr>
        <w:t>停车场标志标线的设置应符合JGJ 100的设置要求。</w:t>
      </w:r>
    </w:p>
    <w:p>
      <w:pPr>
        <w:pStyle w:val="168"/>
      </w:pPr>
      <w:r>
        <w:rPr>
          <w:rFonts w:hint="eastAsia"/>
        </w:rPr>
        <w:t>停车场公共信息图形标志的设置应符合GB/T 10001.1的要求。公共信息导向系统应符合GB/T 15566.1和GB/T 15566.11的要求。</w:t>
      </w:r>
    </w:p>
    <w:p>
      <w:pPr>
        <w:pStyle w:val="168"/>
      </w:pPr>
      <w:r>
        <w:rPr>
          <w:rFonts w:hint="eastAsia"/>
        </w:rPr>
        <w:t>停车场内文字标志宜使用中英文对照，英文译法应符合DB11/T 334和DB11/T 334.1的要求。</w:t>
      </w:r>
    </w:p>
    <w:p>
      <w:pPr>
        <w:pStyle w:val="168"/>
      </w:pPr>
      <w:r>
        <w:rPr>
          <w:rFonts w:hint="eastAsia"/>
        </w:rPr>
        <w:t>停车场出入口显著位置应设置机动车停车场标志牌、明码标价牌和出入口标志/引导牌。</w:t>
      </w:r>
      <w:bookmarkStart w:id="110" w:name="_Hlk193966537"/>
      <w:r>
        <w:rPr>
          <w:rFonts w:hint="eastAsia"/>
        </w:rPr>
        <w:t>明码标价牌参考式样参见附录A。</w:t>
      </w:r>
      <w:bookmarkEnd w:id="110"/>
    </w:p>
    <w:p>
      <w:pPr>
        <w:pStyle w:val="168"/>
      </w:pPr>
      <w:bookmarkStart w:id="111" w:name="_Hlk196491271"/>
      <w:r>
        <w:rPr>
          <w:rFonts w:hint="eastAsia"/>
        </w:rPr>
        <w:t>P+R停车场出入口显著位置应设置P+R停车场明码标价牌、收费标准公示牌、引导标识和换乘引导标识。参考式样参见附录B</w:t>
      </w:r>
      <w:bookmarkEnd w:id="111"/>
      <w:r>
        <w:rPr>
          <w:rFonts w:hint="eastAsia"/>
        </w:rPr>
        <w:t>。</w:t>
      </w:r>
    </w:p>
    <w:p>
      <w:pPr>
        <w:pStyle w:val="168"/>
      </w:pPr>
      <w:r>
        <w:rPr>
          <w:rFonts w:hint="eastAsia"/>
        </w:rPr>
        <w:t>停车场出入口前 5m 范围内应禁止停车，保证行车通畅，并设置明显的禁停标志。</w:t>
      </w:r>
    </w:p>
    <w:p>
      <w:pPr>
        <w:pStyle w:val="168"/>
      </w:pPr>
      <w:r>
        <w:rPr>
          <w:rFonts w:hint="eastAsia"/>
        </w:rPr>
        <w:t>停车场入口显著位置应设置限高、限速、禁烟、禁火、禁行、禁停等安全标志，其设计设置应符合GB 2894和GB 5768的相关规定。</w:t>
      </w:r>
    </w:p>
    <w:p>
      <w:pPr>
        <w:pStyle w:val="168"/>
      </w:pPr>
      <w:r>
        <w:rPr>
          <w:rFonts w:hint="eastAsia"/>
        </w:rPr>
        <w:t>停车场地面应标志醒目、标线清晰，标志和标线的设置应符合GB 5768和GB 51038的规定。</w:t>
      </w:r>
    </w:p>
    <w:p>
      <w:pPr>
        <w:pStyle w:val="168"/>
      </w:pPr>
      <w:r>
        <w:rPr>
          <w:rFonts w:hint="eastAsia"/>
        </w:rPr>
        <w:t>停车场内显著位置应设置车行引导标志或在地面施划清晰的车行引导线。</w:t>
      </w:r>
    </w:p>
    <w:p>
      <w:pPr>
        <w:pStyle w:val="168"/>
      </w:pPr>
      <w:r>
        <w:rPr>
          <w:rFonts w:hint="eastAsia"/>
        </w:rPr>
        <w:t>停车场人行道显著位置应设置人行引导标志或施划标线，并注意与车行引导线区分。</w:t>
      </w:r>
    </w:p>
    <w:p>
      <w:pPr>
        <w:pStyle w:val="168"/>
      </w:pPr>
      <w:r>
        <w:rPr>
          <w:rFonts w:hint="eastAsia"/>
        </w:rPr>
        <w:t>停车场内人流主要路线与车行道交叉处应施划人行横道标线。</w:t>
      </w:r>
    </w:p>
    <w:p>
      <w:pPr>
        <w:pStyle w:val="168"/>
      </w:pPr>
      <w:r>
        <w:rPr>
          <w:rFonts w:hint="eastAsia"/>
        </w:rPr>
        <w:t>停车场内应按人车分流的原则进行交通组织，必须共用一个通道时，应设置宽度不小</w:t>
      </w:r>
      <w:r>
        <w:t>0.5m</w:t>
      </w:r>
      <w:r>
        <w:rPr>
          <w:rFonts w:hint="eastAsia"/>
        </w:rPr>
        <w:t>的人行道。</w:t>
      </w:r>
    </w:p>
    <w:p>
      <w:pPr>
        <w:pStyle w:val="168"/>
      </w:pPr>
      <w:r>
        <w:rPr>
          <w:rFonts w:hint="eastAsia"/>
        </w:rPr>
        <w:t>停车场内禁停区域应设置明显的禁停标志或标线。</w:t>
      </w:r>
    </w:p>
    <w:p>
      <w:pPr>
        <w:pStyle w:val="168"/>
      </w:pPr>
      <w:r>
        <w:rPr>
          <w:rFonts w:hint="eastAsia"/>
        </w:rPr>
        <w:t>双向行车道中间应用0.15m宽的黄色虚（实）线分开。</w:t>
      </w:r>
    </w:p>
    <w:p>
      <w:pPr>
        <w:pStyle w:val="168"/>
      </w:pPr>
      <w:r>
        <w:rPr>
          <w:rFonts w:hint="eastAsia"/>
        </w:rPr>
        <w:t>停车场内靠近电梯间、人行通道及其他显著位置处应设置电梯引导标志/引导牌和停车场平面示意图。</w:t>
      </w:r>
    </w:p>
    <w:p>
      <w:pPr>
        <w:pStyle w:val="168"/>
      </w:pPr>
      <w:r>
        <w:rPr>
          <w:rFonts w:hint="eastAsia"/>
        </w:rPr>
        <w:t>停车场有多个出口且连接多条道路的宜设置指路标志。</w:t>
      </w:r>
    </w:p>
    <w:p>
      <w:pPr>
        <w:pStyle w:val="168"/>
      </w:pPr>
      <w:r>
        <w:rPr>
          <w:rFonts w:hint="eastAsia"/>
        </w:rPr>
        <w:t>大型、特大型停车场内应划分停车区域，宜使用颜色、编号或标志物等方式予以划分。</w:t>
      </w:r>
    </w:p>
    <w:p>
      <w:pPr>
        <w:pStyle w:val="168"/>
      </w:pPr>
      <w:r>
        <w:rPr>
          <w:rFonts w:hint="eastAsia"/>
        </w:rPr>
        <w:t>停车场出入口停止使用时，应在停用的出入口设置相应的提示标志。</w:t>
      </w:r>
    </w:p>
    <w:p>
      <w:pPr>
        <w:pStyle w:val="168"/>
      </w:pPr>
      <w:r>
        <w:rPr>
          <w:rFonts w:hint="eastAsia"/>
        </w:rPr>
        <w:t>停车场常用标志图形参见附录 C。</w:t>
      </w:r>
    </w:p>
    <w:p>
      <w:pPr>
        <w:pStyle w:val="168"/>
      </w:pPr>
      <w:r>
        <w:rPr>
          <w:rFonts w:hint="eastAsia"/>
        </w:rPr>
        <w:t>停车位设置基本要求如下：</w:t>
      </w:r>
    </w:p>
    <w:p>
      <w:pPr>
        <w:pStyle w:val="135"/>
      </w:pPr>
      <w:r>
        <w:rPr>
          <w:rFonts w:hint="eastAsia"/>
        </w:rPr>
        <w:t>停车位设置应符合JGJ 100的相关规定。</w:t>
      </w:r>
    </w:p>
    <w:p>
      <w:pPr>
        <w:pStyle w:val="135"/>
      </w:pPr>
      <w:r>
        <w:rPr>
          <w:rFonts w:hint="eastAsia"/>
        </w:rPr>
        <w:t>车位线为宽度不小于0.15m的白线，施划应清楚、规范。</w:t>
      </w:r>
    </w:p>
    <w:p>
      <w:pPr>
        <w:pStyle w:val="135"/>
      </w:pPr>
      <w:r>
        <w:rPr>
          <w:rFonts w:hint="eastAsia"/>
        </w:rPr>
        <w:t>停车位编号宜用线体宽度为0.1m～0.15m的白色字体标注。</w:t>
      </w:r>
    </w:p>
    <w:p>
      <w:pPr>
        <w:pStyle w:val="135"/>
      </w:pPr>
      <w:r>
        <w:rPr>
          <w:rFonts w:hint="eastAsia"/>
        </w:rPr>
        <w:t>同一停车场内停车位编码应具有唯一性。</w:t>
      </w:r>
    </w:p>
    <w:p>
      <w:pPr>
        <w:pStyle w:val="135"/>
      </w:pPr>
      <w:r>
        <w:rPr>
          <w:rFonts w:hint="eastAsia"/>
        </w:rPr>
        <w:t>停车场内电梯间出入口前不应设置停车位。</w:t>
      </w:r>
    </w:p>
    <w:p>
      <w:pPr>
        <w:pStyle w:val="168"/>
      </w:pPr>
      <w:bookmarkStart w:id="112" w:name="_Hlk196413513"/>
      <w:bookmarkStart w:id="113" w:name="_Hlk196491611"/>
      <w:r>
        <w:rPr>
          <w:rFonts w:hint="eastAsia"/>
        </w:rPr>
        <w:t>提供摩托车停放服务的停车场，宜设置摩托车停车泊位。</w:t>
      </w:r>
      <w:bookmarkEnd w:id="112"/>
      <w:r>
        <w:rPr>
          <w:rFonts w:hint="eastAsia"/>
        </w:rPr>
        <w:t>两轮摩托车停车泊位参考式样参见附录D.1。</w:t>
      </w:r>
    </w:p>
    <w:p>
      <w:pPr>
        <w:pStyle w:val="168"/>
      </w:pPr>
      <w:bookmarkStart w:id="114" w:name="_Hlk196413640"/>
      <w:r>
        <w:rPr>
          <w:rFonts w:hint="eastAsia"/>
        </w:rPr>
        <w:t>停车场宜引导三轮摩托车在微型汽车停车位停放</w:t>
      </w:r>
      <w:bookmarkEnd w:id="114"/>
      <w:r>
        <w:rPr>
          <w:rFonts w:hint="eastAsia"/>
        </w:rPr>
        <w:t>。</w:t>
      </w:r>
    </w:p>
    <w:p>
      <w:pPr>
        <w:pStyle w:val="168"/>
      </w:pPr>
      <w:r>
        <w:rPr>
          <w:rFonts w:hint="eastAsia"/>
        </w:rPr>
        <w:t>摩托车停车泊位应和摩托车停车泊位标志配合使用。</w:t>
      </w:r>
      <w:bookmarkStart w:id="115" w:name="_Hlk193966825"/>
      <w:r>
        <w:rPr>
          <w:rFonts w:hint="eastAsia"/>
        </w:rPr>
        <w:t>摩托车停车泊位标志参考式样参见附录D.2</w:t>
      </w:r>
      <w:bookmarkEnd w:id="115"/>
      <w:r>
        <w:rPr>
          <w:rFonts w:hint="eastAsia"/>
        </w:rPr>
        <w:t>。</w:t>
      </w:r>
    </w:p>
    <w:bookmarkEnd w:id="113"/>
    <w:p>
      <w:pPr>
        <w:pStyle w:val="168"/>
      </w:pPr>
      <w:r>
        <w:rPr>
          <w:rFonts w:hint="eastAsia"/>
        </w:rPr>
        <w:t>机械式立体停车设备出入口应设置“适停汽车规格标识”及“车辆入库须知”警示标志，宜设置语音提示系统。</w:t>
      </w:r>
    </w:p>
    <w:p>
      <w:pPr>
        <w:pStyle w:val="108"/>
        <w:spacing w:before="156" w:after="156"/>
      </w:pPr>
      <w:bookmarkStart w:id="116" w:name="_Toc194062216"/>
      <w:bookmarkStart w:id="117" w:name="_Toc195728783"/>
      <w:r>
        <w:rPr>
          <w:rFonts w:hint="eastAsia"/>
        </w:rPr>
        <w:t>收费设施要求</w:t>
      </w:r>
      <w:bookmarkEnd w:id="116"/>
      <w:bookmarkEnd w:id="117"/>
    </w:p>
    <w:p>
      <w:pPr>
        <w:pStyle w:val="168"/>
      </w:pPr>
      <w:r>
        <w:rPr>
          <w:rFonts w:hint="eastAsia"/>
        </w:rPr>
        <w:t>停车场安装的出入口控制设备应符合GA/T 992的相关规定，电动收费栏杆应符合GB/T 24973 的规定。</w:t>
      </w:r>
    </w:p>
    <w:p>
      <w:pPr>
        <w:pStyle w:val="168"/>
      </w:pPr>
      <w:r>
        <w:rPr>
          <w:rFonts w:hint="eastAsia"/>
        </w:rPr>
        <w:t>停车场电子收费设备应符合GB/T 35070的相关规定，出入口控制系统应符合GA/T 394、GB/T 37078的相关规定。</w:t>
      </w:r>
    </w:p>
    <w:p>
      <w:pPr>
        <w:pStyle w:val="168"/>
      </w:pPr>
      <w:r>
        <w:rPr>
          <w:rFonts w:hint="eastAsia"/>
        </w:rPr>
        <w:t>停车场内的电子计时收费装置应设置在平坦路段，宜在计时收费装置前留有不少于10m的直行行车距离。</w:t>
      </w:r>
    </w:p>
    <w:p>
      <w:pPr>
        <w:pStyle w:val="168"/>
      </w:pPr>
      <w:r>
        <w:rPr>
          <w:rFonts w:hint="eastAsia"/>
        </w:rPr>
        <w:t>停车场应保证车辆识别和收费设备的正常运行，静态数据和动态数据准确无误。</w:t>
      </w:r>
    </w:p>
    <w:p>
      <w:pPr>
        <w:pStyle w:val="168"/>
      </w:pPr>
      <w:r>
        <w:rPr>
          <w:rFonts w:hint="eastAsia"/>
        </w:rPr>
        <w:t>停车场明码标价内容应包含：收费时段、收费标准、服务单位监督电话、行业主管部门电话和价格举报电话、服务项目、经营单位名称、停车场范围（位置）、编号、车位总数，收费标准应包括金额、计价单位、不足一个计时单位不收取费用、军车残疾车国家综合性消防救援车辆（悬挂应急专用号牌）按规定免费等内容。</w:t>
      </w:r>
    </w:p>
    <w:p>
      <w:pPr>
        <w:pStyle w:val="168"/>
      </w:pPr>
      <w:bookmarkStart w:id="118" w:name="_Hlk196491399"/>
      <w:r>
        <w:rPr>
          <w:rFonts w:hint="eastAsia"/>
        </w:rPr>
        <w:t>P+R停车场出口应设置公共交通换乘记录识别设备，支持市政交通IC卡及电子卡、地铁二维码、公交二维码等各类换乘凭证的自动识别。</w:t>
      </w:r>
    </w:p>
    <w:bookmarkEnd w:id="118"/>
    <w:p>
      <w:pPr>
        <w:pStyle w:val="108"/>
        <w:spacing w:before="156" w:after="156"/>
      </w:pPr>
      <w:bookmarkStart w:id="119" w:name="_Toc194062217"/>
      <w:bookmarkStart w:id="120" w:name="_Toc195728784"/>
      <w:r>
        <w:rPr>
          <w:rFonts w:hint="eastAsia"/>
        </w:rPr>
        <w:t>无障碍设施要求</w:t>
      </w:r>
      <w:bookmarkEnd w:id="119"/>
      <w:bookmarkEnd w:id="120"/>
    </w:p>
    <w:p>
      <w:pPr>
        <w:pStyle w:val="168"/>
      </w:pPr>
      <w:r>
        <w:rPr>
          <w:rFonts w:hint="eastAsia"/>
        </w:rPr>
        <w:t>停车场内无障碍设施设置比例应符合GB 50763的要求。</w:t>
      </w:r>
    </w:p>
    <w:p>
      <w:pPr>
        <w:pStyle w:val="168"/>
      </w:pPr>
      <w:bookmarkStart w:id="121" w:name="_Hlk193967174"/>
      <w:bookmarkStart w:id="122" w:name="OLE_LINK2"/>
      <w:r>
        <w:rPr>
          <w:rFonts w:hint="eastAsia"/>
        </w:rPr>
        <w:t>停车场无障碍通道宽度应不小于1.5m，并施划宽度不小于0.15m的白线分离人行道与车行道。</w:t>
      </w:r>
      <w:bookmarkEnd w:id="121"/>
    </w:p>
    <w:bookmarkEnd w:id="122"/>
    <w:p>
      <w:pPr>
        <w:pStyle w:val="168"/>
      </w:pPr>
      <w:r>
        <w:rPr>
          <w:rFonts w:hint="eastAsia"/>
        </w:rPr>
        <w:t>无障碍停车位应与停车场的无障碍设施相衔接，宜靠近停车场人行出入口。</w:t>
      </w:r>
    </w:p>
    <w:p>
      <w:pPr>
        <w:pStyle w:val="168"/>
      </w:pPr>
      <w:r>
        <w:rPr>
          <w:rFonts w:hint="eastAsia"/>
        </w:rPr>
        <w:t>无障碍机动车停车位一侧，应设宽度不小于1.20m的轮椅通道，任意方向的坡度均应小于2%。供乘轮椅者从轮椅通道直接进入人行道和到达无障碍出入口。</w:t>
      </w:r>
    </w:p>
    <w:p>
      <w:pPr>
        <w:pStyle w:val="168"/>
      </w:pPr>
      <w:r>
        <w:rPr>
          <w:rFonts w:hint="eastAsia"/>
        </w:rPr>
        <w:t>无障碍设施图形符号应符合GB/T 10001.9的要求。</w:t>
      </w:r>
    </w:p>
    <w:p>
      <w:pPr>
        <w:pStyle w:val="108"/>
        <w:spacing w:before="156" w:after="156"/>
      </w:pPr>
      <w:bookmarkStart w:id="123" w:name="_Toc195728785"/>
      <w:bookmarkStart w:id="124" w:name="_Toc194062218"/>
      <w:r>
        <w:rPr>
          <w:rFonts w:hint="eastAsia"/>
        </w:rPr>
        <w:t>充电设施和泊位要求</w:t>
      </w:r>
      <w:bookmarkEnd w:id="123"/>
      <w:bookmarkEnd w:id="124"/>
    </w:p>
    <w:p>
      <w:pPr>
        <w:pStyle w:val="168"/>
      </w:pPr>
      <w:bookmarkStart w:id="125" w:name="_Hlk193967280"/>
      <w:r>
        <w:rPr>
          <w:rFonts w:hint="eastAsia"/>
        </w:rPr>
        <w:t>新建停车场应按照DB11/T 1455的规定配建充电设施。具备电源条件的既有公共停车场、P+R停车场应按照不低于10%的比例配建公用充电设施。停车场内充电基础设施的设置应符合 DB11/T 1455 的规定。</w:t>
      </w:r>
    </w:p>
    <w:bookmarkEnd w:id="125"/>
    <w:p>
      <w:pPr>
        <w:pStyle w:val="168"/>
      </w:pPr>
      <w:bookmarkStart w:id="126" w:name="_Hlk196494400"/>
      <w:r>
        <w:rPr>
          <w:rFonts w:hint="eastAsia"/>
        </w:rPr>
        <w:t>停车场对外服务的电动汽车充电基础设施，宜针对不同服务对象设置不同比例的</w:t>
      </w:r>
      <w:bookmarkStart w:id="127" w:name="_Hlk197608993"/>
      <w:r>
        <w:rPr>
          <w:rFonts w:hint="eastAsia"/>
        </w:rPr>
        <w:t>超级快速、</w:t>
      </w:r>
      <w:bookmarkStart w:id="128" w:name="OLE_LINK8"/>
      <w:r>
        <w:rPr>
          <w:rFonts w:hint="eastAsia"/>
        </w:rPr>
        <w:t>快速充电设施</w:t>
      </w:r>
      <w:bookmarkEnd w:id="127"/>
      <w:bookmarkEnd w:id="128"/>
      <w:r>
        <w:rPr>
          <w:rFonts w:hint="eastAsia"/>
        </w:rPr>
        <w:t>。</w:t>
      </w:r>
    </w:p>
    <w:bookmarkEnd w:id="126"/>
    <w:p>
      <w:pPr>
        <w:pStyle w:val="168"/>
      </w:pPr>
      <w:r>
        <w:rPr>
          <w:rFonts w:hint="eastAsia"/>
        </w:rPr>
        <w:t>具有充电设施的停车场应设置完备的停车充电引导系统，引导系统包括入口指示标识、道路引导标识和停车充电标志，并明确充电设施服务时间、使用说明和收费标准。</w:t>
      </w:r>
    </w:p>
    <w:p>
      <w:pPr>
        <w:pStyle w:val="168"/>
      </w:pPr>
      <w:r>
        <w:rPr>
          <w:rFonts w:hint="eastAsia"/>
        </w:rPr>
        <w:t>公共停车场、P+R停车场按照不低于10%车位比例设置电动汽车泊位，按照不少于1个专用泊位的原则划定电动汽车专用泊位。</w:t>
      </w:r>
    </w:p>
    <w:p>
      <w:pPr>
        <w:pStyle w:val="168"/>
      </w:pPr>
      <w:r>
        <w:rPr>
          <w:rFonts w:hint="eastAsia"/>
        </w:rPr>
        <w:t>电动汽车泊位设置基本要求如下：</w:t>
      </w:r>
    </w:p>
    <w:p>
      <w:pPr>
        <w:pStyle w:val="135"/>
      </w:pPr>
      <w:r>
        <w:rPr>
          <w:rFonts w:hint="eastAsia"/>
        </w:rPr>
        <w:t>标线：泊位标线为实线边框，</w:t>
      </w:r>
      <w:bookmarkStart w:id="129" w:name="OLE_LINK1"/>
      <w:r>
        <w:rPr>
          <w:rFonts w:hint="eastAsia"/>
        </w:rPr>
        <w:t>颜色应与燃油汽车停车位进行区分。</w:t>
      </w:r>
      <w:bookmarkEnd w:id="129"/>
    </w:p>
    <w:p>
      <w:pPr>
        <w:pStyle w:val="135"/>
      </w:pPr>
      <w:r>
        <w:rPr>
          <w:rFonts w:hint="eastAsia"/>
        </w:rPr>
        <w:t>标志：标志牌边长为0.6m，绿底白字，内设电动汽车泊位标识和“电动汽车泊位”字样，字高为0.08m。</w:t>
      </w:r>
    </w:p>
    <w:p>
      <w:pPr>
        <w:pStyle w:val="135"/>
      </w:pPr>
      <w:bookmarkStart w:id="130" w:name="_Hlk194061917"/>
      <w:r>
        <w:rPr>
          <w:rFonts w:hint="eastAsia"/>
        </w:rPr>
        <w:t>电动汽车泊位标志应和电动汽车泊位标线配合使用</w:t>
      </w:r>
      <w:bookmarkEnd w:id="130"/>
      <w:r>
        <w:rPr>
          <w:rFonts w:hint="eastAsia"/>
        </w:rPr>
        <w:t>。</w:t>
      </w:r>
    </w:p>
    <w:p>
      <w:pPr>
        <w:pStyle w:val="168"/>
      </w:pPr>
      <w:r>
        <w:rPr>
          <w:rFonts w:hint="eastAsia"/>
        </w:rPr>
        <w:t>电动汽车专用泊位设置基本要求如下：</w:t>
      </w:r>
    </w:p>
    <w:p>
      <w:pPr>
        <w:pStyle w:val="135"/>
      </w:pPr>
      <w:r>
        <w:rPr>
          <w:rFonts w:hint="eastAsia"/>
        </w:rPr>
        <w:t>标线和标识：泊位标线宜采用绿色实线边框，颜色应与燃油汽车停车位进行区分。泊位内附加“电动汽车专用泊位”字样，字高为0.4m，颜色均为绿色。</w:t>
      </w:r>
    </w:p>
    <w:p>
      <w:pPr>
        <w:pStyle w:val="135"/>
      </w:pPr>
      <w:r>
        <w:rPr>
          <w:rFonts w:hint="eastAsia"/>
        </w:rPr>
        <w:t>标志：标志牌边长为0.6m，绿底白字，内设电动汽车泊位标识和“ 电动汽车专用泊位”字样，字高为0.08m；“非电动汽车不能占用，违者交由公安交管部门执法”字样,字高0.05m。</w:t>
      </w:r>
    </w:p>
    <w:p>
      <w:pPr>
        <w:pStyle w:val="135"/>
      </w:pPr>
      <w:r>
        <w:rPr>
          <w:rFonts w:hint="eastAsia"/>
        </w:rPr>
        <w:t>电动汽车专用泊位标志应和电动汽车专用泊位标线配合使用。</w:t>
      </w:r>
    </w:p>
    <w:p>
      <w:pPr>
        <w:pStyle w:val="135"/>
      </w:pPr>
      <w:r>
        <w:rPr>
          <w:rFonts w:hint="eastAsia"/>
        </w:rPr>
        <w:t>电动汽车专用泊位、标志牌设置应符合附录E的要求。</w:t>
      </w:r>
    </w:p>
    <w:p>
      <w:pPr>
        <w:pStyle w:val="168"/>
      </w:pPr>
      <w:r>
        <w:rPr>
          <w:rFonts w:hint="eastAsia"/>
        </w:rPr>
        <w:t>标志牌宜采用厚度为3mm的铝合金制或其他耐用双面反光材料制作，标志牌设置应结合现场实际情况采用附着支撑形式，面板距泊位标线边缘为0.25m-0.5m。</w:t>
      </w:r>
    </w:p>
    <w:p>
      <w:pPr>
        <w:pStyle w:val="168"/>
      </w:pPr>
      <w:bookmarkStart w:id="131" w:name="_Hlk193967626"/>
      <w:r>
        <w:rPr>
          <w:rFonts w:hint="eastAsia"/>
        </w:rPr>
        <w:t>距垂直式泊位或倾斜式泊位边线1m处位置应设置阻车装置。</w:t>
      </w:r>
    </w:p>
    <w:bookmarkEnd w:id="131"/>
    <w:p>
      <w:pPr>
        <w:pStyle w:val="168"/>
      </w:pPr>
      <w:r>
        <w:rPr>
          <w:rFonts w:hint="eastAsia"/>
        </w:rPr>
        <w:t>简易自走式立体停车设备应按照DB11/T 1455的规定安装充电设施，实现电动汽车停放与充电一体化功能。</w:t>
      </w:r>
    </w:p>
    <w:p>
      <w:pPr>
        <w:pStyle w:val="108"/>
        <w:spacing w:before="156" w:after="156"/>
      </w:pPr>
      <w:bookmarkStart w:id="132" w:name="_Toc194062219"/>
      <w:bookmarkStart w:id="133" w:name="_Toc195728786"/>
      <w:r>
        <w:rPr>
          <w:rFonts w:hint="eastAsia"/>
        </w:rPr>
        <w:t>安全设施要求</w:t>
      </w:r>
      <w:bookmarkEnd w:id="132"/>
      <w:bookmarkEnd w:id="133"/>
    </w:p>
    <w:p>
      <w:pPr>
        <w:pStyle w:val="168"/>
      </w:pPr>
      <w:r>
        <w:rPr>
          <w:rFonts w:hint="eastAsia"/>
        </w:rPr>
        <w:t>地下停车场入口显著位置应设置限高和减速装置保障车辆入场安全。</w:t>
      </w:r>
    </w:p>
    <w:p>
      <w:pPr>
        <w:pStyle w:val="168"/>
      </w:pPr>
      <w:r>
        <w:rPr>
          <w:rFonts w:hint="eastAsia"/>
        </w:rPr>
        <w:t>停车场坡道设置应符合JGJ 100的相关要求。</w:t>
      </w:r>
    </w:p>
    <w:p>
      <w:pPr>
        <w:pStyle w:val="168"/>
      </w:pPr>
      <w:r>
        <w:rPr>
          <w:rFonts w:hint="eastAsia"/>
        </w:rPr>
        <w:t>停车场出入口坡道应进行路面防滑处理，并应加装遮光、防雨设施。螺旋坡道应设置反光道钉、反光轮廓标、反光导向标、反光警示带等交通安全设施，直线坡道可参照螺旋坡道设置。</w:t>
      </w:r>
    </w:p>
    <w:p>
      <w:pPr>
        <w:pStyle w:val="168"/>
      </w:pPr>
      <w:r>
        <w:rPr>
          <w:rFonts w:hint="eastAsia"/>
        </w:rPr>
        <w:t>停车场内地面应进行硬化处理，地下停车场内地面应满足耐磨、耐油、耐水及防滑等要求。</w:t>
      </w:r>
    </w:p>
    <w:p>
      <w:pPr>
        <w:pStyle w:val="168"/>
      </w:pPr>
      <w:r>
        <w:rPr>
          <w:rFonts w:hint="eastAsia"/>
        </w:rPr>
        <w:t>停车位的设置不应妨碍电力、消防、人防、燃气、排水、环卫等公共设施实现的功能，不应阻碍车辆和行人通道、消防通道、人防防爆门、盲道、应急出口。</w:t>
      </w:r>
    </w:p>
    <w:p>
      <w:pPr>
        <w:pStyle w:val="168"/>
      </w:pPr>
      <w:r>
        <w:rPr>
          <w:rFonts w:hint="eastAsia"/>
        </w:rPr>
        <w:t>停车位内应设置挡车器，挡车器的高度应在0.15m～0.20m之间，设置于距停车位端线汽车前悬或后悬的尺寸减0.2m 处，不应阻碍地面排水。</w:t>
      </w:r>
    </w:p>
    <w:p>
      <w:pPr>
        <w:pStyle w:val="168"/>
      </w:pPr>
      <w:r>
        <w:rPr>
          <w:rFonts w:hint="eastAsia"/>
        </w:rPr>
        <w:t>停车场内车行道交叉口处应设置减速带（垄），每100m直行道应至少设置一个减速带（垄）。</w:t>
      </w:r>
    </w:p>
    <w:p>
      <w:pPr>
        <w:pStyle w:val="168"/>
      </w:pPr>
      <w:r>
        <w:rPr>
          <w:rFonts w:hint="eastAsia"/>
        </w:rPr>
        <w:t>停车场内车行道轮廓线上宜设置反光道钉，场内墙体距地面1m高处设置宽度不小于0.15m的反光警示线或反光轮廓标。</w:t>
      </w:r>
    </w:p>
    <w:p>
      <w:pPr>
        <w:pStyle w:val="168"/>
      </w:pPr>
      <w:r>
        <w:rPr>
          <w:rFonts w:hint="eastAsia"/>
        </w:rPr>
        <w:t>停车场内地面、墙体、柱体及其他设施的颜色不应影响交通标志、标线、标牌、警示线的识别。</w:t>
      </w:r>
    </w:p>
    <w:p>
      <w:pPr>
        <w:pStyle w:val="168"/>
      </w:pPr>
      <w:r>
        <w:rPr>
          <w:rFonts w:hint="eastAsia"/>
        </w:rPr>
        <w:t>停车场内车辆驾驶者视线死角区的对面相应位置应设置反光镜。</w:t>
      </w:r>
    </w:p>
    <w:p>
      <w:pPr>
        <w:pStyle w:val="168"/>
      </w:pPr>
      <w:r>
        <w:rPr>
          <w:rFonts w:hint="eastAsia"/>
        </w:rPr>
        <w:t>停车场内柱体、阳角及凸出构件距地面1m高处应设防撞设施。</w:t>
      </w:r>
    </w:p>
    <w:p>
      <w:pPr>
        <w:pStyle w:val="168"/>
      </w:pPr>
      <w:r>
        <w:rPr>
          <w:rFonts w:hint="eastAsia"/>
        </w:rPr>
        <w:t>停车场内服务岗亭、收费设施设备的设置不应影响车辆驾驶者行车视线，服务岗亭、收费设施设备、车行道附近管线、消防栓等重要设施，应采取安全防护措施。</w:t>
      </w:r>
    </w:p>
    <w:p>
      <w:pPr>
        <w:pStyle w:val="168"/>
      </w:pPr>
      <w:r>
        <w:rPr>
          <w:rFonts w:hint="eastAsia"/>
        </w:rPr>
        <w:t>停车场内设置的广告、优惠活动提示等标志，不应影响场内停车引导标志，不应妨碍停车。</w:t>
      </w:r>
    </w:p>
    <w:p>
      <w:pPr>
        <w:pStyle w:val="168"/>
      </w:pPr>
      <w:r>
        <w:rPr>
          <w:rFonts w:hint="eastAsia"/>
        </w:rPr>
        <w:t>机械式立体停车设备的设置及安全要求应符合JGJ 100、GB 17907、DB11/T 837和DB11/T 2115的相关规定。</w:t>
      </w:r>
    </w:p>
    <w:p>
      <w:pPr>
        <w:pStyle w:val="168"/>
      </w:pPr>
      <w:bookmarkStart w:id="134" w:name="_Hlk196494781"/>
      <w:r>
        <w:rPr>
          <w:rFonts w:hint="eastAsia"/>
        </w:rPr>
        <w:t>停车场内机械式立体停车设备应得到特种设备安全监督管理部门许可后投入使用。</w:t>
      </w:r>
    </w:p>
    <w:p>
      <w:pPr>
        <w:pStyle w:val="168"/>
      </w:pPr>
      <w:r>
        <w:rPr>
          <w:rFonts w:hint="eastAsia"/>
        </w:rPr>
        <w:t>停车场内机械式立体停车设备的显著位置应设置安全标志、使用说明及注意事项。</w:t>
      </w:r>
    </w:p>
    <w:p>
      <w:pPr>
        <w:pStyle w:val="168"/>
      </w:pPr>
      <w:bookmarkStart w:id="135" w:name="_Hlk193967893"/>
      <w:r>
        <w:rPr>
          <w:rFonts w:hint="eastAsia"/>
        </w:rPr>
        <w:t>经营者应按期对停车场内的机械式立体停车设备进行年检。</w:t>
      </w:r>
    </w:p>
    <w:bookmarkEnd w:id="135"/>
    <w:p>
      <w:pPr>
        <w:pStyle w:val="168"/>
      </w:pPr>
      <w:r>
        <w:rPr>
          <w:rFonts w:hint="eastAsia"/>
        </w:rPr>
        <w:t>停车场内机械式立体停车设备应独立设置操作规程、岗位职责、安全责任、应急预案、巡检制度、定期检验和强制维护制度等管理制度，明确责任人、主要工作程序和岗位职责。</w:t>
      </w:r>
    </w:p>
    <w:bookmarkEnd w:id="134"/>
    <w:p>
      <w:pPr>
        <w:pStyle w:val="108"/>
        <w:spacing w:before="156" w:after="156"/>
      </w:pPr>
      <w:bookmarkStart w:id="136" w:name="_Toc194062220"/>
      <w:bookmarkStart w:id="137" w:name="_Toc195728787"/>
      <w:r>
        <w:rPr>
          <w:rFonts w:hint="eastAsia"/>
        </w:rPr>
        <w:t>消防设施要求</w:t>
      </w:r>
      <w:bookmarkEnd w:id="136"/>
      <w:bookmarkEnd w:id="137"/>
    </w:p>
    <w:p>
      <w:pPr>
        <w:pStyle w:val="168"/>
      </w:pPr>
      <w:r>
        <w:rPr>
          <w:rFonts w:hint="eastAsia"/>
        </w:rPr>
        <w:t>停车场内消防设施设备的设置应符合GB 50067和DB11/T 853的规定。</w:t>
      </w:r>
    </w:p>
    <w:p>
      <w:pPr>
        <w:pStyle w:val="168"/>
      </w:pPr>
      <w:r>
        <w:rPr>
          <w:rFonts w:hint="eastAsia"/>
        </w:rPr>
        <w:t>停车场显著位置应设置火灾应急线路指示图，火灾应急线路指示图的设计应简洁、明显、连续，利于快速疏散逃生。</w:t>
      </w:r>
    </w:p>
    <w:p>
      <w:pPr>
        <w:pStyle w:val="168"/>
      </w:pPr>
      <w:r>
        <w:rPr>
          <w:rFonts w:hint="eastAsia"/>
        </w:rPr>
        <w:t>停车场内火灾报警器和火灾应急广播的设置应符合GB 50116的规定。</w:t>
      </w:r>
    </w:p>
    <w:p>
      <w:pPr>
        <w:pStyle w:val="168"/>
      </w:pPr>
      <w:r>
        <w:rPr>
          <w:rFonts w:hint="eastAsia"/>
        </w:rPr>
        <w:t>停车场内消防应急照明系统和疏散指示系统应符合GB 17945的规定。</w:t>
      </w:r>
    </w:p>
    <w:p>
      <w:pPr>
        <w:pStyle w:val="168"/>
      </w:pPr>
      <w:r>
        <w:rPr>
          <w:rFonts w:hint="eastAsia"/>
        </w:rPr>
        <w:t>停车场内消防安全标志设置应符合GB 15630和GB 13495.1的规定。</w:t>
      </w:r>
    </w:p>
    <w:p>
      <w:pPr>
        <w:pStyle w:val="108"/>
        <w:spacing w:before="156" w:after="156"/>
      </w:pPr>
      <w:bookmarkStart w:id="138" w:name="_Toc195728788"/>
      <w:bookmarkStart w:id="139" w:name="_Toc194062221"/>
      <w:r>
        <w:rPr>
          <w:rFonts w:hint="eastAsia"/>
        </w:rPr>
        <w:t>其他设施要求</w:t>
      </w:r>
      <w:bookmarkEnd w:id="138"/>
      <w:bookmarkEnd w:id="139"/>
    </w:p>
    <w:p>
      <w:pPr>
        <w:pStyle w:val="168"/>
      </w:pPr>
      <w:r>
        <w:rPr>
          <w:rFonts w:hint="eastAsia"/>
        </w:rPr>
        <w:t>停车场宜在出口设置出口警报器。</w:t>
      </w:r>
    </w:p>
    <w:p>
      <w:pPr>
        <w:pStyle w:val="168"/>
      </w:pPr>
      <w:r>
        <w:rPr>
          <w:rFonts w:hint="eastAsia"/>
        </w:rPr>
        <w:t>地下停车场内应保证信号系统和广播服务系统的正常使用。</w:t>
      </w:r>
    </w:p>
    <w:p>
      <w:pPr>
        <w:pStyle w:val="107"/>
        <w:spacing w:before="312" w:after="312"/>
      </w:pPr>
      <w:bookmarkStart w:id="140" w:name="_Toc195728789"/>
      <w:bookmarkStart w:id="141" w:name="_Toc196389921"/>
      <w:bookmarkStart w:id="142" w:name="_Toc194062222"/>
      <w:r>
        <w:rPr>
          <w:rFonts w:hint="eastAsia"/>
        </w:rPr>
        <w:t>管理服务要求</w:t>
      </w:r>
      <w:bookmarkEnd w:id="140"/>
      <w:bookmarkEnd w:id="141"/>
      <w:bookmarkEnd w:id="142"/>
    </w:p>
    <w:p>
      <w:pPr>
        <w:pStyle w:val="108"/>
        <w:spacing w:before="156" w:after="156"/>
      </w:pPr>
      <w:bookmarkStart w:id="143" w:name="_Toc195728790"/>
      <w:bookmarkStart w:id="144" w:name="_Toc194062223"/>
      <w:r>
        <w:rPr>
          <w:rFonts w:hint="eastAsia"/>
        </w:rPr>
        <w:t>人员管理要求</w:t>
      </w:r>
      <w:bookmarkEnd w:id="143"/>
      <w:bookmarkEnd w:id="144"/>
    </w:p>
    <w:p>
      <w:pPr>
        <w:pStyle w:val="168"/>
      </w:pPr>
      <w:r>
        <w:rPr>
          <w:rFonts w:hint="eastAsia"/>
        </w:rPr>
        <w:t>停车管理员基本要求如下：</w:t>
      </w:r>
    </w:p>
    <w:p>
      <w:pPr>
        <w:pStyle w:val="135"/>
      </w:pPr>
      <w:r>
        <w:rPr>
          <w:rFonts w:hint="eastAsia"/>
        </w:rPr>
        <w:t>应牢记岗位职责、操作规程，熟练掌握设备设施的操作技能。</w:t>
      </w:r>
    </w:p>
    <w:p>
      <w:pPr>
        <w:pStyle w:val="135"/>
      </w:pPr>
      <w:r>
        <w:rPr>
          <w:rFonts w:hint="eastAsia"/>
        </w:rPr>
        <w:t>工作时应着统一工装。工装应干净、整洁，不应与其他服装混穿。</w:t>
      </w:r>
    </w:p>
    <w:p>
      <w:pPr>
        <w:pStyle w:val="135"/>
      </w:pPr>
      <w:r>
        <w:rPr>
          <w:rFonts w:hint="eastAsia"/>
        </w:rPr>
        <w:t>工作时应佩带统一标识。</w:t>
      </w:r>
    </w:p>
    <w:p>
      <w:pPr>
        <w:pStyle w:val="135"/>
      </w:pPr>
      <w:r>
        <w:rPr>
          <w:rFonts w:hint="eastAsia"/>
        </w:rPr>
        <w:t>工作时站立姿势应端正，指挥手势规范。</w:t>
      </w:r>
    </w:p>
    <w:p>
      <w:pPr>
        <w:pStyle w:val="135"/>
      </w:pPr>
      <w:r>
        <w:rPr>
          <w:rFonts w:hint="eastAsia"/>
        </w:rPr>
        <w:t>工作时应语言文明、用语准确。</w:t>
      </w:r>
    </w:p>
    <w:p>
      <w:pPr>
        <w:pStyle w:val="168"/>
      </w:pPr>
      <w:r>
        <w:rPr>
          <w:rFonts w:hint="eastAsia"/>
        </w:rPr>
        <w:t>操作机械式立体停车设备的管理员应规范、熟练、安全地操作机械式立体停车设备。</w:t>
      </w:r>
    </w:p>
    <w:p>
      <w:pPr>
        <w:pStyle w:val="168"/>
      </w:pPr>
      <w:r>
        <w:rPr>
          <w:rFonts w:hint="eastAsia"/>
        </w:rPr>
        <w:t>停车管理员应熟练掌握消防、应急基本知识（包括但不限于110及119报警程序、消防设施设</w:t>
      </w:r>
    </w:p>
    <w:p>
      <w:pPr>
        <w:pStyle w:val="168"/>
        <w:numPr>
          <w:ilvl w:val="0"/>
          <w:numId w:val="0"/>
        </w:numPr>
      </w:pPr>
      <w:r>
        <w:rPr>
          <w:rFonts w:hint="eastAsia"/>
        </w:rPr>
        <w:t>备的功能及使用方法、火情处理程序等）。</w:t>
      </w:r>
    </w:p>
    <w:p>
      <w:pPr>
        <w:pStyle w:val="108"/>
        <w:spacing w:before="156" w:after="156"/>
      </w:pPr>
      <w:bookmarkStart w:id="145" w:name="_Toc195728791"/>
      <w:bookmarkStart w:id="146" w:name="_Toc194062224"/>
      <w:r>
        <w:rPr>
          <w:rFonts w:hint="eastAsia"/>
        </w:rPr>
        <w:t>收费要求</w:t>
      </w:r>
      <w:bookmarkEnd w:id="145"/>
      <w:bookmarkEnd w:id="146"/>
    </w:p>
    <w:p>
      <w:pPr>
        <w:pStyle w:val="168"/>
      </w:pPr>
      <w:r>
        <w:rPr>
          <w:rFonts w:hint="eastAsia"/>
        </w:rPr>
        <w:t>实行政府定价的停车场，应按价格管理部门的规定收取停放费用；实行市场调节价的停车场由经营者依据价格法律法规和相关规定，根据地理位置、服务条件、供求关系等因素自主定价。</w:t>
      </w:r>
    </w:p>
    <w:p>
      <w:pPr>
        <w:pStyle w:val="168"/>
      </w:pPr>
      <w:r>
        <w:rPr>
          <w:rFonts w:hint="eastAsia"/>
        </w:rPr>
        <w:t>车辆停放服务收费应按规定实行明码标价，经营者应在车辆出场时按照明示的标准收费。</w:t>
      </w:r>
    </w:p>
    <w:p>
      <w:pPr>
        <w:pStyle w:val="168"/>
      </w:pPr>
      <w:r>
        <w:rPr>
          <w:rFonts w:hint="eastAsia"/>
        </w:rPr>
        <w:t>停车场应支持电子支付、现金等多种方式收费。</w:t>
      </w:r>
    </w:p>
    <w:p>
      <w:pPr>
        <w:pStyle w:val="168"/>
      </w:pPr>
      <w:bookmarkStart w:id="147" w:name="_Hlk196495123"/>
      <w:r>
        <w:rPr>
          <w:rFonts w:hint="eastAsia"/>
        </w:rPr>
        <w:t>电子收费宜采用“安心码”扫码付费，</w:t>
      </w:r>
      <w:bookmarkEnd w:id="147"/>
      <w:r>
        <w:rPr>
          <w:rFonts w:hint="eastAsia"/>
        </w:rPr>
        <w:t>收费形式宜采取离场前支付或出场无感支付的方式。</w:t>
      </w:r>
    </w:p>
    <w:p>
      <w:pPr>
        <w:pStyle w:val="168"/>
      </w:pPr>
      <w:bookmarkStart w:id="148" w:name="_Hlk196493985"/>
      <w:r>
        <w:rPr>
          <w:rFonts w:hint="eastAsia"/>
        </w:rPr>
        <w:t>向摩托车提供停放服务的停车场应在出入口显著位置公示允许停放摩托车的类型和收费标准，宜分类分区提供引导服务。</w:t>
      </w:r>
    </w:p>
    <w:bookmarkEnd w:id="148"/>
    <w:p>
      <w:pPr>
        <w:pStyle w:val="168"/>
      </w:pPr>
      <w:r>
        <w:rPr>
          <w:rFonts w:hint="eastAsia"/>
        </w:rPr>
        <w:t>对于占用电动汽车泊位的燃油汽车和充电完成后超过一个计时单位仍未驶离的电动汽车，可采</w:t>
      </w:r>
    </w:p>
    <w:p>
      <w:pPr>
        <w:pStyle w:val="168"/>
        <w:numPr>
          <w:ilvl w:val="0"/>
          <w:numId w:val="0"/>
        </w:numPr>
      </w:pPr>
      <w:r>
        <w:rPr>
          <w:rFonts w:hint="eastAsia"/>
        </w:rPr>
        <w:t>取阶梯式价格标准进行收费。</w:t>
      </w:r>
    </w:p>
    <w:p>
      <w:pPr>
        <w:pStyle w:val="168"/>
      </w:pPr>
      <w:r>
        <w:rPr>
          <w:rFonts w:hint="eastAsia"/>
        </w:rPr>
        <w:t>停车场需人工计费时，停车服务人员应准确记录车辆入、出场时间、停放时间，及时发放车辆存取凭证，并与车辆驾驶人核对入、出场时间。车辆出场时，停车服务人员应核对车辆存取凭证，按公示价格收取停车费。</w:t>
      </w:r>
    </w:p>
    <w:p>
      <w:pPr>
        <w:pStyle w:val="168"/>
      </w:pPr>
      <w:r>
        <w:rPr>
          <w:rFonts w:hint="eastAsia"/>
        </w:rPr>
        <w:t>经营者应提供税务部门统一发放的电子发票或纸质发票，不应使用其他收费凭证，不应出租、转借、转卖或使用他人票据。</w:t>
      </w:r>
    </w:p>
    <w:p>
      <w:pPr>
        <w:pStyle w:val="168"/>
      </w:pPr>
      <w:r>
        <w:rPr>
          <w:rFonts w:hint="eastAsia"/>
        </w:rPr>
        <w:t>残疾人持公安机关交通管理部门核发的残疾人专用通行证驾驶残疾人本人专用车辆在本市各类非居住区停车场停放时，免收停车费。</w:t>
      </w:r>
    </w:p>
    <w:p>
      <w:pPr>
        <w:pStyle w:val="108"/>
        <w:spacing w:before="156" w:after="156"/>
      </w:pPr>
      <w:bookmarkStart w:id="149" w:name="_Toc194062225"/>
      <w:bookmarkStart w:id="150" w:name="_Toc195728792"/>
      <w:r>
        <w:rPr>
          <w:rFonts w:hint="eastAsia"/>
        </w:rPr>
        <w:t>告知要求</w:t>
      </w:r>
      <w:bookmarkEnd w:id="149"/>
      <w:bookmarkEnd w:id="150"/>
    </w:p>
    <w:p>
      <w:pPr>
        <w:pStyle w:val="168"/>
      </w:pPr>
      <w:r>
        <w:rPr>
          <w:rFonts w:hint="eastAsia"/>
        </w:rPr>
        <w:t>停车场应采取多种形式向车辆驾驶者告知以下信息：</w:t>
      </w:r>
    </w:p>
    <w:p>
      <w:pPr>
        <w:pStyle w:val="135"/>
      </w:pPr>
      <w:r>
        <w:rPr>
          <w:rFonts w:hint="eastAsia"/>
        </w:rPr>
        <w:t>停车场收费标准；</w:t>
      </w:r>
    </w:p>
    <w:p>
      <w:pPr>
        <w:pStyle w:val="135"/>
      </w:pPr>
      <w:r>
        <w:rPr>
          <w:rFonts w:hint="eastAsia"/>
        </w:rPr>
        <w:t>停车场缴费方式；</w:t>
      </w:r>
    </w:p>
    <w:p>
      <w:pPr>
        <w:pStyle w:val="135"/>
      </w:pPr>
      <w:r>
        <w:rPr>
          <w:rFonts w:hint="eastAsia"/>
        </w:rPr>
        <w:t>车辆停放不应影响行车安全；</w:t>
      </w:r>
    </w:p>
    <w:p>
      <w:pPr>
        <w:pStyle w:val="135"/>
      </w:pPr>
      <w:r>
        <w:rPr>
          <w:rFonts w:hint="eastAsia"/>
        </w:rPr>
        <w:t>车辆驾驶者应服从工作人员引导，有序停放车辆，爱护停车设施，不应在非停车区域停放车辆；</w:t>
      </w:r>
    </w:p>
    <w:p>
      <w:pPr>
        <w:pStyle w:val="135"/>
      </w:pPr>
      <w:r>
        <w:rPr>
          <w:rFonts w:hint="eastAsia"/>
        </w:rPr>
        <w:t>车辆驾驶者禁止携带违禁、易燃、易爆、毒害、腐蚀、放射性等危险品或污染物品；</w:t>
      </w:r>
    </w:p>
    <w:p>
      <w:pPr>
        <w:pStyle w:val="135"/>
      </w:pPr>
      <w:r>
        <w:rPr>
          <w:rFonts w:hint="eastAsia"/>
        </w:rPr>
        <w:t>车辆驾驶者不应在场内进行鸣喇叭、长时间发动车辆等易产生噪音的操作；</w:t>
      </w:r>
    </w:p>
    <w:p>
      <w:pPr>
        <w:pStyle w:val="135"/>
      </w:pPr>
      <w:r>
        <w:rPr>
          <w:rFonts w:hint="eastAsia"/>
        </w:rPr>
        <w:t>车辆驾驶者不应在场内乱扔垃圾、吸烟、使用明火、修车、试车、练车；</w:t>
      </w:r>
    </w:p>
    <w:p>
      <w:pPr>
        <w:pStyle w:val="135"/>
      </w:pPr>
      <w:r>
        <w:rPr>
          <w:rFonts w:hint="eastAsia"/>
        </w:rPr>
        <w:t>车辆驾驶者注意财物安全，关好车窗、锁好车门、拿好财物；</w:t>
      </w:r>
    </w:p>
    <w:p>
      <w:pPr>
        <w:pStyle w:val="135"/>
      </w:pPr>
      <w:r>
        <w:rPr>
          <w:rFonts w:hint="eastAsia"/>
        </w:rPr>
        <w:t>醉酒者或非法驾驶者严禁驾驶车辆进入停车场；</w:t>
      </w:r>
    </w:p>
    <w:p>
      <w:pPr>
        <w:pStyle w:val="135"/>
      </w:pPr>
      <w:r>
        <w:rPr>
          <w:rFonts w:hint="eastAsia"/>
        </w:rPr>
        <w:t>外观破损严重，或发现制动失灵、漏油等严重影响停车场安全的车辆禁止进入停车场；</w:t>
      </w:r>
    </w:p>
    <w:p>
      <w:pPr>
        <w:pStyle w:val="135"/>
      </w:pPr>
      <w:r>
        <w:rPr>
          <w:rFonts w:hint="eastAsia"/>
        </w:rPr>
        <w:t>超出停车场允许停放车型范围的车辆禁止进入停车场；</w:t>
      </w:r>
    </w:p>
    <w:p>
      <w:pPr>
        <w:pStyle w:val="135"/>
      </w:pPr>
      <w:r>
        <w:rPr>
          <w:rFonts w:hint="eastAsia"/>
        </w:rPr>
        <w:t>燃油汽车严禁占用电动汽车专用泊位；</w:t>
      </w:r>
    </w:p>
    <w:p>
      <w:pPr>
        <w:pStyle w:val="135"/>
      </w:pPr>
      <w:r>
        <w:rPr>
          <w:rFonts w:hint="eastAsia"/>
        </w:rPr>
        <w:t>禁止在停车场内分拣快递；</w:t>
      </w:r>
    </w:p>
    <w:p>
      <w:pPr>
        <w:pStyle w:val="135"/>
      </w:pPr>
      <w:r>
        <w:rPr>
          <w:rFonts w:hint="eastAsia"/>
        </w:rPr>
        <w:t>非残疾人用车严禁占用无障碍车位；</w:t>
      </w:r>
    </w:p>
    <w:p>
      <w:pPr>
        <w:pStyle w:val="135"/>
      </w:pPr>
      <w:r>
        <w:rPr>
          <w:rFonts w:hint="eastAsia"/>
        </w:rPr>
        <w:t>游商小贩及闲散无关人员严禁进入停车场；</w:t>
      </w:r>
    </w:p>
    <w:p>
      <w:pPr>
        <w:pStyle w:val="135"/>
      </w:pPr>
      <w:r>
        <w:rPr>
          <w:rFonts w:hint="eastAsia"/>
        </w:rPr>
        <w:t>停车场禁止车内人员留宿；</w:t>
      </w:r>
    </w:p>
    <w:p>
      <w:pPr>
        <w:pStyle w:val="135"/>
      </w:pPr>
      <w:r>
        <w:rPr>
          <w:rFonts w:hint="eastAsia"/>
        </w:rPr>
        <w:t>停车场禁止开展体育、娱乐等影响车辆通行安全的活动。</w:t>
      </w:r>
    </w:p>
    <w:p>
      <w:pPr>
        <w:pStyle w:val="108"/>
        <w:spacing w:before="156" w:after="156"/>
      </w:pPr>
      <w:bookmarkStart w:id="151" w:name="_Toc194062226"/>
      <w:bookmarkStart w:id="152" w:name="_Toc195728793"/>
      <w:r>
        <w:rPr>
          <w:rFonts w:hint="eastAsia"/>
        </w:rPr>
        <w:t>引导要求</w:t>
      </w:r>
      <w:bookmarkEnd w:id="151"/>
      <w:bookmarkEnd w:id="152"/>
    </w:p>
    <w:p>
      <w:pPr>
        <w:pStyle w:val="168"/>
      </w:pPr>
      <w:r>
        <w:rPr>
          <w:rFonts w:hint="eastAsia"/>
        </w:rPr>
        <w:t>停车场应根据实际情况，通过停车管理员、设备设施和标志标线提供如下引导服务：</w:t>
      </w:r>
    </w:p>
    <w:p>
      <w:pPr>
        <w:pStyle w:val="135"/>
      </w:pPr>
      <w:r>
        <w:rPr>
          <w:rFonts w:hint="eastAsia"/>
        </w:rPr>
        <w:t>引导车辆进出停车场，出现车辆拥堵或停车场无空余车位时，停车管理员应及时疏导；</w:t>
      </w:r>
    </w:p>
    <w:p>
      <w:pPr>
        <w:pStyle w:val="135"/>
      </w:pPr>
      <w:r>
        <w:rPr>
          <w:rFonts w:hint="eastAsia"/>
        </w:rPr>
        <w:t>引导行人出入停车场及寻找车辆；</w:t>
      </w:r>
    </w:p>
    <w:p>
      <w:pPr>
        <w:pStyle w:val="135"/>
      </w:pPr>
      <w:r>
        <w:rPr>
          <w:rFonts w:hint="eastAsia"/>
        </w:rPr>
        <w:t>引导有无障碍停车服务需求的驾驶人在无障碍停车位停放；</w:t>
      </w:r>
    </w:p>
    <w:p>
      <w:pPr>
        <w:pStyle w:val="135"/>
      </w:pPr>
      <w:r>
        <w:rPr>
          <w:rFonts w:hint="eastAsia"/>
        </w:rPr>
        <w:t>引导非残疾人用车勿占用无障碍停车位；</w:t>
      </w:r>
    </w:p>
    <w:p>
      <w:pPr>
        <w:pStyle w:val="135"/>
      </w:pPr>
      <w:r>
        <w:rPr>
          <w:rFonts w:hint="eastAsia"/>
        </w:rPr>
        <w:t>引导燃油汽车和有充电需求的电动汽车分类停放；</w:t>
      </w:r>
    </w:p>
    <w:p>
      <w:pPr>
        <w:pStyle w:val="135"/>
      </w:pPr>
      <w:r>
        <w:rPr>
          <w:rFonts w:hint="eastAsia"/>
        </w:rPr>
        <w:t>在非充电车位有空余的情况下，引导燃油汽车避免占用电动汽车泊位；</w:t>
      </w:r>
    </w:p>
    <w:p>
      <w:pPr>
        <w:pStyle w:val="135"/>
      </w:pPr>
      <w:r>
        <w:rPr>
          <w:rFonts w:hint="eastAsia"/>
        </w:rPr>
        <w:t>在非充电车位无空余的情况下，可以引导燃油汽车占用部分电动汽车泊位，但不得占用划定的电动汽车专用泊位，并提示驾驶者留下联系信息；</w:t>
      </w:r>
    </w:p>
    <w:p>
      <w:pPr>
        <w:pStyle w:val="135"/>
      </w:pPr>
      <w:r>
        <w:rPr>
          <w:rFonts w:hint="eastAsia"/>
        </w:rPr>
        <w:t>引导已完成充电的电动汽车及时驶离电动汽车专用泊位。车位有空余的情况下，避免占用电动汽车泊位；</w:t>
      </w:r>
    </w:p>
    <w:p>
      <w:pPr>
        <w:pStyle w:val="135"/>
      </w:pPr>
      <w:r>
        <w:rPr>
          <w:rFonts w:hint="eastAsia"/>
        </w:rPr>
        <w:t>引导燃油汽车、没有充电需求的电动汽车勿占用电动汽车专用泊位；</w:t>
      </w:r>
    </w:p>
    <w:p>
      <w:pPr>
        <w:pStyle w:val="135"/>
      </w:pPr>
      <w:r>
        <w:rPr>
          <w:rFonts w:hint="eastAsia"/>
        </w:rPr>
        <w:t>当有充电需求或非电动汽车泊位有空余时，宜通过广播、短信等方式，提醒燃油汽车驾驶者将车辆驶离电动汽车泊位。</w:t>
      </w:r>
    </w:p>
    <w:p>
      <w:pPr>
        <w:pStyle w:val="168"/>
      </w:pPr>
      <w:r>
        <w:rPr>
          <w:rFonts w:hint="eastAsia"/>
        </w:rPr>
        <w:t>停车管理员应为驾驶者提供相关的问询服务。</w:t>
      </w:r>
    </w:p>
    <w:p>
      <w:pPr>
        <w:pStyle w:val="168"/>
      </w:pPr>
      <w:r>
        <w:rPr>
          <w:rFonts w:hint="eastAsia"/>
        </w:rPr>
        <w:t>出入口无停车管理员值守的停车场，应设置车辆驾驶人与停车服务人员联络的语音或视频设备，并在停车场显著位置公示紧急联系电话。</w:t>
      </w:r>
    </w:p>
    <w:p>
      <w:pPr>
        <w:pStyle w:val="108"/>
        <w:spacing w:before="156" w:after="156"/>
      </w:pPr>
      <w:bookmarkStart w:id="153" w:name="_Toc194062227"/>
      <w:bookmarkStart w:id="154" w:name="_Toc195728794"/>
      <w:r>
        <w:rPr>
          <w:rFonts w:hint="eastAsia"/>
        </w:rPr>
        <w:t>其它要求</w:t>
      </w:r>
      <w:bookmarkEnd w:id="153"/>
      <w:bookmarkEnd w:id="154"/>
    </w:p>
    <w:p>
      <w:pPr>
        <w:pStyle w:val="168"/>
      </w:pPr>
      <w:r>
        <w:rPr>
          <w:rFonts w:hint="eastAsia"/>
        </w:rPr>
        <w:t>停车场应具有拾遗物品管理办法，做好拾遗物品的登记、保管、核实、归还和移交工作。拾到违禁物品、贵重物品时，应立即报告公安机关。</w:t>
      </w:r>
    </w:p>
    <w:p>
      <w:pPr>
        <w:pStyle w:val="168"/>
      </w:pPr>
      <w:r>
        <w:rPr>
          <w:rFonts w:hint="eastAsia"/>
        </w:rPr>
        <w:t>纠纷处理要求如下：</w:t>
      </w:r>
    </w:p>
    <w:p>
      <w:pPr>
        <w:pStyle w:val="135"/>
      </w:pPr>
      <w:r>
        <w:rPr>
          <w:rFonts w:hint="eastAsia"/>
        </w:rPr>
        <w:t>停车场应具有纠纷处理办法，明确责任人、处理程序和时限要求。</w:t>
      </w:r>
    </w:p>
    <w:p>
      <w:pPr>
        <w:pStyle w:val="135"/>
      </w:pPr>
      <w:r>
        <w:rPr>
          <w:rFonts w:hint="eastAsia"/>
        </w:rPr>
        <w:t>发现停放车辆被损坏时，停车管理员应立即报告车场管理负责人、告知车辆驾驶者，并由车场管理负责人处理。若事故责任人明确，停车管理员应采取必要的取证措施便于指认责任人。</w:t>
      </w:r>
    </w:p>
    <w:p>
      <w:pPr>
        <w:pStyle w:val="135"/>
      </w:pPr>
      <w:r>
        <w:rPr>
          <w:rFonts w:hint="eastAsia"/>
        </w:rPr>
        <w:t>出现价格纠纷时，停车管理员与投诉人应核对停放时间和停车场收费标准。投诉人有异议的，停车管理员应立即上报，由停车场管理负责人处理。</w:t>
      </w:r>
    </w:p>
    <w:p>
      <w:pPr>
        <w:pStyle w:val="135"/>
      </w:pPr>
      <w:r>
        <w:rPr>
          <w:rFonts w:hint="eastAsia"/>
        </w:rPr>
        <w:t xml:space="preserve">纠纷投诉人未就处理意见与停车场达成一致时，停车场管理负责人应告知投诉人投诉渠道，并配合相关部门做好处理工作。 </w:t>
      </w:r>
    </w:p>
    <w:p>
      <w:pPr>
        <w:pStyle w:val="168"/>
      </w:pPr>
      <w:r>
        <w:rPr>
          <w:rFonts w:hint="eastAsia"/>
        </w:rPr>
        <w:t>发生或发现下列情况时，停车场应拒绝或终止停车服务：</w:t>
      </w:r>
    </w:p>
    <w:p>
      <w:pPr>
        <w:pStyle w:val="135"/>
      </w:pPr>
      <w:r>
        <w:rPr>
          <w:rFonts w:hint="eastAsia"/>
        </w:rPr>
        <w:t>车辆驾驶者为醉酒者、非法驾驶车辆者；</w:t>
      </w:r>
    </w:p>
    <w:p>
      <w:pPr>
        <w:pStyle w:val="135"/>
      </w:pPr>
      <w:r>
        <w:rPr>
          <w:rFonts w:hint="eastAsia"/>
        </w:rPr>
        <w:t>车辆携带违禁、易燃、易爆、毒害、腐蚀、放射性等危险品；</w:t>
      </w:r>
    </w:p>
    <w:p>
      <w:pPr>
        <w:pStyle w:val="135"/>
      </w:pPr>
      <w:r>
        <w:rPr>
          <w:rFonts w:hint="eastAsia"/>
        </w:rPr>
        <w:t>车辆外观破损严重，或发现制动失灵、漏油等严重影响停车场安全的故障；</w:t>
      </w:r>
    </w:p>
    <w:p>
      <w:pPr>
        <w:pStyle w:val="135"/>
      </w:pPr>
      <w:r>
        <w:rPr>
          <w:rFonts w:hint="eastAsia"/>
        </w:rPr>
        <w:t>超出停车场允许停放车型范围的车辆；</w:t>
      </w:r>
    </w:p>
    <w:p>
      <w:pPr>
        <w:pStyle w:val="135"/>
      </w:pPr>
      <w:r>
        <w:rPr>
          <w:rFonts w:hint="eastAsia"/>
        </w:rPr>
        <w:t>停车场内发生突发事件；</w:t>
      </w:r>
    </w:p>
    <w:p>
      <w:pPr>
        <w:pStyle w:val="135"/>
      </w:pPr>
      <w:r>
        <w:rPr>
          <w:rFonts w:hint="eastAsia"/>
        </w:rPr>
        <w:t>拒绝或终止服务应向驾驶者说明理由，寻求理解，劝离停车场。</w:t>
      </w:r>
    </w:p>
    <w:p>
      <w:pPr>
        <w:pStyle w:val="168"/>
      </w:pPr>
      <w:r>
        <w:rPr>
          <w:rFonts w:hint="eastAsia"/>
        </w:rPr>
        <w:t>停车场宜购买停车位公共责任附加险。当停车场内发生车辆受损事故时，应积极进行协调处理。</w:t>
      </w:r>
    </w:p>
    <w:p>
      <w:pPr>
        <w:pStyle w:val="168"/>
      </w:pPr>
      <w:bookmarkStart w:id="155" w:name="_Hlk196495370"/>
      <w:r>
        <w:rPr>
          <w:rFonts w:hint="eastAsia"/>
        </w:rPr>
        <w:t>具备条件的停车场应开展停车泊位有偿错时共享，并公开错时共享的位置、数量、开放时间和办理方式。</w:t>
      </w:r>
    </w:p>
    <w:p>
      <w:pPr>
        <w:pStyle w:val="168"/>
      </w:pPr>
      <w:bookmarkStart w:id="156" w:name="_Hlk196415005"/>
      <w:r>
        <w:rPr>
          <w:rFonts w:hint="eastAsia"/>
        </w:rPr>
        <w:t>拥有停车位专属使用权的单位或个人向社会车辆提供有偿共享的</w:t>
      </w:r>
      <w:bookmarkEnd w:id="156"/>
      <w:r>
        <w:rPr>
          <w:rFonts w:hint="eastAsia"/>
        </w:rPr>
        <w:t>，可与停车场协商确定权利义务，停车场应予配合。</w:t>
      </w:r>
    </w:p>
    <w:bookmarkEnd w:id="155"/>
    <w:p>
      <w:pPr>
        <w:pStyle w:val="107"/>
        <w:spacing w:before="312" w:after="312"/>
      </w:pPr>
      <w:bookmarkStart w:id="157" w:name="_Toc195728795"/>
      <w:bookmarkStart w:id="158" w:name="_Toc196389922"/>
      <w:bookmarkStart w:id="159" w:name="_Toc194062228"/>
      <w:r>
        <w:rPr>
          <w:rFonts w:hint="eastAsia"/>
        </w:rPr>
        <w:t>安全管理要求</w:t>
      </w:r>
      <w:bookmarkEnd w:id="157"/>
      <w:bookmarkEnd w:id="158"/>
      <w:bookmarkEnd w:id="159"/>
    </w:p>
    <w:p>
      <w:pPr>
        <w:pStyle w:val="108"/>
        <w:spacing w:before="156" w:after="156"/>
      </w:pPr>
      <w:bookmarkStart w:id="160" w:name="_Toc194062229"/>
      <w:bookmarkStart w:id="161" w:name="_Toc195728796"/>
      <w:r>
        <w:rPr>
          <w:rFonts w:hint="eastAsia"/>
        </w:rPr>
        <w:t>应急预案要求</w:t>
      </w:r>
      <w:bookmarkEnd w:id="160"/>
      <w:bookmarkEnd w:id="161"/>
    </w:p>
    <w:p>
      <w:pPr>
        <w:pStyle w:val="168"/>
      </w:pPr>
      <w:r>
        <w:rPr>
          <w:rFonts w:hint="eastAsia"/>
        </w:rPr>
        <w:t>经营者应对停车场可能发生的各类突发事件有针对性的制定应急预案（如火灾、交通 事故、刑事案件、爆炸、坍塌、设施设备故障导致人员车辆滞留、极端天气、车辆水淹事件（汛期）、突发流行疾病等事件），并与属地主管单位和政府主管部门的预案紧密衔接。</w:t>
      </w:r>
    </w:p>
    <w:p>
      <w:pPr>
        <w:pStyle w:val="168"/>
      </w:pPr>
      <w:r>
        <w:rPr>
          <w:rFonts w:hint="eastAsia"/>
        </w:rPr>
        <w:t>应急预案应具体规定突发事件应急管理工作的监测预警机制、组织指挥体系、人员职责、处置程序、救援措施以及事后恢复与重建等内容。</w:t>
      </w:r>
    </w:p>
    <w:p>
      <w:pPr>
        <w:pStyle w:val="168"/>
      </w:pPr>
      <w:r>
        <w:rPr>
          <w:rFonts w:hint="eastAsia"/>
        </w:rPr>
        <w:t>应急预案应根据实际情况不断补充和完善。</w:t>
      </w:r>
    </w:p>
    <w:p>
      <w:pPr>
        <w:pStyle w:val="168"/>
      </w:pPr>
      <w:r>
        <w:rPr>
          <w:rFonts w:hint="eastAsia"/>
        </w:rPr>
        <w:t>停车场经营者应定期进行应急培训和演练。</w:t>
      </w:r>
    </w:p>
    <w:p>
      <w:pPr>
        <w:pStyle w:val="168"/>
      </w:pPr>
      <w:r>
        <w:rPr>
          <w:rFonts w:hint="eastAsia"/>
        </w:rPr>
        <w:t>突发事件应按照应急预案处置。</w:t>
      </w:r>
    </w:p>
    <w:p>
      <w:pPr>
        <w:pStyle w:val="168"/>
      </w:pPr>
      <w:r>
        <w:rPr>
          <w:rFonts w:hint="eastAsia"/>
        </w:rPr>
        <w:t>经营者发现充电设施存在故障、损坏的，应及时通知充电设施建设(运营)单位，必要时可启动应急措施。</w:t>
      </w:r>
    </w:p>
    <w:p>
      <w:pPr>
        <w:pStyle w:val="168"/>
      </w:pPr>
      <w:r>
        <w:rPr>
          <w:rFonts w:hint="eastAsia"/>
        </w:rPr>
        <w:t>地下停车场出入口处应配置防汛挡板、沙袋等防汛设施，定期查验，确保使用功能。</w:t>
      </w:r>
    </w:p>
    <w:p>
      <w:pPr>
        <w:pStyle w:val="108"/>
        <w:spacing w:before="156" w:after="156"/>
      </w:pPr>
      <w:bookmarkStart w:id="162" w:name="_Toc195728797"/>
      <w:bookmarkStart w:id="163" w:name="_Toc194062230"/>
      <w:r>
        <w:rPr>
          <w:rFonts w:hint="eastAsia"/>
        </w:rPr>
        <w:t>巡查要求</w:t>
      </w:r>
      <w:bookmarkEnd w:id="162"/>
      <w:bookmarkEnd w:id="163"/>
    </w:p>
    <w:p>
      <w:pPr>
        <w:pStyle w:val="168"/>
      </w:pPr>
      <w:r>
        <w:rPr>
          <w:rFonts w:hint="eastAsia"/>
        </w:rPr>
        <w:t>停车场应具有场内停车设施设备的巡检制度，明确责任人、巡检周期、巡检内容等。关键设施设备（包括充电设施、机械式立体停车设备和简易自走式立体停车设备）应由专人负责保养维护。</w:t>
      </w:r>
    </w:p>
    <w:p>
      <w:pPr>
        <w:pStyle w:val="168"/>
      </w:pPr>
      <w:r>
        <w:rPr>
          <w:rFonts w:hint="eastAsia"/>
        </w:rPr>
        <w:t>停车场内应加强安全巡（监）视工作。停车管理员发现安全隐患，应及时向车停场管理负责人报告，拍照取证，同时尽量联系并告知车主；如遇治安、刑事案件或灾害事故，应第一时间报警并向停车场管理负责人报告，启动应急预案，开展突发事件处置工作，及时疏散人员。</w:t>
      </w:r>
    </w:p>
    <w:p>
      <w:pPr>
        <w:pStyle w:val="168"/>
      </w:pPr>
      <w:r>
        <w:rPr>
          <w:rFonts w:hint="eastAsia"/>
        </w:rPr>
        <w:t>停车场应安排专人通过安全监控系统或现场巡视检查停车场，并做好检查记录。</w:t>
      </w:r>
    </w:p>
    <w:p>
      <w:pPr>
        <w:pStyle w:val="168"/>
      </w:pPr>
      <w:bookmarkStart w:id="164" w:name="_Hlk196495511"/>
      <w:r>
        <w:rPr>
          <w:rFonts w:hint="eastAsia"/>
        </w:rPr>
        <w:t>根据设防区域的重要程度和应用需求，在停车场内主要位置应按照DB11/T 384 的要求设置视频监控系统。图像存储时间应不少于30天。</w:t>
      </w:r>
    </w:p>
    <w:bookmarkEnd w:id="164"/>
    <w:p>
      <w:pPr>
        <w:pStyle w:val="168"/>
      </w:pPr>
      <w:r>
        <w:rPr>
          <w:rFonts w:hint="eastAsia"/>
        </w:rPr>
        <w:t>停车管理员应对停放超过 24 小时的车辆进行登记，并联系车主确认情况。</w:t>
      </w:r>
    </w:p>
    <w:p>
      <w:pPr>
        <w:pStyle w:val="168"/>
      </w:pPr>
      <w:r>
        <w:rPr>
          <w:rFonts w:hint="eastAsia"/>
        </w:rPr>
        <w:t>对具备电动汽车充电设施的停车场，应着重加强对充电设施区域的巡查和监控。</w:t>
      </w:r>
    </w:p>
    <w:p>
      <w:pPr>
        <w:pStyle w:val="168"/>
      </w:pPr>
      <w:r>
        <w:rPr>
          <w:rFonts w:hint="eastAsia"/>
        </w:rPr>
        <w:t>停车场应具有停车设施的交接班检查记录，准确记录时间、交接人、设施设备完好程度等。</w:t>
      </w:r>
    </w:p>
    <w:p>
      <w:pPr>
        <w:pStyle w:val="108"/>
        <w:spacing w:before="156" w:after="156"/>
      </w:pPr>
      <w:bookmarkStart w:id="165" w:name="_Toc194062231"/>
      <w:bookmarkStart w:id="166" w:name="_Toc195728798"/>
      <w:r>
        <w:rPr>
          <w:rFonts w:hint="eastAsia"/>
        </w:rPr>
        <w:t>消防安全要求</w:t>
      </w:r>
      <w:bookmarkEnd w:id="165"/>
      <w:bookmarkEnd w:id="166"/>
    </w:p>
    <w:p>
      <w:pPr>
        <w:pStyle w:val="168"/>
      </w:pPr>
      <w:r>
        <w:rPr>
          <w:rFonts w:hint="eastAsia"/>
        </w:rPr>
        <w:t>停车场应具有消防安全管理机制，明确消防安全责任人，加强消防知识的宣传和教育，定期进行消防安全演练，所有工作人员应掌握消防器材的使用方法。</w:t>
      </w:r>
    </w:p>
    <w:p>
      <w:pPr>
        <w:pStyle w:val="168"/>
      </w:pPr>
      <w:r>
        <w:rPr>
          <w:rFonts w:hint="eastAsia"/>
        </w:rPr>
        <w:t>停车场内消防设备和监控器材应由专人进行定期的检查、维护和保养，保证灭火和监控系统处于良好状态。</w:t>
      </w:r>
    </w:p>
    <w:p>
      <w:pPr>
        <w:pStyle w:val="168"/>
      </w:pPr>
      <w:r>
        <w:rPr>
          <w:rFonts w:hint="eastAsia"/>
        </w:rPr>
        <w:t>停车场内消防设备、器材不应擅自挪用，消防栓、水泵结合器等消防设施设备不应埋压和圈占。</w:t>
      </w:r>
    </w:p>
    <w:p>
      <w:pPr>
        <w:pStyle w:val="168"/>
      </w:pPr>
      <w:r>
        <w:rPr>
          <w:rFonts w:hint="eastAsia"/>
        </w:rPr>
        <w:t>停车场内发生火灾时，应及时报警和报告有关部门，并采取有效的处置措施，保证人员及时疏散。</w:t>
      </w:r>
    </w:p>
    <w:p>
      <w:pPr>
        <w:pStyle w:val="168"/>
      </w:pPr>
      <w:r>
        <w:rPr>
          <w:rFonts w:hint="eastAsia"/>
        </w:rPr>
        <w:t>停车场内应张挂防火警示标语，配置足够、有效的消防器材，不应有堵塞消防通道、存放易燃易爆危险品、使用烟火等行为。</w:t>
      </w:r>
    </w:p>
    <w:p>
      <w:pPr>
        <w:pStyle w:val="107"/>
        <w:spacing w:before="312" w:after="312"/>
      </w:pPr>
      <w:bookmarkStart w:id="167" w:name="_Toc196389923"/>
      <w:bookmarkStart w:id="168" w:name="_Toc195728799"/>
      <w:bookmarkStart w:id="169" w:name="_Toc194062232"/>
      <w:r>
        <w:rPr>
          <w:rFonts w:hint="eastAsia"/>
        </w:rPr>
        <w:t>环境要求</w:t>
      </w:r>
      <w:bookmarkEnd w:id="167"/>
      <w:bookmarkEnd w:id="168"/>
      <w:bookmarkEnd w:id="169"/>
    </w:p>
    <w:p>
      <w:pPr>
        <w:pStyle w:val="165"/>
      </w:pPr>
      <w:bookmarkStart w:id="170" w:name="_Hlk196495748"/>
      <w:r>
        <w:rPr>
          <w:rFonts w:hint="eastAsia"/>
        </w:rPr>
        <w:t>停车场内应保持卫生环境整洁，地面平整无破损，无遗洒、渗漏、散落、堆放杂物等情况，应保证通风系统运转正常，无异味。</w:t>
      </w:r>
    </w:p>
    <w:bookmarkEnd w:id="170"/>
    <w:p>
      <w:pPr>
        <w:pStyle w:val="165"/>
      </w:pPr>
      <w:bookmarkStart w:id="171" w:name="_Hlk196495778"/>
      <w:r>
        <w:rPr>
          <w:rFonts w:hint="eastAsia"/>
        </w:rPr>
        <w:t>停车场内服务岗亭（值班室）室内外应保持整洁，同一经营者的服务岗亭（值班室）颜色宜统一，并与停车场风貌相协调。服务岗亭（值班室）内外张贴内容应整齐、简洁。</w:t>
      </w:r>
    </w:p>
    <w:bookmarkEnd w:id="171"/>
    <w:p>
      <w:pPr>
        <w:pStyle w:val="165"/>
      </w:pPr>
      <w:bookmarkStart w:id="172" w:name="_Hlk196495815"/>
      <w:r>
        <w:rPr>
          <w:rFonts w:hint="eastAsia"/>
        </w:rPr>
        <w:t>停车场内墙面、柱体应涂刷警示色带。</w:t>
      </w:r>
    </w:p>
    <w:bookmarkEnd w:id="172"/>
    <w:p>
      <w:pPr>
        <w:pStyle w:val="165"/>
      </w:pPr>
      <w:r>
        <w:rPr>
          <w:rFonts w:hint="eastAsia"/>
        </w:rPr>
        <w:t>停车场及其周围环境噪声应符合GB 3096的要求。</w:t>
      </w:r>
    </w:p>
    <w:p>
      <w:pPr>
        <w:pStyle w:val="165"/>
      </w:pPr>
      <w:r>
        <w:rPr>
          <w:rFonts w:hint="eastAsia"/>
        </w:rPr>
        <w:t>生活污水和生产废水处理应符合GB 8978和DB11/307的规定。</w:t>
      </w:r>
    </w:p>
    <w:p>
      <w:pPr>
        <w:pStyle w:val="165"/>
      </w:pPr>
      <w:r>
        <w:rPr>
          <w:rFonts w:hint="eastAsia"/>
        </w:rPr>
        <w:t>停车场内照明系统应集中控制，停车场内照明宜采用节能系统，照明标准设计应符合JGJ 100的相关要求。</w:t>
      </w:r>
    </w:p>
    <w:p>
      <w:pPr>
        <w:pStyle w:val="165"/>
      </w:pPr>
      <w:bookmarkStart w:id="173" w:name="_Hlk196495859"/>
      <w:r>
        <w:rPr>
          <w:rFonts w:hint="eastAsia"/>
        </w:rPr>
        <w:t>停车场内宜设置垃圾箱，并及时清理。</w:t>
      </w:r>
    </w:p>
    <w:bookmarkEnd w:id="173"/>
    <w:p>
      <w:pPr>
        <w:pStyle w:val="165"/>
      </w:pPr>
      <w:bookmarkStart w:id="174" w:name="_Hlk196495909"/>
      <w:r>
        <w:rPr>
          <w:rFonts w:hint="eastAsia"/>
        </w:rPr>
        <w:t>停车场应及时清洁场地和标志、标牌等服务设施设备，做好设备设施的日常维护。</w:t>
      </w:r>
    </w:p>
    <w:bookmarkEnd w:id="174"/>
    <w:p>
      <w:pPr>
        <w:pStyle w:val="165"/>
      </w:pPr>
      <w:bookmarkStart w:id="175" w:name="_Hlk196495948"/>
      <w:r>
        <w:rPr>
          <w:rFonts w:hint="eastAsia"/>
        </w:rPr>
        <w:t>停车场应关注周边道路交通秩序和机动车/非机动车停放秩序，发现问题及时告知相关管理部门，并积极配合开展治理。</w:t>
      </w:r>
    </w:p>
    <w:bookmarkEnd w:id="175"/>
    <w:p>
      <w:pPr>
        <w:pStyle w:val="107"/>
        <w:spacing w:before="312" w:after="312"/>
      </w:pPr>
      <w:bookmarkStart w:id="176" w:name="_Toc194062233"/>
      <w:bookmarkStart w:id="177" w:name="_Toc195728800"/>
      <w:bookmarkStart w:id="178" w:name="_Toc196389924"/>
      <w:r>
        <w:rPr>
          <w:rFonts w:hint="eastAsia"/>
        </w:rPr>
        <w:t>智能化要求</w:t>
      </w:r>
      <w:bookmarkEnd w:id="176"/>
      <w:bookmarkEnd w:id="177"/>
      <w:bookmarkEnd w:id="178"/>
    </w:p>
    <w:p>
      <w:pPr>
        <w:pStyle w:val="165"/>
      </w:pPr>
      <w:bookmarkStart w:id="179" w:name="_Hlk196496019"/>
      <w:r>
        <w:rPr>
          <w:rFonts w:hint="eastAsia"/>
        </w:rPr>
        <w:t>经营者应开展信息管理系统建设，对停车场的基本信息和动态信息进行管理。信息管理系统应具有信息采集、号牌识别、收费管理、网络安全管理、统计查询、网络通讯、动静态信息交互等功能。基本信息数据采集准确率及动态信息数据采集准确率应符合DB11/T 2046.1的相关规定。</w:t>
      </w:r>
    </w:p>
    <w:bookmarkEnd w:id="179"/>
    <w:p>
      <w:pPr>
        <w:pStyle w:val="165"/>
      </w:pPr>
      <w:bookmarkStart w:id="180" w:name="OLE_LINK9"/>
      <w:r>
        <w:rPr>
          <w:rFonts w:hint="eastAsia"/>
        </w:rPr>
        <w:t>停车场内应当按照DB11/T 2046.1配建停车引导设施、进出车辆信息采集及号牌识别系统，并与所在区域停车场诱导系统实施对接，数据通信接口传输方式应支持http/https协议、socket协议中的一种或多种协议，数据的类型及格式应符合DB11/T 2046.4的规定。</w:t>
      </w:r>
    </w:p>
    <w:bookmarkEnd w:id="180"/>
    <w:p>
      <w:pPr>
        <w:pStyle w:val="165"/>
      </w:pPr>
      <w:bookmarkStart w:id="181" w:name="_Hlk196496098"/>
      <w:r>
        <w:rPr>
          <w:rFonts w:hint="eastAsia"/>
        </w:rPr>
        <w:t>停车场应具备支持DB11/T 2046.1中S1级管理服务功能，并根据用户服务需求、基础设施条件、区域出行特征等因素合理确定智慧停车服务等级，鼓励各类停车场提供 S2/S3 级的管理服务功能。</w:t>
      </w:r>
    </w:p>
    <w:bookmarkEnd w:id="181"/>
    <w:p>
      <w:pPr>
        <w:pStyle w:val="165"/>
      </w:pPr>
      <w:r>
        <w:rPr>
          <w:rFonts w:hint="eastAsia"/>
        </w:rPr>
        <w:t>经营者宜开展停车引导、不停车收费、停车预约、停车共享、反向寻车、停车充电、自动泊车等服务功能的建设，并支持利用移动终端和互联网等方式发布服务信息。</w:t>
      </w:r>
    </w:p>
    <w:p>
      <w:pPr>
        <w:pStyle w:val="165"/>
      </w:pPr>
      <w:bookmarkStart w:id="182" w:name="_Hlk196496144"/>
      <w:r>
        <w:rPr>
          <w:rFonts w:hint="eastAsia"/>
        </w:rPr>
        <w:t>停车场宜实现充电设施平台化管理，完善状态查询、充电导航、充电预约、费用结算等功能。</w:t>
      </w:r>
    </w:p>
    <w:bookmarkEnd w:id="182"/>
    <w:p>
      <w:pPr>
        <w:pStyle w:val="165"/>
      </w:pPr>
      <w:bookmarkStart w:id="183" w:name="_Hlk193968804"/>
      <w:r>
        <w:rPr>
          <w:rFonts w:hint="eastAsia"/>
        </w:rPr>
        <w:t>从事停车信息服务的经营者应与停车管理部门建立信息共享机制，将相关信息接入停车综合管理服务系统。</w:t>
      </w:r>
    </w:p>
    <w:bookmarkEnd w:id="183"/>
    <w:p>
      <w:pPr>
        <w:pStyle w:val="165"/>
      </w:pPr>
      <w:r>
        <w:rPr>
          <w:rFonts w:hint="eastAsia"/>
        </w:rPr>
        <w:t>坚持传统服务与智能创新相结合，在停车服务场景中，保留必要的老年人熟悉的传统服务方式。</w:t>
      </w:r>
    </w:p>
    <w:p>
      <w:pPr>
        <w:pStyle w:val="59"/>
        <w:ind w:firstLine="0" w:firstLineChars="0"/>
        <w:sectPr>
          <w:headerReference r:id="rId14" w:type="default"/>
          <w:footerReference r:id="rId16" w:type="default"/>
          <w:headerReference r:id="rId15" w:type="even"/>
          <w:footerReference r:id="rId17" w:type="even"/>
          <w:pgSz w:w="11906" w:h="16838"/>
          <w:pgMar w:top="1928" w:right="1134" w:bottom="1134" w:left="1134" w:header="1418" w:footer="1134" w:gutter="284"/>
          <w:pgNumType w:start="1"/>
          <w:cols w:space="425" w:num="1"/>
          <w:formProt w:val="0"/>
          <w:docGrid w:type="lines" w:linePitch="312" w:charSpace="0"/>
        </w:sectPr>
      </w:pPr>
    </w:p>
    <w:bookmarkEnd w:id="36"/>
    <w:p>
      <w:pPr>
        <w:pStyle w:val="201"/>
        <w:rPr>
          <w:vanish w:val="0"/>
        </w:rPr>
      </w:pPr>
      <w:bookmarkStart w:id="184" w:name="BookMark5"/>
    </w:p>
    <w:p>
      <w:pPr>
        <w:pStyle w:val="202"/>
        <w:rPr>
          <w:vanish w:val="0"/>
        </w:rPr>
      </w:pPr>
    </w:p>
    <w:p>
      <w:pPr>
        <w:pStyle w:val="79"/>
        <w:spacing w:after="156"/>
      </w:pPr>
      <w:r>
        <w:br w:type="textWrapping"/>
      </w:r>
      <w:bookmarkStart w:id="185" w:name="_Toc195728801"/>
      <w:bookmarkStart w:id="186" w:name="_Toc196389925"/>
      <w:r>
        <w:rPr>
          <w:rFonts w:hint="eastAsia"/>
        </w:rPr>
        <w:t>（资料性）</w:t>
      </w:r>
      <w:r>
        <w:br w:type="textWrapping"/>
      </w:r>
      <w:r>
        <w:rPr>
          <w:rFonts w:hint="eastAsia"/>
        </w:rPr>
        <w:t>停车场明码标价牌参考式样</w:t>
      </w:r>
      <w:bookmarkEnd w:id="185"/>
      <w:bookmarkEnd w:id="186"/>
    </w:p>
    <w:p>
      <w:pPr>
        <w:pStyle w:val="81"/>
        <w:spacing w:before="156" w:after="156"/>
      </w:pPr>
      <w:bookmarkStart w:id="187" w:name="_Toc194062235"/>
      <w:bookmarkStart w:id="188" w:name="_Toc195728802"/>
      <w:r>
        <w:rPr>
          <w:rFonts w:hint="eastAsia"/>
        </w:rPr>
        <w:t>停车场明码标价牌参考式样参见图A.1</w:t>
      </w:r>
      <w:bookmarkEnd w:id="187"/>
      <w:bookmarkEnd w:id="188"/>
      <w:r>
        <w:rPr>
          <w:rFonts w:hint="eastAsia"/>
        </w:rPr>
        <w:t>。</w:t>
      </w:r>
    </w:p>
    <w:p>
      <w:pPr>
        <w:pStyle w:val="59"/>
        <w:ind w:firstLine="420"/>
      </w:pPr>
      <w:r>
        <w:rPr>
          <w:rFonts w:hint="eastAsia"/>
        </w:rPr>
        <w:t>。</w:t>
      </w:r>
    </w:p>
    <w:p>
      <w:pPr>
        <w:pStyle w:val="59"/>
        <w:ind w:firstLine="420"/>
      </w:pPr>
    </w:p>
    <w:p>
      <w:pPr>
        <w:pStyle w:val="59"/>
        <w:ind w:firstLine="0" w:firstLineChars="0"/>
      </w:pPr>
    </w:p>
    <w:p>
      <w:pPr>
        <w:pStyle w:val="59"/>
        <w:ind w:firstLine="0" w:firstLineChars="0"/>
      </w:pPr>
      <w:r>
        <w:rPr>
          <w:position w:val="-192"/>
        </w:rPr>
        <w:drawing>
          <wp:anchor distT="0" distB="0" distL="114300" distR="114300" simplePos="0" relativeHeight="251662336" behindDoc="1" locked="0" layoutInCell="1" allowOverlap="1">
            <wp:simplePos x="0" y="0"/>
            <wp:positionH relativeFrom="column">
              <wp:posOffset>480695</wp:posOffset>
            </wp:positionH>
            <wp:positionV relativeFrom="paragraph">
              <wp:posOffset>17145</wp:posOffset>
            </wp:positionV>
            <wp:extent cx="2176145" cy="5059680"/>
            <wp:effectExtent l="0" t="0" r="0" b="7620"/>
            <wp:wrapTight wrapText="bothSides">
              <wp:wrapPolygon>
                <wp:start x="7942" y="0"/>
                <wp:lineTo x="6240" y="163"/>
                <wp:lineTo x="2458" y="1057"/>
                <wp:lineTo x="1324" y="1952"/>
                <wp:lineTo x="378" y="2521"/>
                <wp:lineTo x="0" y="3172"/>
                <wp:lineTo x="0" y="18380"/>
                <wp:lineTo x="756" y="19518"/>
                <wp:lineTo x="3971" y="20901"/>
                <wp:lineTo x="7563" y="21551"/>
                <wp:lineTo x="8131" y="21551"/>
                <wp:lineTo x="13236" y="21551"/>
                <wp:lineTo x="13803" y="21551"/>
                <wp:lineTo x="17396" y="20901"/>
                <wp:lineTo x="20421" y="19518"/>
                <wp:lineTo x="21367" y="18380"/>
                <wp:lineTo x="21367" y="3334"/>
                <wp:lineTo x="20989" y="2602"/>
                <wp:lineTo x="19476" y="1627"/>
                <wp:lineTo x="19098" y="1139"/>
                <wp:lineTo x="14938" y="163"/>
                <wp:lineTo x="13425" y="0"/>
                <wp:lineTo x="7942" y="0"/>
              </wp:wrapPolygon>
            </wp:wrapTight>
            <wp:docPr id="1036745183" name="IM 12"/>
            <wp:cNvGraphicFramePr/>
            <a:graphic xmlns:a="http://schemas.openxmlformats.org/drawingml/2006/main">
              <a:graphicData uri="http://schemas.openxmlformats.org/drawingml/2006/picture">
                <pic:pic xmlns:pic="http://schemas.openxmlformats.org/drawingml/2006/picture">
                  <pic:nvPicPr>
                    <pic:cNvPr id="1036745183" name="IM 12"/>
                    <pic:cNvPicPr/>
                  </pic:nvPicPr>
                  <pic:blipFill>
                    <a:blip r:embed="rId40">
                      <a:extLst>
                        <a:ext uri="{28A0092B-C50C-407E-A947-70E740481C1C}">
                          <a14:useLocalDpi xmlns:a14="http://schemas.microsoft.com/office/drawing/2010/main" val="false"/>
                        </a:ext>
                      </a:extLst>
                    </a:blip>
                    <a:stretch>
                      <a:fillRect/>
                    </a:stretch>
                  </pic:blipFill>
                  <pic:spPr>
                    <a:xfrm>
                      <a:off x="0" y="0"/>
                      <a:ext cx="2176145" cy="5059680"/>
                    </a:xfrm>
                    <a:prstGeom prst="rect">
                      <a:avLst/>
                    </a:prstGeom>
                  </pic:spPr>
                </pic:pic>
              </a:graphicData>
            </a:graphic>
          </wp:anchor>
        </w:drawing>
      </w:r>
      <w:r>
        <w:rPr>
          <w:position w:val="-192"/>
        </w:rPr>
        <w:drawing>
          <wp:anchor distT="0" distB="0" distL="114300" distR="114300" simplePos="0" relativeHeight="251661312" behindDoc="1" locked="0" layoutInCell="1" allowOverlap="1">
            <wp:simplePos x="0" y="0"/>
            <wp:positionH relativeFrom="column">
              <wp:posOffset>3318510</wp:posOffset>
            </wp:positionH>
            <wp:positionV relativeFrom="paragraph">
              <wp:posOffset>31115</wp:posOffset>
            </wp:positionV>
            <wp:extent cx="2176780" cy="5024755"/>
            <wp:effectExtent l="0" t="0" r="13970" b="4445"/>
            <wp:wrapTight wrapText="bothSides">
              <wp:wrapPolygon>
                <wp:start x="7939" y="0"/>
                <wp:lineTo x="6049" y="246"/>
                <wp:lineTo x="2268" y="1146"/>
                <wp:lineTo x="378" y="2620"/>
                <wp:lineTo x="0" y="3194"/>
                <wp:lineTo x="0" y="18507"/>
                <wp:lineTo x="1134" y="19654"/>
                <wp:lineTo x="4537" y="21046"/>
                <wp:lineTo x="7750" y="21537"/>
                <wp:lineTo x="8128" y="21537"/>
                <wp:lineTo x="13232" y="21537"/>
                <wp:lineTo x="13610" y="21537"/>
                <wp:lineTo x="16824" y="21046"/>
                <wp:lineTo x="20037" y="19654"/>
                <wp:lineTo x="21361" y="18425"/>
                <wp:lineTo x="21361" y="3358"/>
                <wp:lineTo x="21172" y="2620"/>
                <wp:lineTo x="19659" y="1720"/>
                <wp:lineTo x="19092" y="1146"/>
                <wp:lineTo x="15312" y="246"/>
                <wp:lineTo x="13421" y="0"/>
                <wp:lineTo x="7939" y="0"/>
              </wp:wrapPolygon>
            </wp:wrapTight>
            <wp:docPr id="715858020" name="IM 14"/>
            <wp:cNvGraphicFramePr/>
            <a:graphic xmlns:a="http://schemas.openxmlformats.org/drawingml/2006/main">
              <a:graphicData uri="http://schemas.openxmlformats.org/drawingml/2006/picture">
                <pic:pic xmlns:pic="http://schemas.openxmlformats.org/drawingml/2006/picture">
                  <pic:nvPicPr>
                    <pic:cNvPr id="715858020" name="IM 14"/>
                    <pic:cNvPicPr/>
                  </pic:nvPicPr>
                  <pic:blipFill>
                    <a:blip r:embed="rId41">
                      <a:extLst>
                        <a:ext uri="{28A0092B-C50C-407E-A947-70E740481C1C}">
                          <a14:useLocalDpi xmlns:a14="http://schemas.microsoft.com/office/drawing/2010/main" val="false"/>
                        </a:ext>
                      </a:extLst>
                    </a:blip>
                    <a:stretch>
                      <a:fillRect/>
                    </a:stretch>
                  </pic:blipFill>
                  <pic:spPr>
                    <a:xfrm>
                      <a:off x="0" y="0"/>
                      <a:ext cx="2176780" cy="5024755"/>
                    </a:xfrm>
                    <a:prstGeom prst="rect">
                      <a:avLst/>
                    </a:prstGeom>
                  </pic:spPr>
                </pic:pic>
              </a:graphicData>
            </a:graphic>
          </wp:anchor>
        </w:drawing>
      </w: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59"/>
        <w:ind w:firstLine="0" w:firstLineChars="0"/>
      </w:pPr>
    </w:p>
    <w:p>
      <w:pPr>
        <w:pStyle w:val="104"/>
        <w:numPr>
          <w:ilvl w:val="0"/>
          <w:numId w:val="0"/>
        </w:numPr>
        <w:jc w:val="center"/>
      </w:pPr>
      <w:r>
        <w:rPr>
          <w:rFonts w:hint="eastAsia"/>
        </w:rPr>
        <w:t>图A.1 停车场明码标价牌参考式样图</w:t>
      </w:r>
    </w:p>
    <w:p>
      <w:pPr>
        <w:widowControl/>
        <w:adjustRightInd/>
        <w:spacing w:line="240" w:lineRule="auto"/>
        <w:jc w:val="left"/>
        <w:rPr>
          <w:rFonts w:ascii="宋体" w:hAnsi="Times New Roman"/>
          <w:kern w:val="0"/>
          <w:szCs w:val="20"/>
        </w:rPr>
      </w:pPr>
      <w:r>
        <w:br w:type="page"/>
      </w:r>
    </w:p>
    <w:p>
      <w:pPr>
        <w:pStyle w:val="59"/>
        <w:ind w:firstLine="420"/>
        <w:sectPr>
          <w:headerReference r:id="rId18" w:type="default"/>
          <w:footerReference r:id="rId20" w:type="default"/>
          <w:headerReference r:id="rId19" w:type="even"/>
          <w:footerReference r:id="rId21" w:type="even"/>
          <w:pgSz w:w="11906" w:h="16838"/>
          <w:pgMar w:top="1928" w:right="1134" w:bottom="1134" w:left="1134" w:header="1418" w:footer="1134" w:gutter="284"/>
          <w:cols w:space="425" w:num="1"/>
          <w:formProt w:val="0"/>
          <w:docGrid w:type="lines" w:linePitch="312" w:charSpace="0"/>
        </w:sectPr>
      </w:pPr>
    </w:p>
    <w:p>
      <w:pPr>
        <w:pStyle w:val="201"/>
        <w:rPr>
          <w:vanish w:val="0"/>
        </w:rPr>
      </w:pPr>
    </w:p>
    <w:p>
      <w:pPr>
        <w:pStyle w:val="202"/>
        <w:rPr>
          <w:vanish w:val="0"/>
        </w:rPr>
      </w:pPr>
    </w:p>
    <w:p>
      <w:pPr>
        <w:pStyle w:val="79"/>
        <w:spacing w:after="156"/>
      </w:pPr>
      <w:r>
        <w:br w:type="textWrapping"/>
      </w:r>
      <w:bookmarkStart w:id="189" w:name="_Toc196389926"/>
      <w:bookmarkStart w:id="190" w:name="_Toc195728803"/>
      <w:r>
        <w:rPr>
          <w:rFonts w:hint="eastAsia"/>
        </w:rPr>
        <w:t>（资料性）</w:t>
      </w:r>
      <w:r>
        <w:br w:type="textWrapping"/>
      </w:r>
      <w:r>
        <w:rPr>
          <w:rFonts w:hint="eastAsia"/>
        </w:rPr>
        <w:t>P+R停车场明码标价牌、收费标准公示牌、引导标识和换乘引导标识参考式样</w:t>
      </w:r>
      <w:bookmarkEnd w:id="189"/>
      <w:bookmarkEnd w:id="190"/>
    </w:p>
    <w:p>
      <w:pPr>
        <w:pStyle w:val="81"/>
        <w:spacing w:before="156" w:after="156"/>
      </w:pPr>
      <w:bookmarkStart w:id="191" w:name="_Toc195728804"/>
      <w:bookmarkStart w:id="192" w:name="_Toc194062237"/>
      <w:r>
        <w:rPr>
          <w:rFonts w:hint="eastAsia"/>
        </w:rPr>
        <w:t>P+R停车场明码标价牌参考式样参见图B.1。</w:t>
      </w:r>
      <w:bookmarkEnd w:id="191"/>
      <w:bookmarkEnd w:id="192"/>
    </w:p>
    <w:p>
      <w:pPr>
        <w:pStyle w:val="104"/>
        <w:numPr>
          <w:ilvl w:val="0"/>
          <w:numId w:val="0"/>
        </w:numPr>
        <w:ind w:left="539" w:firstLine="180" w:firstLineChars="100"/>
      </w:pPr>
      <w:r>
        <w:drawing>
          <wp:inline distT="0" distB="0" distL="0" distR="0">
            <wp:extent cx="4724400" cy="5795645"/>
            <wp:effectExtent l="0" t="0" r="0" b="14605"/>
            <wp:docPr id="75681779" name="图片 1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681779" name="图片 184"/>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4728445" cy="5801078"/>
                    </a:xfrm>
                    <a:prstGeom prst="rect">
                      <a:avLst/>
                    </a:prstGeom>
                    <a:noFill/>
                    <a:ln>
                      <a:noFill/>
                    </a:ln>
                  </pic:spPr>
                </pic:pic>
              </a:graphicData>
            </a:graphic>
          </wp:inline>
        </w:drawing>
      </w:r>
    </w:p>
    <w:p>
      <w:pPr>
        <w:pStyle w:val="104"/>
        <w:numPr>
          <w:ilvl w:val="0"/>
          <w:numId w:val="0"/>
        </w:numPr>
      </w:pPr>
    </w:p>
    <w:p>
      <w:pPr>
        <w:pStyle w:val="86"/>
        <w:spacing w:before="156" w:after="156"/>
      </w:pPr>
      <w:r>
        <w:rPr>
          <w:rFonts w:hint="eastAsia"/>
        </w:rPr>
        <w:t xml:space="preserve"> P+R停车场明码标价牌参考式样图</w:t>
      </w:r>
    </w:p>
    <w:p>
      <w:pPr>
        <w:widowControl/>
        <w:adjustRightInd/>
        <w:spacing w:line="240" w:lineRule="auto"/>
        <w:jc w:val="left"/>
        <w:rPr>
          <w:rFonts w:ascii="宋体" w:hAnsi="Times New Roman"/>
          <w:kern w:val="0"/>
          <w:szCs w:val="20"/>
        </w:rPr>
      </w:pPr>
      <w:bookmarkStart w:id="193" w:name="_Toc195728805"/>
      <w:bookmarkStart w:id="194" w:name="_Toc194062238"/>
      <w:r>
        <w:rPr>
          <w:rFonts w:ascii="宋体"/>
          <w:kern w:val="0"/>
        </w:rPr>
        <w:br w:type="page"/>
      </w:r>
    </w:p>
    <w:p>
      <w:pPr>
        <w:pStyle w:val="81"/>
        <w:spacing w:before="156" w:after="156"/>
      </w:pPr>
      <w:r>
        <w:rPr>
          <w:rFonts w:hint="eastAsia"/>
        </w:rPr>
        <w:t>P+R停车场收费标准公示牌参考式样</w:t>
      </w:r>
      <w:bookmarkEnd w:id="193"/>
      <w:bookmarkEnd w:id="194"/>
      <w:r>
        <w:rPr>
          <w:rFonts w:hint="eastAsia"/>
        </w:rPr>
        <w:t>参见图B.2。</w:t>
      </w:r>
    </w:p>
    <w:p>
      <w:pPr>
        <w:pStyle w:val="59"/>
        <w:ind w:firstLine="420"/>
      </w:pPr>
    </w:p>
    <w:p>
      <w:pPr>
        <w:pStyle w:val="59"/>
        <w:ind w:firstLine="420"/>
      </w:pPr>
    </w:p>
    <w:p>
      <w:pPr>
        <w:pStyle w:val="59"/>
        <w:ind w:firstLine="840" w:firstLineChars="400"/>
      </w:pPr>
      <w:r>
        <w:drawing>
          <wp:inline distT="0" distB="0" distL="0" distR="0">
            <wp:extent cx="5029835" cy="6407150"/>
            <wp:effectExtent l="0" t="0" r="0" b="12700"/>
            <wp:docPr id="160965708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9657086" name="图片 3"/>
                    <pic:cNvPicPr>
                      <a:picLocks noChangeAspect="true" noChangeArrowheads="true"/>
                    </pic:cNvPicPr>
                  </pic:nvPicPr>
                  <pic:blipFill>
                    <a:blip r:embed="rId43">
                      <a:extLst>
                        <a:ext uri="{28A0092B-C50C-407E-A947-70E740481C1C}">
                          <a14:useLocalDpi xmlns:a14="http://schemas.microsoft.com/office/drawing/2010/main" val="false"/>
                        </a:ext>
                      </a:extLst>
                    </a:blip>
                    <a:srcRect/>
                    <a:stretch>
                      <a:fillRect/>
                    </a:stretch>
                  </pic:blipFill>
                  <pic:spPr>
                    <a:xfrm>
                      <a:off x="0" y="0"/>
                      <a:ext cx="5029835" cy="6407150"/>
                    </a:xfrm>
                    <a:prstGeom prst="rect">
                      <a:avLst/>
                    </a:prstGeom>
                    <a:noFill/>
                  </pic:spPr>
                </pic:pic>
              </a:graphicData>
            </a:graphic>
          </wp:inline>
        </w:drawing>
      </w:r>
    </w:p>
    <w:p>
      <w:pPr>
        <w:pStyle w:val="59"/>
        <w:ind w:firstLine="420"/>
      </w:pPr>
    </w:p>
    <w:p>
      <w:pPr>
        <w:pStyle w:val="86"/>
        <w:spacing w:before="156" w:after="156"/>
      </w:pPr>
      <w:r>
        <w:rPr>
          <w:rFonts w:hint="eastAsia"/>
        </w:rPr>
        <w:t xml:space="preserve"> P+R停车场收费标准公示牌参考式样图</w:t>
      </w:r>
    </w:p>
    <w:p>
      <w:pPr>
        <w:widowControl/>
        <w:adjustRightInd/>
        <w:spacing w:line="240" w:lineRule="auto"/>
        <w:jc w:val="left"/>
        <w:rPr>
          <w:rFonts w:ascii="宋体" w:hAnsi="Times New Roman"/>
          <w:kern w:val="0"/>
          <w:szCs w:val="20"/>
        </w:rPr>
      </w:pPr>
      <w:bookmarkStart w:id="195" w:name="_Toc194062239"/>
      <w:bookmarkStart w:id="196" w:name="_Toc195728806"/>
      <w:r>
        <w:rPr>
          <w:rFonts w:ascii="宋体"/>
          <w:kern w:val="0"/>
        </w:rPr>
        <w:br w:type="page"/>
      </w:r>
    </w:p>
    <w:p>
      <w:pPr>
        <w:pStyle w:val="81"/>
        <w:spacing w:before="156" w:after="156"/>
      </w:pPr>
      <w:r>
        <w:rPr>
          <w:rFonts w:hint="eastAsia"/>
        </w:rPr>
        <w:t>P+R停车场引导标识参考式样参见图B.3。</w:t>
      </w:r>
      <w:bookmarkEnd w:id="195"/>
      <w:bookmarkEnd w:id="196"/>
    </w:p>
    <w:p>
      <w:pPr>
        <w:pStyle w:val="59"/>
        <w:ind w:firstLine="420"/>
      </w:pPr>
    </w:p>
    <w:p>
      <w:pPr>
        <w:pStyle w:val="59"/>
        <w:ind w:firstLine="420"/>
      </w:pPr>
    </w:p>
    <w:p>
      <w:pPr>
        <w:pStyle w:val="59"/>
        <w:ind w:firstLine="420"/>
      </w:pPr>
      <w:r>
        <w:drawing>
          <wp:inline distT="0" distB="0" distL="0" distR="0">
            <wp:extent cx="5618480" cy="3605530"/>
            <wp:effectExtent l="0" t="0" r="1270" b="13970"/>
            <wp:docPr id="122946267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9462670" name="图片 4"/>
                    <pic:cNvPicPr>
                      <a:picLocks noChangeAspect="true" noChangeArrowheads="true"/>
                    </pic:cNvPicPr>
                  </pic:nvPicPr>
                  <pic:blipFill>
                    <a:blip r:embed="rId44">
                      <a:extLst>
                        <a:ext uri="{28A0092B-C50C-407E-A947-70E740481C1C}">
                          <a14:useLocalDpi xmlns:a14="http://schemas.microsoft.com/office/drawing/2010/main" val="false"/>
                        </a:ext>
                      </a:extLst>
                    </a:blip>
                    <a:srcRect/>
                    <a:stretch>
                      <a:fillRect/>
                    </a:stretch>
                  </pic:blipFill>
                  <pic:spPr>
                    <a:xfrm>
                      <a:off x="0" y="0"/>
                      <a:ext cx="5634922" cy="3616533"/>
                    </a:xfrm>
                    <a:prstGeom prst="rect">
                      <a:avLst/>
                    </a:prstGeom>
                    <a:noFill/>
                  </pic:spPr>
                </pic:pic>
              </a:graphicData>
            </a:graphic>
          </wp:inline>
        </w:drawing>
      </w:r>
    </w:p>
    <w:p>
      <w:pPr>
        <w:pStyle w:val="59"/>
        <w:ind w:firstLine="420"/>
      </w:pPr>
    </w:p>
    <w:p>
      <w:pPr>
        <w:pStyle w:val="86"/>
        <w:spacing w:before="156" w:after="156"/>
      </w:pPr>
      <w:r>
        <w:rPr>
          <w:rFonts w:hint="eastAsia"/>
        </w:rPr>
        <w:t xml:space="preserve"> P+R停车场引导标识参考式样图</w:t>
      </w:r>
    </w:p>
    <w:p>
      <w:pPr>
        <w:widowControl/>
        <w:adjustRightInd/>
        <w:spacing w:line="240" w:lineRule="auto"/>
        <w:jc w:val="left"/>
        <w:rPr>
          <w:rFonts w:ascii="宋体" w:hAnsi="Times New Roman"/>
          <w:kern w:val="0"/>
          <w:szCs w:val="20"/>
        </w:rPr>
      </w:pPr>
      <w:bookmarkStart w:id="197" w:name="_Toc194062240"/>
      <w:bookmarkStart w:id="198" w:name="_Toc195728807"/>
      <w:r>
        <w:rPr>
          <w:rFonts w:ascii="宋体"/>
          <w:kern w:val="0"/>
        </w:rPr>
        <w:br w:type="page"/>
      </w:r>
    </w:p>
    <w:p>
      <w:pPr>
        <w:pStyle w:val="81"/>
        <w:spacing w:before="156" w:after="156"/>
      </w:pPr>
      <w:r>
        <w:rPr>
          <w:rFonts w:hint="eastAsia"/>
        </w:rPr>
        <w:t>P+R停车场换乘引导标识参考式样图</w:t>
      </w:r>
      <w:bookmarkEnd w:id="197"/>
      <w:bookmarkEnd w:id="198"/>
      <w:r>
        <w:rPr>
          <w:rFonts w:hint="eastAsia"/>
        </w:rPr>
        <w:t>B.4。</w:t>
      </w:r>
    </w:p>
    <w:p>
      <w:pPr>
        <w:pStyle w:val="59"/>
        <w:ind w:firstLine="420"/>
      </w:pPr>
    </w:p>
    <w:p>
      <w:pPr>
        <w:pStyle w:val="59"/>
        <w:ind w:firstLine="420"/>
      </w:pPr>
    </w:p>
    <w:p>
      <w:pPr>
        <w:pStyle w:val="59"/>
        <w:ind w:firstLine="420"/>
      </w:pPr>
      <w:r>
        <w:drawing>
          <wp:inline distT="0" distB="0" distL="0" distR="0">
            <wp:extent cx="5516880" cy="5036185"/>
            <wp:effectExtent l="0" t="0" r="7620" b="12065"/>
            <wp:docPr id="185975545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9755453" name="图片 5"/>
                    <pic:cNvPicPr>
                      <a:picLocks noChangeAspect="true" noChangeArrowheads="true"/>
                    </pic:cNvPicPr>
                  </pic:nvPicPr>
                  <pic:blipFill>
                    <a:blip r:embed="rId45">
                      <a:extLst>
                        <a:ext uri="{28A0092B-C50C-407E-A947-70E740481C1C}">
                          <a14:useLocalDpi xmlns:a14="http://schemas.microsoft.com/office/drawing/2010/main" val="false"/>
                        </a:ext>
                      </a:extLst>
                    </a:blip>
                    <a:srcRect/>
                    <a:stretch>
                      <a:fillRect/>
                    </a:stretch>
                  </pic:blipFill>
                  <pic:spPr>
                    <a:xfrm>
                      <a:off x="0" y="0"/>
                      <a:ext cx="5523524" cy="5042112"/>
                    </a:xfrm>
                    <a:prstGeom prst="rect">
                      <a:avLst/>
                    </a:prstGeom>
                    <a:noFill/>
                  </pic:spPr>
                </pic:pic>
              </a:graphicData>
            </a:graphic>
          </wp:inline>
        </w:drawing>
      </w:r>
    </w:p>
    <w:p>
      <w:pPr>
        <w:pStyle w:val="86"/>
        <w:numPr>
          <w:ilvl w:val="0"/>
          <w:numId w:val="0"/>
        </w:numPr>
        <w:spacing w:before="156" w:after="156"/>
        <w:jc w:val="both"/>
      </w:pPr>
    </w:p>
    <w:p>
      <w:pPr>
        <w:pStyle w:val="86"/>
        <w:spacing w:before="156" w:after="156"/>
      </w:pPr>
      <w:r>
        <w:rPr>
          <w:rFonts w:hint="eastAsia"/>
        </w:rPr>
        <w:t xml:space="preserve"> P+R停车场换乘引导标识参考式样图</w:t>
      </w:r>
    </w:p>
    <w:p>
      <w:pPr>
        <w:widowControl/>
        <w:adjustRightInd/>
        <w:spacing w:line="240" w:lineRule="auto"/>
        <w:jc w:val="left"/>
        <w:rPr>
          <w:rFonts w:ascii="宋体" w:hAnsi="Times New Roman"/>
          <w:kern w:val="0"/>
          <w:szCs w:val="20"/>
        </w:rPr>
      </w:pPr>
      <w:r>
        <w:br w:type="page"/>
      </w:r>
    </w:p>
    <w:p>
      <w:pPr>
        <w:pStyle w:val="59"/>
        <w:ind w:firstLine="420"/>
        <w:sectPr>
          <w:headerReference r:id="rId22" w:type="default"/>
          <w:footerReference r:id="rId24" w:type="default"/>
          <w:headerReference r:id="rId23" w:type="even"/>
          <w:footerReference r:id="rId25" w:type="even"/>
          <w:pgSz w:w="11906" w:h="16838"/>
          <w:pgMar w:top="1928" w:right="1134" w:bottom="1134" w:left="1134" w:header="1418" w:footer="1134" w:gutter="284"/>
          <w:cols w:space="425" w:num="1"/>
          <w:formProt w:val="0"/>
          <w:docGrid w:type="lines" w:linePitch="312" w:charSpace="0"/>
        </w:sectPr>
      </w:pPr>
    </w:p>
    <w:p>
      <w:pPr>
        <w:pStyle w:val="201"/>
        <w:rPr>
          <w:vanish w:val="0"/>
        </w:rPr>
      </w:pPr>
    </w:p>
    <w:p>
      <w:pPr>
        <w:pStyle w:val="202"/>
        <w:rPr>
          <w:vanish w:val="0"/>
        </w:rPr>
      </w:pPr>
    </w:p>
    <w:p>
      <w:pPr>
        <w:pStyle w:val="79"/>
        <w:spacing w:before="0" w:after="156"/>
      </w:pPr>
      <w:r>
        <w:br w:type="textWrapping"/>
      </w:r>
      <w:bookmarkStart w:id="199" w:name="_Toc195728808"/>
      <w:bookmarkStart w:id="200" w:name="_Toc196389927"/>
      <w:r>
        <w:rPr>
          <w:rFonts w:hint="eastAsia"/>
        </w:rPr>
        <w:t>（资料性）</w:t>
      </w:r>
      <w:r>
        <w:br w:type="textWrapping"/>
      </w:r>
      <w:r>
        <w:rPr>
          <w:rFonts w:hint="eastAsia"/>
        </w:rPr>
        <w:t>常用标志图形</w:t>
      </w:r>
      <w:bookmarkEnd w:id="199"/>
      <w:bookmarkEnd w:id="200"/>
    </w:p>
    <w:p>
      <w:pPr>
        <w:pStyle w:val="81"/>
        <w:spacing w:before="156" w:after="156"/>
      </w:pPr>
      <w:bookmarkStart w:id="201" w:name="_Toc194062242"/>
      <w:bookmarkStart w:id="202" w:name="_Toc195728809"/>
      <w:r>
        <w:rPr>
          <w:rFonts w:hint="eastAsia"/>
        </w:rPr>
        <w:t>通用标志图形</w:t>
      </w:r>
      <w:bookmarkEnd w:id="201"/>
      <w:bookmarkEnd w:id="202"/>
      <w:r>
        <w:rPr>
          <w:rFonts w:hint="eastAsia"/>
        </w:rPr>
        <w:t>参见表C.1。</w:t>
      </w:r>
    </w:p>
    <w:p>
      <w:pPr>
        <w:pStyle w:val="80"/>
        <w:spacing w:before="156" w:after="156"/>
      </w:pPr>
      <w:r>
        <w:rPr>
          <w:rFonts w:hint="eastAsia"/>
        </w:rPr>
        <w:t>通用标志图形</w:t>
      </w:r>
    </w:p>
    <w:p>
      <w:pPr>
        <w:pStyle w:val="202"/>
        <w:spacing w:before="156" w:after="156"/>
      </w:pPr>
      <w:r>
        <w:rPr>
          <w:rFonts w:hint="eastAsia"/>
        </w:rPr>
        <w:t>通用标志图形参见表D.1。</w:t>
      </w:r>
    </w:p>
    <w:tbl>
      <w:tblPr>
        <w:tblStyle w:val="234"/>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2790"/>
        <w:gridCol w:w="1549"/>
        <w:gridCol w:w="43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5" w:type="dxa"/>
            <w:vAlign w:val="center"/>
          </w:tcPr>
          <w:p>
            <w:pPr>
              <w:spacing w:line="240" w:lineRule="auto"/>
              <w:jc w:val="center"/>
              <w:rPr>
                <w:rFonts w:ascii="宋体" w:hAnsi="宋体" w:cs="宋体" w:eastAsiaTheme="minorEastAsia"/>
                <w:sz w:val="18"/>
                <w:szCs w:val="18"/>
              </w:rPr>
            </w:pPr>
            <w:r>
              <w:rPr>
                <w:rFonts w:ascii="宋体" w:hAnsi="宋体" w:cs="宋体" w:eastAsiaTheme="minorEastAsia"/>
                <w:spacing w:val="-4"/>
                <w:sz w:val="18"/>
                <w:szCs w:val="18"/>
              </w:rPr>
              <w:t>序号</w:t>
            </w:r>
          </w:p>
        </w:tc>
        <w:tc>
          <w:tcPr>
            <w:tcW w:w="2790" w:type="dxa"/>
            <w:vAlign w:val="center"/>
          </w:tcPr>
          <w:p>
            <w:pPr>
              <w:spacing w:line="240" w:lineRule="auto"/>
              <w:jc w:val="center"/>
              <w:rPr>
                <w:rFonts w:ascii="宋体" w:hAnsi="宋体" w:cs="宋体" w:eastAsiaTheme="minorEastAsia"/>
                <w:sz w:val="18"/>
                <w:szCs w:val="18"/>
              </w:rPr>
            </w:pPr>
            <w:r>
              <w:rPr>
                <w:rFonts w:ascii="宋体" w:hAnsi="宋体" w:cs="宋体" w:eastAsiaTheme="minorEastAsia"/>
                <w:spacing w:val="-7"/>
                <w:sz w:val="18"/>
                <w:szCs w:val="18"/>
              </w:rPr>
              <w:t>图形符号</w:t>
            </w:r>
          </w:p>
        </w:tc>
        <w:tc>
          <w:tcPr>
            <w:tcW w:w="1549" w:type="dxa"/>
            <w:vAlign w:val="center"/>
          </w:tcPr>
          <w:p>
            <w:pPr>
              <w:spacing w:line="240" w:lineRule="auto"/>
              <w:jc w:val="center"/>
              <w:rPr>
                <w:rFonts w:ascii="宋体" w:hAnsi="宋体" w:cs="宋体" w:eastAsiaTheme="minorEastAsia"/>
                <w:sz w:val="18"/>
                <w:szCs w:val="18"/>
              </w:rPr>
            </w:pPr>
            <w:r>
              <w:rPr>
                <w:rFonts w:ascii="宋体" w:hAnsi="宋体" w:cs="宋体" w:eastAsiaTheme="minorEastAsia"/>
                <w:spacing w:val="-5"/>
                <w:sz w:val="18"/>
                <w:szCs w:val="18"/>
              </w:rPr>
              <w:t>名称</w:t>
            </w:r>
          </w:p>
        </w:tc>
        <w:tc>
          <w:tcPr>
            <w:tcW w:w="4318" w:type="dxa"/>
            <w:vAlign w:val="center"/>
          </w:tcPr>
          <w:p>
            <w:pPr>
              <w:spacing w:line="240" w:lineRule="auto"/>
              <w:jc w:val="center"/>
              <w:rPr>
                <w:rFonts w:ascii="宋体" w:hAnsi="宋体" w:cs="宋体" w:eastAsiaTheme="minorEastAsia"/>
                <w:sz w:val="18"/>
                <w:szCs w:val="18"/>
              </w:rPr>
            </w:pPr>
            <w:r>
              <w:rPr>
                <w:rFonts w:ascii="宋体" w:hAnsi="宋体" w:cs="宋体" w:eastAsiaTheme="minorEastAsia"/>
                <w:spacing w:val="-5"/>
                <w:sz w:val="18"/>
                <w:szCs w:val="18"/>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815" w:type="dxa"/>
            <w:vAlign w:val="center"/>
          </w:tcPr>
          <w:p>
            <w:pPr>
              <w:pStyle w:val="235"/>
              <w:spacing w:line="252" w:lineRule="auto"/>
              <w:jc w:val="center"/>
              <w:rPr>
                <w:rFonts w:ascii="宋体" w:hAnsi="宋体" w:cs="宋体"/>
                <w:sz w:val="18"/>
                <w:szCs w:val="18"/>
              </w:rPr>
            </w:pPr>
            <w:r>
              <w:rPr>
                <w:lang w:eastAsia="zh-CN"/>
              </w:rPr>
              <w:t>1</w:t>
            </w:r>
          </w:p>
        </w:tc>
        <w:tc>
          <w:tcPr>
            <w:tcW w:w="2790" w:type="dxa"/>
            <w:vAlign w:val="center"/>
          </w:tcPr>
          <w:p>
            <w:pPr>
              <w:spacing w:before="206" w:line="1164" w:lineRule="exact"/>
              <w:jc w:val="center"/>
              <w:rPr>
                <w:rFonts w:asciiTheme="minorHAnsi" w:hAnsiTheme="minorHAnsi" w:eastAsiaTheme="minorEastAsia" w:cstheme="minorBidi"/>
              </w:rPr>
            </w:pPr>
            <w:r>
              <w:rPr>
                <w:rFonts w:asciiTheme="minorHAnsi" w:hAnsiTheme="minorHAnsi" w:eastAsiaTheme="minorEastAsia" w:cstheme="minorBidi"/>
                <w:position w:val="-23"/>
              </w:rPr>
              <w:drawing>
                <wp:inline distT="0" distB="0" distL="0" distR="0">
                  <wp:extent cx="735965" cy="738505"/>
                  <wp:effectExtent l="0" t="0" r="6985" b="444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6"/>
                          <a:stretch>
                            <a:fillRect/>
                          </a:stretch>
                        </pic:blipFill>
                        <pic:spPr>
                          <a:xfrm>
                            <a:off x="0" y="0"/>
                            <a:ext cx="736092" cy="739139"/>
                          </a:xfrm>
                          <a:prstGeom prst="rect">
                            <a:avLst/>
                          </a:prstGeom>
                        </pic:spPr>
                      </pic:pic>
                    </a:graphicData>
                  </a:graphic>
                </wp:inline>
              </w:drawing>
            </w:r>
          </w:p>
        </w:tc>
        <w:tc>
          <w:tcPr>
            <w:tcW w:w="1549" w:type="dxa"/>
            <w:vAlign w:val="center"/>
          </w:tcPr>
          <w:p>
            <w:pPr>
              <w:spacing w:before="58" w:line="240" w:lineRule="auto"/>
              <w:jc w:val="center"/>
              <w:rPr>
                <w:rFonts w:ascii="宋体" w:hAnsi="宋体" w:cs="宋体" w:eastAsiaTheme="minorEastAsia"/>
                <w:sz w:val="18"/>
                <w:szCs w:val="18"/>
              </w:rPr>
            </w:pPr>
            <w:r>
              <w:rPr>
                <w:rFonts w:ascii="宋体" w:hAnsi="宋体" w:cs="宋体" w:eastAsiaTheme="minorEastAsia"/>
                <w:spacing w:val="-2"/>
                <w:sz w:val="18"/>
                <w:szCs w:val="18"/>
              </w:rPr>
              <w:t>停车场标志</w:t>
            </w:r>
          </w:p>
        </w:tc>
        <w:tc>
          <w:tcPr>
            <w:tcW w:w="4318" w:type="dxa"/>
            <w:vAlign w:val="center"/>
          </w:tcPr>
          <w:p>
            <w:pPr>
              <w:spacing w:before="59" w:line="240" w:lineRule="auto"/>
              <w:jc w:val="center"/>
              <w:rPr>
                <w:rFonts w:ascii="宋体" w:hAnsi="宋体" w:cs="宋体" w:eastAsiaTheme="minorEastAsia"/>
                <w:sz w:val="18"/>
                <w:szCs w:val="18"/>
              </w:rPr>
            </w:pPr>
            <w:r>
              <w:rPr>
                <w:rFonts w:ascii="宋体" w:hAnsi="宋体" w:cs="宋体" w:eastAsiaTheme="minorEastAsia"/>
                <w:spacing w:val="-1"/>
                <w:sz w:val="18"/>
                <w:szCs w:val="18"/>
              </w:rPr>
              <w:t>表示停放机动车的场所或位置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815" w:type="dxa"/>
            <w:vAlign w:val="center"/>
          </w:tcPr>
          <w:p>
            <w:pPr>
              <w:spacing w:before="58" w:line="181" w:lineRule="auto"/>
              <w:jc w:val="center"/>
              <w:rPr>
                <w:rFonts w:ascii="宋体" w:hAnsi="宋体" w:cs="宋体" w:eastAsiaTheme="minorEastAsia"/>
                <w:sz w:val="18"/>
                <w:szCs w:val="18"/>
              </w:rPr>
            </w:pPr>
            <w:r>
              <w:rPr>
                <w:rFonts w:ascii="宋体" w:hAnsi="宋体" w:cs="宋体" w:eastAsiaTheme="minorEastAsia"/>
                <w:b/>
                <w:bCs/>
                <w:spacing w:val="-2"/>
                <w:sz w:val="18"/>
                <w:szCs w:val="18"/>
              </w:rPr>
              <w:t>2</w:t>
            </w:r>
          </w:p>
        </w:tc>
        <w:tc>
          <w:tcPr>
            <w:tcW w:w="2790" w:type="dxa"/>
            <w:vAlign w:val="center"/>
          </w:tcPr>
          <w:p>
            <w:pPr>
              <w:spacing w:line="1186" w:lineRule="exact"/>
              <w:jc w:val="center"/>
              <w:rPr>
                <w:rFonts w:asciiTheme="minorHAnsi" w:hAnsiTheme="minorHAnsi" w:eastAsiaTheme="minorEastAsia" w:cstheme="minorBidi"/>
              </w:rPr>
            </w:pPr>
            <w:r>
              <w:rPr>
                <w:rFonts w:asciiTheme="minorHAnsi" w:hAnsiTheme="minorHAnsi" w:eastAsiaTheme="minorEastAsia" w:cstheme="minorBidi"/>
                <w:position w:val="-23"/>
              </w:rPr>
              <w:drawing>
                <wp:inline distT="0" distB="0" distL="0" distR="0">
                  <wp:extent cx="743585" cy="752475"/>
                  <wp:effectExtent l="0" t="0" r="18415" b="952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7"/>
                          <a:stretch>
                            <a:fillRect/>
                          </a:stretch>
                        </pic:blipFill>
                        <pic:spPr>
                          <a:xfrm>
                            <a:off x="0" y="0"/>
                            <a:ext cx="743711" cy="752855"/>
                          </a:xfrm>
                          <a:prstGeom prst="rect">
                            <a:avLst/>
                          </a:prstGeom>
                        </pic:spPr>
                      </pic:pic>
                    </a:graphicData>
                  </a:graphic>
                </wp:inline>
              </w:drawing>
            </w:r>
          </w:p>
        </w:tc>
        <w:tc>
          <w:tcPr>
            <w:tcW w:w="1549" w:type="dxa"/>
            <w:vAlign w:val="center"/>
          </w:tcPr>
          <w:p>
            <w:pPr>
              <w:spacing w:before="58" w:line="240" w:lineRule="auto"/>
              <w:jc w:val="center"/>
              <w:rPr>
                <w:rFonts w:ascii="宋体" w:hAnsi="宋体" w:cs="宋体" w:eastAsiaTheme="minorEastAsia"/>
                <w:sz w:val="18"/>
                <w:szCs w:val="18"/>
              </w:rPr>
            </w:pPr>
            <w:r>
              <w:rPr>
                <w:rFonts w:ascii="宋体" w:hAnsi="宋体" w:cs="宋体" w:eastAsiaTheme="minorEastAsia"/>
                <w:spacing w:val="-2"/>
                <w:sz w:val="18"/>
                <w:szCs w:val="18"/>
              </w:rPr>
              <w:t>入口标志</w:t>
            </w:r>
          </w:p>
        </w:tc>
        <w:tc>
          <w:tcPr>
            <w:tcW w:w="4318" w:type="dxa"/>
            <w:vAlign w:val="center"/>
          </w:tcPr>
          <w:p>
            <w:pPr>
              <w:spacing w:before="58" w:line="240" w:lineRule="auto"/>
              <w:jc w:val="center"/>
              <w:rPr>
                <w:rFonts w:ascii="宋体" w:hAnsi="宋体" w:cs="宋体" w:eastAsiaTheme="minorEastAsia"/>
                <w:sz w:val="18"/>
                <w:szCs w:val="18"/>
              </w:rPr>
            </w:pPr>
            <w:r>
              <w:rPr>
                <w:rFonts w:ascii="宋体" w:hAnsi="宋体" w:cs="宋体" w:eastAsiaTheme="minorEastAsia"/>
                <w:spacing w:val="-1"/>
                <w:sz w:val="18"/>
                <w:szCs w:val="18"/>
              </w:rPr>
              <w:t>表示入口位置或指明进去的通道</w:t>
            </w:r>
          </w:p>
          <w:p>
            <w:pPr>
              <w:spacing w:before="97" w:line="240" w:lineRule="auto"/>
              <w:jc w:val="center"/>
              <w:rPr>
                <w:rFonts w:ascii="宋体" w:hAnsi="宋体" w:cs="宋体" w:eastAsiaTheme="minorEastAsia"/>
                <w:sz w:val="18"/>
                <w:szCs w:val="18"/>
              </w:rPr>
            </w:pPr>
            <w:r>
              <w:rPr>
                <w:rFonts w:ascii="宋体" w:hAnsi="宋体" w:cs="宋体" w:eastAsiaTheme="minorEastAsia"/>
                <w:spacing w:val="-1"/>
                <w:sz w:val="18"/>
                <w:szCs w:val="18"/>
              </w:rPr>
              <w:t>应用时，根据实际情况可将符号旋转</w:t>
            </w:r>
            <w:r>
              <w:rPr>
                <w:rFonts w:ascii="宋体" w:hAnsi="宋体" w:cs="宋体" w:eastAsiaTheme="minorEastAsia"/>
                <w:b/>
                <w:bCs/>
                <w:spacing w:val="-1"/>
                <w:sz w:val="18"/>
                <w:szCs w:val="18"/>
              </w:rPr>
              <w:t>90</w:t>
            </w:r>
            <w:r>
              <w:rPr>
                <w:rFonts w:hint="eastAsia" w:ascii="宋体" w:hAnsi="宋体" w:cs="宋体" w:eastAsiaTheme="minorEastAsia"/>
                <w:spacing w:val="-1"/>
                <w:sz w:val="18"/>
                <w:szCs w:val="18"/>
              </w:rPr>
              <w:t>°</w:t>
            </w:r>
            <w:r>
              <w:rPr>
                <w:rFonts w:ascii="宋体" w:hAnsi="宋体" w:cs="宋体" w:eastAsiaTheme="minorEastAsia"/>
                <w:spacing w:val="-1"/>
                <w:sz w:val="18"/>
                <w:szCs w:val="18"/>
              </w:rPr>
              <w:t>或</w:t>
            </w:r>
            <w:r>
              <w:rPr>
                <w:rFonts w:ascii="宋体" w:hAnsi="宋体" w:cs="宋体" w:eastAsiaTheme="minorEastAsia"/>
                <w:b/>
                <w:bCs/>
                <w:spacing w:val="-1"/>
                <w:sz w:val="18"/>
                <w:szCs w:val="18"/>
              </w:rPr>
              <w:t>180</w:t>
            </w:r>
            <w:r>
              <w:rPr>
                <w:rFonts w:hint="eastAsia" w:ascii="宋体" w:hAnsi="宋体" w:cs="宋体" w:eastAsiaTheme="minorEastAsia"/>
                <w:spacing w:val="-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9" w:hRule="atLeast"/>
        </w:trPr>
        <w:tc>
          <w:tcPr>
            <w:tcW w:w="815" w:type="dxa"/>
            <w:vAlign w:val="center"/>
          </w:tcPr>
          <w:p>
            <w:pPr>
              <w:spacing w:before="58" w:line="181" w:lineRule="auto"/>
              <w:jc w:val="center"/>
              <w:rPr>
                <w:rFonts w:ascii="宋体" w:hAnsi="宋体" w:cs="宋体" w:eastAsiaTheme="minorEastAsia"/>
                <w:sz w:val="18"/>
                <w:szCs w:val="18"/>
              </w:rPr>
            </w:pPr>
            <w:r>
              <w:rPr>
                <w:rFonts w:ascii="宋体" w:hAnsi="宋体" w:cs="宋体" w:eastAsiaTheme="minorEastAsia"/>
                <w:b/>
                <w:bCs/>
                <w:spacing w:val="-2"/>
                <w:sz w:val="18"/>
                <w:szCs w:val="18"/>
              </w:rPr>
              <w:t>3</w:t>
            </w:r>
          </w:p>
        </w:tc>
        <w:tc>
          <w:tcPr>
            <w:tcW w:w="2790" w:type="dxa"/>
            <w:vAlign w:val="center"/>
          </w:tcPr>
          <w:p>
            <w:pPr>
              <w:spacing w:line="1156" w:lineRule="exact"/>
              <w:jc w:val="center"/>
              <w:rPr>
                <w:rFonts w:asciiTheme="minorHAnsi" w:hAnsiTheme="minorHAnsi" w:eastAsiaTheme="minorEastAsia" w:cstheme="minorBidi"/>
              </w:rPr>
            </w:pPr>
            <w:r>
              <w:rPr>
                <w:rFonts w:asciiTheme="minorHAnsi" w:hAnsiTheme="minorHAnsi" w:eastAsiaTheme="minorEastAsia" w:cstheme="minorBidi"/>
                <w:position w:val="-23"/>
              </w:rPr>
              <w:drawing>
                <wp:inline distT="0" distB="0" distL="0" distR="0">
                  <wp:extent cx="729615" cy="734060"/>
                  <wp:effectExtent l="0" t="0" r="13335" b="889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8"/>
                          <a:stretch>
                            <a:fillRect/>
                          </a:stretch>
                        </pic:blipFill>
                        <pic:spPr>
                          <a:xfrm>
                            <a:off x="0" y="0"/>
                            <a:ext cx="729995" cy="734567"/>
                          </a:xfrm>
                          <a:prstGeom prst="rect">
                            <a:avLst/>
                          </a:prstGeom>
                        </pic:spPr>
                      </pic:pic>
                    </a:graphicData>
                  </a:graphic>
                </wp:inline>
              </w:drawing>
            </w:r>
          </w:p>
        </w:tc>
        <w:tc>
          <w:tcPr>
            <w:tcW w:w="1549" w:type="dxa"/>
            <w:vAlign w:val="center"/>
          </w:tcPr>
          <w:p>
            <w:pPr>
              <w:spacing w:before="58" w:line="240" w:lineRule="auto"/>
              <w:jc w:val="center"/>
              <w:rPr>
                <w:rFonts w:ascii="宋体" w:hAnsi="宋体" w:cs="宋体" w:eastAsiaTheme="minorEastAsia"/>
                <w:sz w:val="18"/>
                <w:szCs w:val="18"/>
              </w:rPr>
            </w:pPr>
            <w:r>
              <w:rPr>
                <w:rFonts w:ascii="宋体" w:hAnsi="宋体" w:cs="宋体" w:eastAsiaTheme="minorEastAsia"/>
                <w:spacing w:val="-6"/>
                <w:sz w:val="18"/>
                <w:szCs w:val="18"/>
              </w:rPr>
              <w:t>出口标志</w:t>
            </w:r>
          </w:p>
        </w:tc>
        <w:tc>
          <w:tcPr>
            <w:tcW w:w="4318" w:type="dxa"/>
            <w:vAlign w:val="center"/>
          </w:tcPr>
          <w:p>
            <w:pPr>
              <w:spacing w:before="58" w:line="240" w:lineRule="auto"/>
              <w:jc w:val="center"/>
              <w:rPr>
                <w:rFonts w:ascii="宋体" w:hAnsi="宋体" w:cs="宋体" w:eastAsiaTheme="minorEastAsia"/>
                <w:sz w:val="18"/>
                <w:szCs w:val="18"/>
              </w:rPr>
            </w:pPr>
            <w:r>
              <w:rPr>
                <w:rFonts w:ascii="宋体" w:hAnsi="宋体" w:cs="宋体" w:eastAsiaTheme="minorEastAsia"/>
                <w:spacing w:val="-1"/>
                <w:sz w:val="18"/>
                <w:szCs w:val="18"/>
              </w:rPr>
              <w:t>表示出口位置或指明出去的通道</w:t>
            </w:r>
          </w:p>
          <w:p>
            <w:pPr>
              <w:spacing w:before="97" w:line="240" w:lineRule="auto"/>
              <w:jc w:val="center"/>
              <w:rPr>
                <w:rFonts w:ascii="宋体" w:hAnsi="宋体" w:cs="宋体" w:eastAsiaTheme="minorEastAsia"/>
                <w:sz w:val="18"/>
                <w:szCs w:val="18"/>
              </w:rPr>
            </w:pPr>
            <w:r>
              <w:rPr>
                <w:rFonts w:ascii="宋体" w:hAnsi="宋体" w:cs="宋体" w:eastAsiaTheme="minorEastAsia"/>
                <w:spacing w:val="-1"/>
                <w:sz w:val="18"/>
                <w:szCs w:val="18"/>
              </w:rPr>
              <w:t>应用时，根据实际情况可将符号旋转</w:t>
            </w:r>
            <w:r>
              <w:rPr>
                <w:rFonts w:ascii="宋体" w:hAnsi="宋体" w:cs="宋体" w:eastAsiaTheme="minorEastAsia"/>
                <w:b/>
                <w:bCs/>
                <w:spacing w:val="-1"/>
                <w:sz w:val="18"/>
                <w:szCs w:val="18"/>
              </w:rPr>
              <w:t>90</w:t>
            </w:r>
            <w:r>
              <w:rPr>
                <w:rFonts w:hint="eastAsia" w:ascii="宋体" w:hAnsi="宋体" w:cs="宋体" w:eastAsiaTheme="minorEastAsia"/>
                <w:spacing w:val="-1"/>
                <w:sz w:val="18"/>
                <w:szCs w:val="18"/>
              </w:rPr>
              <w:t>°</w:t>
            </w:r>
            <w:r>
              <w:rPr>
                <w:rFonts w:ascii="宋体" w:hAnsi="宋体" w:cs="宋体" w:eastAsiaTheme="minorEastAsia"/>
                <w:spacing w:val="-1"/>
                <w:sz w:val="18"/>
                <w:szCs w:val="18"/>
              </w:rPr>
              <w:t>或</w:t>
            </w:r>
            <w:r>
              <w:rPr>
                <w:rFonts w:ascii="宋体" w:hAnsi="宋体" w:cs="宋体" w:eastAsiaTheme="minorEastAsia"/>
                <w:b/>
                <w:bCs/>
                <w:spacing w:val="-1"/>
                <w:sz w:val="18"/>
                <w:szCs w:val="18"/>
              </w:rPr>
              <w:t>180</w:t>
            </w:r>
            <w:r>
              <w:rPr>
                <w:rFonts w:hint="eastAsia" w:ascii="宋体" w:hAnsi="宋体" w:cs="宋体" w:eastAsiaTheme="minorEastAsia"/>
                <w:spacing w:val="-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1" w:hRule="atLeast"/>
        </w:trPr>
        <w:tc>
          <w:tcPr>
            <w:tcW w:w="815" w:type="dxa"/>
            <w:vAlign w:val="center"/>
          </w:tcPr>
          <w:p>
            <w:pPr>
              <w:spacing w:before="58" w:line="181" w:lineRule="auto"/>
              <w:jc w:val="center"/>
              <w:rPr>
                <w:rFonts w:ascii="宋体" w:hAnsi="宋体" w:cs="宋体" w:eastAsiaTheme="minorEastAsia"/>
                <w:sz w:val="18"/>
                <w:szCs w:val="18"/>
              </w:rPr>
            </w:pPr>
            <w:r>
              <w:rPr>
                <w:rFonts w:ascii="宋体" w:hAnsi="宋体" w:cs="宋体" w:eastAsiaTheme="minorEastAsia"/>
                <w:b/>
                <w:bCs/>
                <w:spacing w:val="-2"/>
                <w:sz w:val="18"/>
                <w:szCs w:val="18"/>
              </w:rPr>
              <w:t>4</w:t>
            </w:r>
          </w:p>
        </w:tc>
        <w:tc>
          <w:tcPr>
            <w:tcW w:w="2790" w:type="dxa"/>
            <w:vAlign w:val="center"/>
          </w:tcPr>
          <w:p>
            <w:pPr>
              <w:spacing w:line="1162" w:lineRule="exact"/>
              <w:jc w:val="center"/>
              <w:rPr>
                <w:rFonts w:ascii="宋体" w:hAnsi="宋体" w:eastAsiaTheme="minorEastAsia" w:cstheme="minorBidi"/>
                <w:sz w:val="18"/>
                <w:szCs w:val="18"/>
              </w:rPr>
            </w:pPr>
            <w:r>
              <w:rPr>
                <w:rFonts w:ascii="宋体" w:hAnsi="宋体" w:eastAsiaTheme="minorEastAsia" w:cstheme="minorBidi"/>
                <w:position w:val="-23"/>
                <w:sz w:val="18"/>
                <w:szCs w:val="18"/>
              </w:rPr>
              <w:drawing>
                <wp:inline distT="0" distB="0" distL="0" distR="0">
                  <wp:extent cx="732790" cy="737235"/>
                  <wp:effectExtent l="0" t="0" r="10160" b="571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9"/>
                          <a:stretch>
                            <a:fillRect/>
                          </a:stretch>
                        </pic:blipFill>
                        <pic:spPr>
                          <a:xfrm>
                            <a:off x="0" y="0"/>
                            <a:ext cx="733044" cy="737616"/>
                          </a:xfrm>
                          <a:prstGeom prst="rect">
                            <a:avLst/>
                          </a:prstGeom>
                        </pic:spPr>
                      </pic:pic>
                    </a:graphicData>
                  </a:graphic>
                </wp:inline>
              </w:drawing>
            </w:r>
          </w:p>
        </w:tc>
        <w:tc>
          <w:tcPr>
            <w:tcW w:w="1549" w:type="dxa"/>
            <w:vAlign w:val="center"/>
          </w:tcPr>
          <w:p>
            <w:pPr>
              <w:pStyle w:val="235"/>
              <w:jc w:val="center"/>
              <w:rPr>
                <w:rFonts w:ascii="宋体" w:hAnsi="宋体" w:eastAsia="宋体"/>
                <w:sz w:val="18"/>
                <w:szCs w:val="18"/>
                <w:lang w:eastAsia="zh-CN"/>
              </w:rPr>
            </w:pPr>
            <w:r>
              <w:rPr>
                <w:rFonts w:hint="eastAsia" w:ascii="宋体" w:hAnsi="宋体" w:eastAsia="宋体"/>
                <w:sz w:val="18"/>
                <w:szCs w:val="18"/>
                <w:lang w:eastAsia="zh-CN"/>
              </w:rPr>
              <w:t>电梯标志</w:t>
            </w:r>
          </w:p>
        </w:tc>
        <w:tc>
          <w:tcPr>
            <w:tcW w:w="4318" w:type="dxa"/>
            <w:vAlign w:val="center"/>
          </w:tcPr>
          <w:p>
            <w:pPr>
              <w:pStyle w:val="235"/>
              <w:jc w:val="center"/>
              <w:rPr>
                <w:sz w:val="18"/>
                <w:szCs w:val="18"/>
                <w:lang w:eastAsia="zh-CN"/>
              </w:rPr>
            </w:pPr>
            <w:r>
              <w:rPr>
                <w:rFonts w:hint="eastAsia" w:ascii="宋体" w:hAnsi="宋体" w:eastAsia="宋体" w:cs="宋体"/>
                <w:sz w:val="18"/>
                <w:szCs w:val="18"/>
                <w:lang w:eastAsia="zh-CN"/>
              </w:rPr>
              <w:t>标识公用电梯或其位置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4" w:hRule="atLeast"/>
        </w:trPr>
        <w:tc>
          <w:tcPr>
            <w:tcW w:w="815" w:type="dxa"/>
            <w:vAlign w:val="center"/>
          </w:tcPr>
          <w:p>
            <w:pPr>
              <w:spacing w:before="58" w:line="180" w:lineRule="auto"/>
              <w:jc w:val="center"/>
              <w:rPr>
                <w:rFonts w:ascii="宋体" w:hAnsi="宋体" w:cs="宋体" w:eastAsiaTheme="minorEastAsia"/>
                <w:sz w:val="18"/>
                <w:szCs w:val="18"/>
              </w:rPr>
            </w:pPr>
            <w:r>
              <w:rPr>
                <w:rFonts w:ascii="宋体" w:hAnsi="宋体" w:cs="宋体" w:eastAsiaTheme="minorEastAsia"/>
                <w:b/>
                <w:bCs/>
                <w:spacing w:val="-2"/>
                <w:sz w:val="18"/>
                <w:szCs w:val="18"/>
              </w:rPr>
              <w:t>5</w:t>
            </w:r>
          </w:p>
        </w:tc>
        <w:tc>
          <w:tcPr>
            <w:tcW w:w="2790" w:type="dxa"/>
            <w:vAlign w:val="center"/>
          </w:tcPr>
          <w:p>
            <w:pPr>
              <w:spacing w:line="1162" w:lineRule="exact"/>
              <w:jc w:val="center"/>
              <w:rPr>
                <w:rFonts w:asciiTheme="minorHAnsi" w:hAnsiTheme="minorHAnsi" w:eastAsiaTheme="minorEastAsia" w:cstheme="minorBidi"/>
              </w:rPr>
            </w:pPr>
            <w:r>
              <w:rPr>
                <w:rFonts w:asciiTheme="minorHAnsi" w:hAnsiTheme="minorHAnsi" w:eastAsiaTheme="minorEastAsia" w:cstheme="minorBidi"/>
                <w:position w:val="-23"/>
              </w:rPr>
              <w:drawing>
                <wp:inline distT="0" distB="0" distL="0" distR="0">
                  <wp:extent cx="723900" cy="737235"/>
                  <wp:effectExtent l="0" t="0" r="0" b="571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0"/>
                          <a:stretch>
                            <a:fillRect/>
                          </a:stretch>
                        </pic:blipFill>
                        <pic:spPr>
                          <a:xfrm>
                            <a:off x="0" y="0"/>
                            <a:ext cx="723900" cy="737616"/>
                          </a:xfrm>
                          <a:prstGeom prst="rect">
                            <a:avLst/>
                          </a:prstGeom>
                        </pic:spPr>
                      </pic:pic>
                    </a:graphicData>
                  </a:graphic>
                </wp:inline>
              </w:drawing>
            </w:r>
          </w:p>
        </w:tc>
        <w:tc>
          <w:tcPr>
            <w:tcW w:w="1549" w:type="dxa"/>
            <w:vAlign w:val="center"/>
          </w:tcPr>
          <w:p>
            <w:pPr>
              <w:pStyle w:val="235"/>
              <w:jc w:val="center"/>
              <w:rPr>
                <w:sz w:val="18"/>
                <w:szCs w:val="18"/>
              </w:rPr>
            </w:pPr>
            <w:r>
              <w:rPr>
                <w:rFonts w:hint="eastAsia" w:ascii="宋体" w:hAnsi="宋体" w:eastAsia="宋体" w:cs="宋体"/>
                <w:sz w:val="18"/>
                <w:szCs w:val="18"/>
                <w:lang w:eastAsia="zh-CN"/>
              </w:rPr>
              <w:t>自动扶梯标志</w:t>
            </w:r>
          </w:p>
        </w:tc>
        <w:tc>
          <w:tcPr>
            <w:tcW w:w="4318" w:type="dxa"/>
            <w:vAlign w:val="center"/>
          </w:tcPr>
          <w:p>
            <w:pPr>
              <w:pStyle w:val="235"/>
              <w:jc w:val="center"/>
              <w:rPr>
                <w:sz w:val="18"/>
                <w:szCs w:val="18"/>
                <w:lang w:eastAsia="zh-CN"/>
              </w:rPr>
            </w:pPr>
            <w:r>
              <w:rPr>
                <w:rFonts w:hint="eastAsia" w:ascii="宋体" w:hAnsi="宋体" w:eastAsia="宋体" w:cs="宋体"/>
                <w:sz w:val="18"/>
                <w:szCs w:val="18"/>
                <w:lang w:eastAsia="zh-CN"/>
              </w:rPr>
              <w:t>标识自动扶梯或其位置，不表示楼梯</w:t>
            </w:r>
          </w:p>
        </w:tc>
      </w:tr>
    </w:tbl>
    <w:p>
      <w:pPr>
        <w:pStyle w:val="80"/>
        <w:numPr>
          <w:ilvl w:val="0"/>
          <w:numId w:val="0"/>
        </w:numPr>
        <w:spacing w:before="156" w:after="156"/>
        <w:rPr>
          <w:rFonts w:ascii="宋体" w:eastAsia="宋体"/>
          <w:kern w:val="0"/>
        </w:rPr>
      </w:pPr>
    </w:p>
    <w:p>
      <w:pPr>
        <w:widowControl/>
        <w:adjustRightInd/>
        <w:spacing w:line="240" w:lineRule="auto"/>
        <w:jc w:val="left"/>
        <w:rPr>
          <w:rFonts w:ascii="宋体" w:hAnsi="Times New Roman"/>
          <w:kern w:val="0"/>
          <w:szCs w:val="20"/>
        </w:rPr>
      </w:pPr>
      <w:r>
        <w:rPr>
          <w:rFonts w:ascii="宋体"/>
          <w:kern w:val="0"/>
        </w:rPr>
        <w:br w:type="page"/>
      </w:r>
    </w:p>
    <w:p>
      <w:pPr>
        <w:pStyle w:val="80"/>
        <w:numPr>
          <w:ilvl w:val="0"/>
          <w:numId w:val="0"/>
        </w:numPr>
        <w:spacing w:before="156" w:after="156"/>
      </w:pPr>
      <w:r>
        <w:rPr>
          <w:rFonts w:hint="eastAsia"/>
        </w:rPr>
        <w:t>表C.1 通用标志图形(续)</w:t>
      </w:r>
    </w:p>
    <w:tbl>
      <w:tblPr>
        <w:tblStyle w:val="234"/>
        <w:tblW w:w="94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2769"/>
        <w:gridCol w:w="1537"/>
        <w:gridCol w:w="42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trPr>
        <w:tc>
          <w:tcPr>
            <w:tcW w:w="808" w:type="dxa"/>
            <w:vAlign w:val="center"/>
          </w:tcPr>
          <w:p>
            <w:pPr>
              <w:spacing w:before="58" w:line="240" w:lineRule="auto"/>
              <w:jc w:val="center"/>
              <w:rPr>
                <w:rFonts w:hAnsi="宋体" w:cs="宋体" w:asciiTheme="minorHAnsi" w:eastAsiaTheme="minorEastAsia"/>
                <w:sz w:val="18"/>
                <w:szCs w:val="18"/>
              </w:rPr>
            </w:pPr>
            <w:bookmarkStart w:id="203" w:name="_Hlk193892229"/>
            <w:r>
              <w:rPr>
                <w:rFonts w:hAnsi="宋体" w:cs="宋体" w:asciiTheme="minorHAnsi" w:eastAsiaTheme="minorEastAsia"/>
                <w:spacing w:val="-2"/>
                <w:sz w:val="18"/>
                <w:szCs w:val="18"/>
              </w:rPr>
              <w:t>6</w:t>
            </w:r>
          </w:p>
        </w:tc>
        <w:tc>
          <w:tcPr>
            <w:tcW w:w="2769" w:type="dxa"/>
            <w:vAlign w:val="center"/>
          </w:tcPr>
          <w:p>
            <w:pPr>
              <w:spacing w:before="201" w:line="240" w:lineRule="auto"/>
              <w:jc w:val="center"/>
              <w:rPr>
                <w:rFonts w:asciiTheme="minorHAnsi" w:hAnsiTheme="minorHAnsi" w:eastAsiaTheme="minorEastAsia" w:cstheme="minorBidi"/>
              </w:rPr>
            </w:pPr>
            <w:r>
              <w:rPr>
                <w:rFonts w:asciiTheme="minorHAnsi" w:hAnsiTheme="minorHAnsi" w:eastAsiaTheme="minorEastAsia" w:cstheme="minorBidi"/>
                <w:position w:val="-23"/>
              </w:rPr>
              <w:drawing>
                <wp:inline distT="0" distB="0" distL="0" distR="0">
                  <wp:extent cx="755650" cy="744855"/>
                  <wp:effectExtent l="0" t="0" r="6350" b="1714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51"/>
                          <a:stretch>
                            <a:fillRect/>
                          </a:stretch>
                        </pic:blipFill>
                        <pic:spPr>
                          <a:xfrm>
                            <a:off x="0" y="0"/>
                            <a:ext cx="755904" cy="745235"/>
                          </a:xfrm>
                          <a:prstGeom prst="rect">
                            <a:avLst/>
                          </a:prstGeom>
                        </pic:spPr>
                      </pic:pic>
                    </a:graphicData>
                  </a:graphic>
                </wp:inline>
              </w:drawing>
            </w:r>
          </w:p>
        </w:tc>
        <w:tc>
          <w:tcPr>
            <w:tcW w:w="1537" w:type="dxa"/>
            <w:vAlign w:val="center"/>
          </w:tcPr>
          <w:p>
            <w:pPr>
              <w:spacing w:before="58" w:line="240" w:lineRule="auto"/>
              <w:jc w:val="center"/>
              <w:rPr>
                <w:rFonts w:hAnsi="宋体" w:cs="宋体" w:asciiTheme="minorHAnsi" w:eastAsiaTheme="minorEastAsia"/>
                <w:sz w:val="18"/>
                <w:szCs w:val="18"/>
              </w:rPr>
            </w:pPr>
            <w:r>
              <w:rPr>
                <w:rFonts w:hAnsi="宋体" w:cs="宋体" w:asciiTheme="minorHAnsi" w:eastAsiaTheme="minorEastAsia"/>
                <w:spacing w:val="-2"/>
                <w:sz w:val="18"/>
                <w:szCs w:val="18"/>
              </w:rPr>
              <w:t>楼梯标志</w:t>
            </w:r>
          </w:p>
        </w:tc>
        <w:tc>
          <w:tcPr>
            <w:tcW w:w="4286" w:type="dxa"/>
            <w:vAlign w:val="center"/>
          </w:tcPr>
          <w:p>
            <w:pPr>
              <w:spacing w:before="58" w:line="240" w:lineRule="auto"/>
              <w:jc w:val="center"/>
              <w:rPr>
                <w:rFonts w:hAnsi="宋体" w:cs="宋体" w:asciiTheme="minorHAnsi" w:eastAsiaTheme="minorEastAsia"/>
                <w:sz w:val="18"/>
                <w:szCs w:val="18"/>
              </w:rPr>
            </w:pPr>
            <w:r>
              <w:rPr>
                <w:rFonts w:hAnsi="宋体" w:cs="宋体" w:asciiTheme="minorHAnsi" w:eastAsiaTheme="minorEastAsia"/>
                <w:spacing w:val="-1"/>
                <w:sz w:val="18"/>
                <w:szCs w:val="18"/>
              </w:rPr>
              <w:t>示上下共用的楼梯，不表示自动扶梯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trPr>
        <w:tc>
          <w:tcPr>
            <w:tcW w:w="808" w:type="dxa"/>
            <w:vAlign w:val="center"/>
          </w:tcPr>
          <w:p>
            <w:pPr>
              <w:spacing w:before="59" w:line="240" w:lineRule="auto"/>
              <w:jc w:val="center"/>
              <w:rPr>
                <w:rFonts w:hAnsi="宋体" w:cs="宋体" w:asciiTheme="minorHAnsi" w:eastAsiaTheme="minorEastAsia"/>
                <w:sz w:val="18"/>
                <w:szCs w:val="18"/>
              </w:rPr>
            </w:pPr>
            <w:r>
              <w:rPr>
                <w:rFonts w:hAnsi="宋体" w:cs="宋体" w:asciiTheme="minorHAnsi" w:eastAsiaTheme="minorEastAsia"/>
                <w:spacing w:val="-2"/>
                <w:sz w:val="18"/>
                <w:szCs w:val="18"/>
              </w:rPr>
              <w:t>7</w:t>
            </w:r>
          </w:p>
        </w:tc>
        <w:tc>
          <w:tcPr>
            <w:tcW w:w="2769" w:type="dxa"/>
            <w:vAlign w:val="center"/>
          </w:tcPr>
          <w:p>
            <w:pPr>
              <w:spacing w:before="194" w:line="240" w:lineRule="auto"/>
              <w:jc w:val="center"/>
              <w:rPr>
                <w:rFonts w:asciiTheme="minorHAnsi" w:hAnsiTheme="minorHAnsi" w:eastAsiaTheme="minorEastAsia" w:cstheme="minorBidi"/>
              </w:rPr>
            </w:pPr>
            <w:r>
              <w:rPr>
                <w:rFonts w:asciiTheme="minorHAnsi" w:hAnsiTheme="minorHAnsi" w:eastAsiaTheme="minorEastAsia" w:cstheme="minorBidi"/>
                <w:position w:val="-23"/>
              </w:rPr>
              <w:drawing>
                <wp:inline distT="0" distB="0" distL="0" distR="0">
                  <wp:extent cx="746760" cy="746125"/>
                  <wp:effectExtent l="0" t="0" r="15240" b="1587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2"/>
                          <a:stretch>
                            <a:fillRect/>
                          </a:stretch>
                        </pic:blipFill>
                        <pic:spPr>
                          <a:xfrm>
                            <a:off x="0" y="0"/>
                            <a:ext cx="746760" cy="746759"/>
                          </a:xfrm>
                          <a:prstGeom prst="rect">
                            <a:avLst/>
                          </a:prstGeom>
                        </pic:spPr>
                      </pic:pic>
                    </a:graphicData>
                  </a:graphic>
                </wp:inline>
              </w:drawing>
            </w:r>
          </w:p>
        </w:tc>
        <w:tc>
          <w:tcPr>
            <w:tcW w:w="1537" w:type="dxa"/>
            <w:vAlign w:val="center"/>
          </w:tcPr>
          <w:p>
            <w:pPr>
              <w:spacing w:before="58" w:line="240" w:lineRule="auto"/>
              <w:jc w:val="center"/>
              <w:rPr>
                <w:rFonts w:hAnsi="宋体" w:cs="宋体" w:asciiTheme="minorHAnsi" w:eastAsiaTheme="minorEastAsia"/>
                <w:sz w:val="18"/>
                <w:szCs w:val="18"/>
              </w:rPr>
            </w:pPr>
            <w:r>
              <w:rPr>
                <w:rFonts w:hAnsi="宋体" w:cs="宋体" w:asciiTheme="minorHAnsi" w:eastAsiaTheme="minorEastAsia"/>
                <w:spacing w:val="-2"/>
                <w:sz w:val="18"/>
                <w:szCs w:val="18"/>
              </w:rPr>
              <w:t>安全保卫标志</w:t>
            </w:r>
          </w:p>
        </w:tc>
        <w:tc>
          <w:tcPr>
            <w:tcW w:w="4286" w:type="dxa"/>
            <w:vAlign w:val="center"/>
          </w:tcPr>
          <w:p>
            <w:pPr>
              <w:spacing w:before="59" w:line="240" w:lineRule="auto"/>
              <w:ind w:left="62" w:right="56"/>
              <w:jc w:val="center"/>
              <w:rPr>
                <w:rFonts w:hAnsi="宋体" w:cs="宋体" w:asciiTheme="minorHAnsi" w:eastAsiaTheme="minorEastAsia"/>
                <w:sz w:val="18"/>
                <w:szCs w:val="18"/>
              </w:rPr>
            </w:pPr>
            <w:r>
              <w:rPr>
                <w:rFonts w:hAnsi="宋体" w:cs="宋体" w:asciiTheme="minorHAnsi" w:eastAsiaTheme="minorEastAsia"/>
                <w:spacing w:val="2"/>
                <w:sz w:val="18"/>
                <w:szCs w:val="18"/>
              </w:rPr>
              <w:t>表示安全保卫人员（警察或保安）或指明安全保卫人</w:t>
            </w:r>
            <w:r>
              <w:rPr>
                <w:rFonts w:hAnsi="宋体" w:cs="宋体" w:asciiTheme="minorHAnsi" w:eastAsiaTheme="minorEastAsia"/>
                <w:spacing w:val="-1"/>
                <w:sz w:val="18"/>
                <w:szCs w:val="18"/>
              </w:rPr>
              <w:t>员（警察或保安）的值勤地点或位置，如警卫室等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trPr>
        <w:tc>
          <w:tcPr>
            <w:tcW w:w="808" w:type="dxa"/>
            <w:vAlign w:val="center"/>
          </w:tcPr>
          <w:p>
            <w:pPr>
              <w:spacing w:before="59" w:line="240" w:lineRule="auto"/>
              <w:jc w:val="center"/>
              <w:rPr>
                <w:rFonts w:hAnsi="宋体" w:cs="宋体" w:asciiTheme="minorHAnsi" w:eastAsiaTheme="minorEastAsia"/>
                <w:sz w:val="18"/>
                <w:szCs w:val="18"/>
              </w:rPr>
            </w:pPr>
            <w:r>
              <w:rPr>
                <w:rFonts w:hAnsi="宋体" w:cs="宋体" w:asciiTheme="minorHAnsi" w:eastAsiaTheme="minorEastAsia"/>
                <w:spacing w:val="-2"/>
                <w:sz w:val="18"/>
                <w:szCs w:val="18"/>
              </w:rPr>
              <w:t>8</w:t>
            </w:r>
          </w:p>
        </w:tc>
        <w:tc>
          <w:tcPr>
            <w:tcW w:w="2769" w:type="dxa"/>
            <w:vAlign w:val="center"/>
          </w:tcPr>
          <w:p>
            <w:pPr>
              <w:spacing w:before="192" w:line="240" w:lineRule="auto"/>
              <w:jc w:val="center"/>
              <w:rPr>
                <w:rFonts w:asciiTheme="minorHAnsi" w:hAnsiTheme="minorHAnsi" w:eastAsiaTheme="minorEastAsia" w:cstheme="minorBidi"/>
              </w:rPr>
            </w:pPr>
            <w:r>
              <w:rPr>
                <w:rFonts w:asciiTheme="minorHAnsi" w:hAnsiTheme="minorHAnsi" w:eastAsiaTheme="minorEastAsia" w:cstheme="minorBidi"/>
                <w:position w:val="-23"/>
              </w:rPr>
              <w:drawing>
                <wp:inline distT="0" distB="0" distL="0" distR="0">
                  <wp:extent cx="752475" cy="752475"/>
                  <wp:effectExtent l="0" t="0" r="9525" b="952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3"/>
                          <a:stretch>
                            <a:fillRect/>
                          </a:stretch>
                        </pic:blipFill>
                        <pic:spPr>
                          <a:xfrm>
                            <a:off x="0" y="0"/>
                            <a:ext cx="752855" cy="752856"/>
                          </a:xfrm>
                          <a:prstGeom prst="rect">
                            <a:avLst/>
                          </a:prstGeom>
                        </pic:spPr>
                      </pic:pic>
                    </a:graphicData>
                  </a:graphic>
                </wp:inline>
              </w:drawing>
            </w:r>
          </w:p>
        </w:tc>
        <w:tc>
          <w:tcPr>
            <w:tcW w:w="1537" w:type="dxa"/>
            <w:vAlign w:val="center"/>
          </w:tcPr>
          <w:p>
            <w:pPr>
              <w:spacing w:before="58" w:line="240" w:lineRule="auto"/>
              <w:jc w:val="center"/>
              <w:rPr>
                <w:rFonts w:hAnsi="宋体" w:cs="宋体" w:asciiTheme="minorHAnsi" w:eastAsiaTheme="minorEastAsia"/>
                <w:sz w:val="18"/>
                <w:szCs w:val="18"/>
              </w:rPr>
            </w:pPr>
            <w:r>
              <w:rPr>
                <w:rFonts w:hAnsi="宋体" w:cs="宋体" w:asciiTheme="minorHAnsi" w:eastAsiaTheme="minorEastAsia"/>
                <w:spacing w:val="-2"/>
                <w:sz w:val="18"/>
                <w:szCs w:val="18"/>
              </w:rPr>
              <w:t>卫生间标志</w:t>
            </w:r>
          </w:p>
        </w:tc>
        <w:tc>
          <w:tcPr>
            <w:tcW w:w="4286" w:type="dxa"/>
            <w:vAlign w:val="center"/>
          </w:tcPr>
          <w:p>
            <w:pPr>
              <w:spacing w:before="58" w:line="240" w:lineRule="auto"/>
              <w:ind w:left="62"/>
              <w:jc w:val="left"/>
              <w:rPr>
                <w:rFonts w:hAnsi="宋体" w:cs="宋体" w:asciiTheme="minorHAnsi" w:eastAsiaTheme="minorEastAsia"/>
                <w:sz w:val="18"/>
                <w:szCs w:val="18"/>
              </w:rPr>
            </w:pPr>
            <w:r>
              <w:rPr>
                <w:rFonts w:hAnsi="宋体" w:cs="宋体" w:asciiTheme="minorHAnsi" w:eastAsiaTheme="minorEastAsia"/>
                <w:spacing w:val="-1"/>
                <w:sz w:val="18"/>
                <w:szCs w:val="18"/>
              </w:rPr>
              <w:t>表示卫生间或其位置</w:t>
            </w:r>
          </w:p>
          <w:p>
            <w:pPr>
              <w:spacing w:line="240" w:lineRule="auto"/>
              <w:ind w:left="63" w:right="56" w:firstLine="8"/>
              <w:jc w:val="left"/>
              <w:rPr>
                <w:rFonts w:hAnsi="宋体" w:cs="宋体" w:asciiTheme="minorHAnsi" w:eastAsiaTheme="minorEastAsia"/>
                <w:sz w:val="18"/>
                <w:szCs w:val="18"/>
              </w:rPr>
            </w:pPr>
            <w:r>
              <w:rPr>
                <w:rFonts w:hAnsi="宋体" w:cs="宋体" w:asciiTheme="minorHAnsi" w:eastAsiaTheme="minorEastAsia"/>
                <w:spacing w:val="2"/>
                <w:sz w:val="18"/>
                <w:szCs w:val="18"/>
              </w:rPr>
              <w:t>需要根据男、女卫生间的实际位置使用本符号</w:t>
            </w:r>
            <w:r>
              <w:rPr>
                <w:rFonts w:hAnsi="宋体" w:cs="宋体" w:asciiTheme="minorHAnsi" w:eastAsiaTheme="minorEastAsia"/>
                <w:spacing w:val="1"/>
                <w:sz w:val="18"/>
                <w:szCs w:val="18"/>
              </w:rPr>
              <w:t>或其镜</w:t>
            </w:r>
            <w:r>
              <w:rPr>
                <w:rFonts w:hAnsi="宋体" w:cs="宋体" w:asciiTheme="minorHAnsi" w:eastAsiaTheme="minorEastAsia"/>
                <w:spacing w:val="-2"/>
                <w:sz w:val="18"/>
                <w:szCs w:val="18"/>
              </w:rPr>
              <w:t>像符号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trPr>
        <w:tc>
          <w:tcPr>
            <w:tcW w:w="808" w:type="dxa"/>
            <w:vAlign w:val="center"/>
          </w:tcPr>
          <w:p>
            <w:pPr>
              <w:spacing w:before="58" w:line="240" w:lineRule="auto"/>
              <w:jc w:val="center"/>
              <w:rPr>
                <w:rFonts w:hAnsi="宋体" w:cs="宋体" w:asciiTheme="minorHAnsi" w:eastAsiaTheme="minorEastAsia"/>
                <w:sz w:val="18"/>
                <w:szCs w:val="18"/>
              </w:rPr>
            </w:pPr>
            <w:r>
              <w:rPr>
                <w:rFonts w:hAnsi="宋体" w:cs="宋体" w:asciiTheme="minorHAnsi" w:eastAsiaTheme="minorEastAsia"/>
                <w:spacing w:val="-2"/>
                <w:sz w:val="18"/>
                <w:szCs w:val="18"/>
              </w:rPr>
              <w:t>9</w:t>
            </w:r>
          </w:p>
        </w:tc>
        <w:tc>
          <w:tcPr>
            <w:tcW w:w="2769" w:type="dxa"/>
            <w:vAlign w:val="center"/>
          </w:tcPr>
          <w:p>
            <w:pPr>
              <w:spacing w:before="185" w:line="240" w:lineRule="auto"/>
              <w:jc w:val="center"/>
              <w:rPr>
                <w:rFonts w:asciiTheme="minorHAnsi" w:hAnsiTheme="minorHAnsi" w:eastAsiaTheme="minorEastAsia" w:cstheme="minorBidi"/>
              </w:rPr>
            </w:pPr>
            <w:r>
              <w:rPr>
                <w:rFonts w:asciiTheme="minorHAnsi" w:hAnsiTheme="minorHAnsi" w:eastAsiaTheme="minorEastAsia" w:cstheme="minorBidi"/>
                <w:position w:val="-23"/>
              </w:rPr>
              <w:drawing>
                <wp:inline distT="0" distB="0" distL="0" distR="0">
                  <wp:extent cx="767715" cy="758825"/>
                  <wp:effectExtent l="0" t="0" r="13335" b="3175"/>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4"/>
                          <a:stretch>
                            <a:fillRect/>
                          </a:stretch>
                        </pic:blipFill>
                        <pic:spPr>
                          <a:xfrm>
                            <a:off x="0" y="0"/>
                            <a:ext cx="768096" cy="758952"/>
                          </a:xfrm>
                          <a:prstGeom prst="rect">
                            <a:avLst/>
                          </a:prstGeom>
                        </pic:spPr>
                      </pic:pic>
                    </a:graphicData>
                  </a:graphic>
                </wp:inline>
              </w:drawing>
            </w:r>
          </w:p>
        </w:tc>
        <w:tc>
          <w:tcPr>
            <w:tcW w:w="1537" w:type="dxa"/>
            <w:vAlign w:val="center"/>
          </w:tcPr>
          <w:p>
            <w:pPr>
              <w:spacing w:before="59" w:line="240" w:lineRule="auto"/>
              <w:jc w:val="center"/>
              <w:rPr>
                <w:rFonts w:hAnsi="宋体" w:cs="宋体" w:asciiTheme="minorHAnsi" w:eastAsiaTheme="minorEastAsia"/>
                <w:sz w:val="18"/>
                <w:szCs w:val="18"/>
              </w:rPr>
            </w:pPr>
            <w:r>
              <w:rPr>
                <w:rFonts w:hAnsi="宋体" w:cs="宋体" w:asciiTheme="minorHAnsi" w:eastAsiaTheme="minorEastAsia"/>
                <w:spacing w:val="-5"/>
                <w:sz w:val="18"/>
                <w:szCs w:val="18"/>
              </w:rPr>
              <w:t>图像采集区域</w:t>
            </w:r>
          </w:p>
        </w:tc>
        <w:tc>
          <w:tcPr>
            <w:tcW w:w="4286" w:type="dxa"/>
            <w:vAlign w:val="center"/>
          </w:tcPr>
          <w:p>
            <w:pPr>
              <w:spacing w:before="59" w:line="240" w:lineRule="auto"/>
              <w:jc w:val="left"/>
              <w:rPr>
                <w:rFonts w:hAnsi="宋体" w:cs="宋体" w:asciiTheme="minorHAnsi" w:eastAsiaTheme="minorEastAsia"/>
                <w:sz w:val="18"/>
                <w:szCs w:val="18"/>
              </w:rPr>
            </w:pPr>
            <w:r>
              <w:rPr>
                <w:rFonts w:hAnsi="宋体" w:cs="宋体" w:asciiTheme="minorHAnsi" w:eastAsiaTheme="minorEastAsia"/>
                <w:spacing w:val="-1"/>
                <w:sz w:val="18"/>
                <w:szCs w:val="18"/>
              </w:rPr>
              <w:t>表示图像采集区域或位置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trPr>
        <w:tc>
          <w:tcPr>
            <w:tcW w:w="808" w:type="dxa"/>
            <w:vAlign w:val="center"/>
          </w:tcPr>
          <w:p>
            <w:pPr>
              <w:spacing w:before="58" w:line="240" w:lineRule="auto"/>
              <w:jc w:val="center"/>
              <w:rPr>
                <w:rFonts w:hAnsi="宋体" w:cs="宋体" w:asciiTheme="minorHAnsi" w:eastAsiaTheme="minorEastAsia"/>
                <w:sz w:val="18"/>
                <w:szCs w:val="18"/>
              </w:rPr>
            </w:pPr>
            <w:r>
              <w:rPr>
                <w:rFonts w:hAnsi="宋体" w:cs="宋体" w:asciiTheme="minorHAnsi" w:eastAsiaTheme="minorEastAsia"/>
                <w:spacing w:val="-12"/>
                <w:sz w:val="18"/>
                <w:szCs w:val="18"/>
              </w:rPr>
              <w:t>10</w:t>
            </w:r>
          </w:p>
        </w:tc>
        <w:tc>
          <w:tcPr>
            <w:tcW w:w="2769" w:type="dxa"/>
            <w:vAlign w:val="center"/>
          </w:tcPr>
          <w:p>
            <w:pPr>
              <w:adjustRightInd/>
              <w:spacing w:line="240" w:lineRule="auto"/>
              <w:jc w:val="center"/>
              <w:rPr>
                <w:rFonts w:ascii="Arial" w:hAnsi="Arial" w:cs="Arial" w:eastAsiaTheme="minorEastAsia"/>
              </w:rPr>
            </w:pPr>
            <w:r>
              <w:rPr>
                <w:rFonts w:ascii="Arial" w:hAnsi="Arial" w:eastAsia="Arial" w:cs="Arial"/>
              </w:rPr>
              <w:drawing>
                <wp:anchor distT="0" distB="0" distL="0" distR="0" simplePos="0" relativeHeight="251665408" behindDoc="0" locked="0" layoutInCell="1" allowOverlap="1">
                  <wp:simplePos x="0" y="0"/>
                  <wp:positionH relativeFrom="rightMargin">
                    <wp:posOffset>-1264920</wp:posOffset>
                  </wp:positionH>
                  <wp:positionV relativeFrom="topMargin">
                    <wp:posOffset>117475</wp:posOffset>
                  </wp:positionV>
                  <wp:extent cx="757555" cy="757555"/>
                  <wp:effectExtent l="0" t="0" r="4445" b="4445"/>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5"/>
                          <a:stretch>
                            <a:fillRect/>
                          </a:stretch>
                        </pic:blipFill>
                        <pic:spPr>
                          <a:xfrm>
                            <a:off x="0" y="0"/>
                            <a:ext cx="757427" cy="757427"/>
                          </a:xfrm>
                          <a:prstGeom prst="rect">
                            <a:avLst/>
                          </a:prstGeom>
                        </pic:spPr>
                      </pic:pic>
                    </a:graphicData>
                  </a:graphic>
                </wp:anchor>
              </w:drawing>
            </w:r>
          </w:p>
        </w:tc>
        <w:tc>
          <w:tcPr>
            <w:tcW w:w="1537" w:type="dxa"/>
            <w:vAlign w:val="center"/>
          </w:tcPr>
          <w:p>
            <w:pPr>
              <w:spacing w:before="58" w:line="240" w:lineRule="auto"/>
              <w:jc w:val="center"/>
              <w:rPr>
                <w:rFonts w:hAnsi="宋体" w:cs="宋体" w:asciiTheme="minorHAnsi" w:eastAsiaTheme="minorEastAsia"/>
                <w:sz w:val="18"/>
                <w:szCs w:val="18"/>
              </w:rPr>
            </w:pPr>
            <w:r>
              <w:rPr>
                <w:rFonts w:hAnsi="宋体" w:cs="宋体" w:asciiTheme="minorHAnsi" w:eastAsiaTheme="minorEastAsia"/>
                <w:spacing w:val="-2"/>
                <w:sz w:val="18"/>
                <w:szCs w:val="18"/>
              </w:rPr>
              <w:t>无障碍设施标志</w:t>
            </w:r>
          </w:p>
        </w:tc>
        <w:tc>
          <w:tcPr>
            <w:tcW w:w="4286" w:type="dxa"/>
            <w:vAlign w:val="center"/>
          </w:tcPr>
          <w:p>
            <w:pPr>
              <w:spacing w:before="58" w:line="240" w:lineRule="auto"/>
              <w:ind w:right="56"/>
              <w:jc w:val="left"/>
              <w:rPr>
                <w:rFonts w:hAnsi="宋体" w:cs="宋体" w:asciiTheme="minorHAnsi" w:eastAsiaTheme="minorEastAsia"/>
                <w:sz w:val="18"/>
                <w:szCs w:val="18"/>
              </w:rPr>
            </w:pPr>
            <w:r>
              <w:rPr>
                <w:rFonts w:hAnsi="宋体" w:cs="宋体" w:asciiTheme="minorHAnsi" w:eastAsiaTheme="minorEastAsia"/>
                <w:spacing w:val="2"/>
                <w:sz w:val="18"/>
                <w:szCs w:val="18"/>
              </w:rPr>
              <w:t>表示供残疾人、老年人、伤病人及其他有特殊需求的</w:t>
            </w:r>
            <w:r>
              <w:rPr>
                <w:rFonts w:hAnsi="宋体" w:cs="宋体" w:asciiTheme="minorHAnsi" w:eastAsiaTheme="minorEastAsia"/>
                <w:spacing w:val="6"/>
                <w:sz w:val="18"/>
                <w:szCs w:val="18"/>
              </w:rPr>
              <w:t xml:space="preserve"> </w:t>
            </w:r>
            <w:r>
              <w:rPr>
                <w:rFonts w:hAnsi="宋体" w:cs="宋体" w:asciiTheme="minorHAnsi" w:eastAsiaTheme="minorEastAsia"/>
                <w:spacing w:val="-1"/>
                <w:sz w:val="18"/>
                <w:szCs w:val="18"/>
              </w:rPr>
              <w:t>人群使用的设施，如轮椅等，也表示轮椅使用者</w:t>
            </w:r>
          </w:p>
          <w:p>
            <w:pPr>
              <w:spacing w:before="25" w:line="240" w:lineRule="auto"/>
              <w:jc w:val="left"/>
              <w:rPr>
                <w:rFonts w:hAnsi="宋体" w:cs="宋体" w:asciiTheme="minorHAnsi" w:eastAsiaTheme="minorEastAsia"/>
                <w:sz w:val="18"/>
                <w:szCs w:val="18"/>
              </w:rPr>
            </w:pPr>
            <w:r>
              <w:rPr>
                <w:rFonts w:hAnsi="宋体" w:cs="宋体" w:asciiTheme="minorHAnsi" w:eastAsiaTheme="minorEastAsia"/>
                <w:spacing w:val="-1"/>
                <w:sz w:val="18"/>
                <w:szCs w:val="18"/>
              </w:rPr>
              <w:t>应根据实际情况使用本符号或其镜像符号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trPr>
        <w:tc>
          <w:tcPr>
            <w:tcW w:w="808" w:type="dxa"/>
            <w:tcBorders>
              <w:bottom w:val="nil"/>
            </w:tcBorders>
            <w:vAlign w:val="center"/>
          </w:tcPr>
          <w:p>
            <w:pPr>
              <w:spacing w:before="58" w:line="240" w:lineRule="auto"/>
              <w:jc w:val="center"/>
              <w:rPr>
                <w:rFonts w:hAnsi="宋体" w:cs="宋体" w:asciiTheme="minorHAnsi" w:eastAsiaTheme="minorEastAsia"/>
                <w:sz w:val="18"/>
                <w:szCs w:val="18"/>
              </w:rPr>
            </w:pPr>
            <w:r>
              <w:rPr>
                <w:rFonts w:hAnsi="宋体" w:cs="宋体" w:asciiTheme="minorHAnsi" w:eastAsiaTheme="minorEastAsia"/>
                <w:spacing w:val="-12"/>
                <w:sz w:val="18"/>
                <w:szCs w:val="18"/>
              </w:rPr>
              <w:t>11</w:t>
            </w:r>
          </w:p>
        </w:tc>
        <w:tc>
          <w:tcPr>
            <w:tcW w:w="2769" w:type="dxa"/>
            <w:tcBorders>
              <w:bottom w:val="nil"/>
            </w:tcBorders>
            <w:vAlign w:val="center"/>
          </w:tcPr>
          <w:p>
            <w:pPr>
              <w:adjustRightInd/>
              <w:spacing w:line="240" w:lineRule="auto"/>
              <w:jc w:val="center"/>
              <w:rPr>
                <w:rFonts w:ascii="Arial" w:hAnsi="Arial" w:cs="Arial" w:eastAsiaTheme="minorEastAsia"/>
              </w:rPr>
            </w:pPr>
            <w:r>
              <w:rPr>
                <w:rFonts w:ascii="Arial" w:hAnsi="Arial" w:eastAsia="Arial" w:cs="Arial"/>
              </w:rPr>
              <w:drawing>
                <wp:anchor distT="0" distB="0" distL="0" distR="0" simplePos="0" relativeHeight="251664384" behindDoc="0" locked="0" layoutInCell="1" allowOverlap="1">
                  <wp:simplePos x="0" y="0"/>
                  <wp:positionH relativeFrom="rightMargin">
                    <wp:posOffset>-1268095</wp:posOffset>
                  </wp:positionH>
                  <wp:positionV relativeFrom="topMargin">
                    <wp:posOffset>116840</wp:posOffset>
                  </wp:positionV>
                  <wp:extent cx="762000" cy="7620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6"/>
                          <a:stretch>
                            <a:fillRect/>
                          </a:stretch>
                        </pic:blipFill>
                        <pic:spPr>
                          <a:xfrm>
                            <a:off x="0" y="0"/>
                            <a:ext cx="762000" cy="762000"/>
                          </a:xfrm>
                          <a:prstGeom prst="rect">
                            <a:avLst/>
                          </a:prstGeom>
                        </pic:spPr>
                      </pic:pic>
                    </a:graphicData>
                  </a:graphic>
                </wp:anchor>
              </w:drawing>
            </w:r>
          </w:p>
        </w:tc>
        <w:tc>
          <w:tcPr>
            <w:tcW w:w="1537" w:type="dxa"/>
            <w:tcBorders>
              <w:bottom w:val="nil"/>
            </w:tcBorders>
            <w:vAlign w:val="center"/>
          </w:tcPr>
          <w:p>
            <w:pPr>
              <w:spacing w:before="58" w:line="240" w:lineRule="auto"/>
              <w:ind w:right="142"/>
              <w:jc w:val="center"/>
              <w:rPr>
                <w:rFonts w:hAnsi="宋体" w:cs="宋体" w:asciiTheme="minorHAnsi" w:eastAsiaTheme="minorEastAsia"/>
                <w:spacing w:val="-2"/>
                <w:sz w:val="18"/>
                <w:szCs w:val="18"/>
              </w:rPr>
            </w:pPr>
            <w:r>
              <w:rPr>
                <w:rFonts w:hAnsi="宋体" w:cs="宋体" w:asciiTheme="minorHAnsi" w:eastAsiaTheme="minorEastAsia"/>
                <w:spacing w:val="-2"/>
                <w:sz w:val="18"/>
                <w:szCs w:val="18"/>
              </w:rPr>
              <w:t>无障碍停车位标</w:t>
            </w:r>
            <w:r>
              <w:rPr>
                <w:rFonts w:hAnsi="宋体" w:cs="宋体" w:asciiTheme="minorHAnsi" w:eastAsiaTheme="minorEastAsia"/>
                <w:spacing w:val="4"/>
                <w:sz w:val="18"/>
                <w:szCs w:val="18"/>
              </w:rPr>
              <w:t xml:space="preserve"> </w:t>
            </w:r>
            <w:r>
              <w:rPr>
                <w:rFonts w:hAnsi="宋体" w:cs="宋体" w:asciiTheme="minorHAnsi" w:eastAsiaTheme="minorEastAsia"/>
                <w:sz w:val="18"/>
                <w:szCs w:val="18"/>
              </w:rPr>
              <w:t>志</w:t>
            </w:r>
          </w:p>
        </w:tc>
        <w:tc>
          <w:tcPr>
            <w:tcW w:w="4286" w:type="dxa"/>
            <w:tcBorders>
              <w:bottom w:val="nil"/>
            </w:tcBorders>
            <w:vAlign w:val="center"/>
          </w:tcPr>
          <w:p>
            <w:pPr>
              <w:spacing w:before="59" w:line="240" w:lineRule="auto"/>
              <w:jc w:val="left"/>
              <w:rPr>
                <w:rFonts w:hAnsi="宋体" w:cs="宋体" w:asciiTheme="minorHAnsi" w:eastAsiaTheme="minorEastAsia"/>
                <w:sz w:val="18"/>
                <w:szCs w:val="18"/>
              </w:rPr>
            </w:pPr>
            <w:r>
              <w:rPr>
                <w:rFonts w:hAnsi="宋体" w:cs="宋体" w:asciiTheme="minorHAnsi" w:eastAsiaTheme="minorEastAsia"/>
                <w:spacing w:val="-1"/>
                <w:sz w:val="18"/>
                <w:szCs w:val="18"/>
              </w:rPr>
              <w:t>表示专供残疾人使用的停车位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trPr>
        <w:tc>
          <w:tcPr>
            <w:tcW w:w="808" w:type="dxa"/>
            <w:vAlign w:val="center"/>
          </w:tcPr>
          <w:p>
            <w:pPr>
              <w:spacing w:before="59" w:line="240" w:lineRule="auto"/>
              <w:jc w:val="center"/>
              <w:rPr>
                <w:rFonts w:hAnsi="宋体" w:cs="宋体" w:asciiTheme="minorHAnsi" w:eastAsiaTheme="minorEastAsia"/>
                <w:sz w:val="18"/>
                <w:szCs w:val="18"/>
              </w:rPr>
            </w:pPr>
            <w:r>
              <w:rPr>
                <w:rFonts w:hAnsi="宋体" w:cs="宋体" w:asciiTheme="minorHAnsi" w:eastAsiaTheme="minorEastAsia"/>
                <w:spacing w:val="-12"/>
                <w:sz w:val="18"/>
                <w:szCs w:val="18"/>
              </w:rPr>
              <w:t>12</w:t>
            </w:r>
          </w:p>
        </w:tc>
        <w:tc>
          <w:tcPr>
            <w:tcW w:w="2769" w:type="dxa"/>
            <w:vAlign w:val="center"/>
          </w:tcPr>
          <w:p>
            <w:pPr>
              <w:adjustRightInd/>
              <w:spacing w:line="240" w:lineRule="auto"/>
              <w:jc w:val="center"/>
              <w:rPr>
                <w:rFonts w:ascii="Arial" w:hAnsi="Arial" w:eastAsia="Arial" w:cs="Arial"/>
                <w:lang w:eastAsia="en-US"/>
              </w:rPr>
            </w:pPr>
            <w:r>
              <w:rPr>
                <w:rFonts w:ascii="Arial" w:hAnsi="Arial" w:eastAsia="Arial" w:cs="Arial"/>
              </w:rPr>
              <w:drawing>
                <wp:anchor distT="0" distB="0" distL="0" distR="0" simplePos="0" relativeHeight="251663360" behindDoc="0" locked="0" layoutInCell="1" allowOverlap="1">
                  <wp:simplePos x="0" y="0"/>
                  <wp:positionH relativeFrom="rightMargin">
                    <wp:posOffset>-1269365</wp:posOffset>
                  </wp:positionH>
                  <wp:positionV relativeFrom="topMargin">
                    <wp:posOffset>116840</wp:posOffset>
                  </wp:positionV>
                  <wp:extent cx="766445" cy="765175"/>
                  <wp:effectExtent l="0" t="0" r="14605" b="15875"/>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7"/>
                          <a:stretch>
                            <a:fillRect/>
                          </a:stretch>
                        </pic:blipFill>
                        <pic:spPr>
                          <a:xfrm>
                            <a:off x="0" y="0"/>
                            <a:ext cx="766572" cy="765048"/>
                          </a:xfrm>
                          <a:prstGeom prst="rect">
                            <a:avLst/>
                          </a:prstGeom>
                        </pic:spPr>
                      </pic:pic>
                    </a:graphicData>
                  </a:graphic>
                </wp:anchor>
              </w:drawing>
            </w:r>
          </w:p>
        </w:tc>
        <w:tc>
          <w:tcPr>
            <w:tcW w:w="1537" w:type="dxa"/>
            <w:vAlign w:val="center"/>
          </w:tcPr>
          <w:p>
            <w:pPr>
              <w:spacing w:before="58" w:line="240" w:lineRule="auto"/>
              <w:jc w:val="center"/>
              <w:rPr>
                <w:rFonts w:hAnsi="宋体" w:cs="宋体" w:asciiTheme="minorHAnsi" w:eastAsiaTheme="minorEastAsia"/>
                <w:sz w:val="18"/>
                <w:szCs w:val="18"/>
              </w:rPr>
            </w:pPr>
            <w:r>
              <w:rPr>
                <w:rFonts w:hAnsi="宋体" w:cs="宋体" w:asciiTheme="minorHAnsi" w:eastAsiaTheme="minorEastAsia"/>
                <w:spacing w:val="-2"/>
                <w:sz w:val="18"/>
                <w:szCs w:val="18"/>
              </w:rPr>
              <w:t>充换电标志</w:t>
            </w:r>
          </w:p>
        </w:tc>
        <w:tc>
          <w:tcPr>
            <w:tcW w:w="4286" w:type="dxa"/>
            <w:vAlign w:val="center"/>
          </w:tcPr>
          <w:p>
            <w:pPr>
              <w:spacing w:before="59" w:line="240" w:lineRule="auto"/>
              <w:jc w:val="left"/>
              <w:rPr>
                <w:rFonts w:hAnsi="宋体" w:cs="宋体" w:asciiTheme="minorHAnsi" w:eastAsiaTheme="minorEastAsia"/>
                <w:sz w:val="18"/>
                <w:szCs w:val="18"/>
              </w:rPr>
            </w:pPr>
            <w:r>
              <w:rPr>
                <w:rFonts w:hAnsi="宋体" w:cs="宋体" w:asciiTheme="minorHAnsi" w:eastAsiaTheme="minorEastAsia"/>
                <w:spacing w:val="-1"/>
                <w:sz w:val="18"/>
                <w:szCs w:val="18"/>
              </w:rPr>
              <w:t>表示为电动汽车提供充换电服务的场所</w:t>
            </w:r>
          </w:p>
        </w:tc>
      </w:tr>
      <w:bookmarkEnd w:id="203"/>
    </w:tbl>
    <w:p>
      <w:pPr>
        <w:pStyle w:val="59"/>
        <w:ind w:firstLine="420"/>
      </w:pPr>
    </w:p>
    <w:p>
      <w:pPr>
        <w:pStyle w:val="59"/>
        <w:ind w:firstLine="420"/>
      </w:pPr>
    </w:p>
    <w:p>
      <w:pPr>
        <w:pStyle w:val="81"/>
        <w:spacing w:before="156" w:after="156"/>
      </w:pPr>
      <w:bookmarkStart w:id="204" w:name="_Toc195728812"/>
      <w:bookmarkStart w:id="205" w:name="_Toc194062245"/>
      <w:r>
        <w:rPr>
          <w:rFonts w:hint="eastAsia"/>
        </w:rPr>
        <w:t>消防安全标志图形</w:t>
      </w:r>
      <w:bookmarkEnd w:id="204"/>
      <w:bookmarkEnd w:id="205"/>
      <w:r>
        <w:rPr>
          <w:rFonts w:hint="eastAsia"/>
        </w:rPr>
        <w:t>参见表C.2。</w:t>
      </w:r>
    </w:p>
    <w:p>
      <w:pPr>
        <w:pStyle w:val="59"/>
        <w:ind w:firstLine="0" w:firstLineChars="0"/>
        <w:jc w:val="center"/>
        <w:rPr>
          <w:rFonts w:ascii="黑体" w:hAnsi="黑体" w:eastAsia="黑体"/>
        </w:rPr>
      </w:pPr>
    </w:p>
    <w:p>
      <w:pPr>
        <w:pStyle w:val="59"/>
        <w:ind w:firstLine="0" w:firstLineChars="0"/>
        <w:jc w:val="center"/>
        <w:rPr>
          <w:rFonts w:ascii="黑体" w:hAnsi="黑体" w:eastAsia="黑体"/>
        </w:rPr>
      </w:pPr>
      <w:r>
        <w:rPr>
          <w:rFonts w:hint="eastAsia" w:ascii="黑体" w:hAnsi="黑体" w:eastAsia="黑体"/>
        </w:rPr>
        <w:t>表C.2 消防安全标志图形</w:t>
      </w:r>
    </w:p>
    <w:p>
      <w:pPr>
        <w:pStyle w:val="59"/>
        <w:ind w:firstLine="420"/>
      </w:pPr>
    </w:p>
    <w:tbl>
      <w:tblPr>
        <w:tblStyle w:val="234"/>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2790"/>
        <w:gridCol w:w="1549"/>
        <w:gridCol w:w="43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815" w:type="dxa"/>
          </w:tcPr>
          <w:p>
            <w:pPr>
              <w:spacing w:before="68" w:line="720" w:lineRule="auto"/>
              <w:ind w:left="202"/>
              <w:rPr>
                <w:rFonts w:ascii="黑体" w:hAnsi="黑体" w:eastAsia="黑体" w:cs="黑体"/>
              </w:rPr>
            </w:pPr>
            <w:r>
              <w:rPr>
                <w:rFonts w:ascii="黑体" w:hAnsi="黑体" w:eastAsia="黑体" w:cs="黑体"/>
                <w:spacing w:val="-2"/>
              </w:rPr>
              <w:t>序号</w:t>
            </w:r>
          </w:p>
        </w:tc>
        <w:tc>
          <w:tcPr>
            <w:tcW w:w="2790" w:type="dxa"/>
          </w:tcPr>
          <w:p>
            <w:pPr>
              <w:spacing w:before="68" w:line="720" w:lineRule="auto"/>
              <w:jc w:val="center"/>
              <w:rPr>
                <w:rFonts w:ascii="黑体" w:hAnsi="黑体" w:eastAsia="黑体" w:cs="黑体"/>
              </w:rPr>
            </w:pPr>
            <w:r>
              <w:rPr>
                <w:rFonts w:ascii="黑体" w:hAnsi="黑体" w:eastAsia="黑体" w:cs="黑体"/>
                <w:spacing w:val="-5"/>
              </w:rPr>
              <w:t>图形符号</w:t>
            </w:r>
          </w:p>
        </w:tc>
        <w:tc>
          <w:tcPr>
            <w:tcW w:w="1549" w:type="dxa"/>
          </w:tcPr>
          <w:p>
            <w:pPr>
              <w:spacing w:before="68" w:line="720" w:lineRule="auto"/>
              <w:jc w:val="center"/>
              <w:rPr>
                <w:rFonts w:ascii="黑体" w:hAnsi="黑体" w:eastAsia="黑体" w:cs="黑体"/>
              </w:rPr>
            </w:pPr>
            <w:r>
              <w:rPr>
                <w:rFonts w:ascii="黑体" w:hAnsi="黑体" w:eastAsia="黑体" w:cs="黑体"/>
                <w:spacing w:val="-2"/>
              </w:rPr>
              <w:t>名称</w:t>
            </w:r>
          </w:p>
        </w:tc>
        <w:tc>
          <w:tcPr>
            <w:tcW w:w="4318" w:type="dxa"/>
          </w:tcPr>
          <w:p>
            <w:pPr>
              <w:spacing w:before="68" w:line="720" w:lineRule="auto"/>
              <w:jc w:val="center"/>
              <w:rPr>
                <w:rFonts w:ascii="黑体" w:hAnsi="黑体" w:eastAsia="黑体" w:cs="黑体"/>
              </w:rPr>
            </w:pPr>
            <w:r>
              <w:rPr>
                <w:rFonts w:ascii="黑体" w:hAnsi="黑体" w:eastAsia="黑体" w:cs="黑体"/>
                <w:spacing w:val="-3"/>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15" w:type="dxa"/>
            <w:vAlign w:val="center"/>
          </w:tcPr>
          <w:p>
            <w:pPr>
              <w:spacing w:before="55" w:line="178" w:lineRule="auto"/>
              <w:ind w:left="375"/>
              <w:rPr>
                <w:rFonts w:eastAsia="Calibri" w:cs="Calibri" w:asciiTheme="minorHAnsi" w:hAnsiTheme="minorHAnsi"/>
                <w:sz w:val="18"/>
                <w:szCs w:val="18"/>
              </w:rPr>
            </w:pPr>
            <w:r>
              <w:rPr>
                <w:rFonts w:eastAsia="Calibri" w:cs="Calibri" w:asciiTheme="minorHAnsi" w:hAnsiTheme="minorHAnsi"/>
                <w:sz w:val="18"/>
                <w:szCs w:val="18"/>
              </w:rPr>
              <w:t>1</w:t>
            </w:r>
          </w:p>
        </w:tc>
        <w:tc>
          <w:tcPr>
            <w:tcW w:w="2790" w:type="dxa"/>
          </w:tcPr>
          <w:p>
            <w:pPr>
              <w:spacing w:before="132" w:line="1298" w:lineRule="exact"/>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2576" behindDoc="1" locked="0" layoutInCell="1" allowOverlap="1">
                  <wp:simplePos x="0" y="0"/>
                  <wp:positionH relativeFrom="column">
                    <wp:posOffset>497840</wp:posOffset>
                  </wp:positionH>
                  <wp:positionV relativeFrom="paragraph">
                    <wp:posOffset>88900</wp:posOffset>
                  </wp:positionV>
                  <wp:extent cx="812800" cy="824230"/>
                  <wp:effectExtent l="0" t="0" r="6985" b="0"/>
                  <wp:wrapTight wrapText="bothSides">
                    <wp:wrapPolygon>
                      <wp:start x="0" y="0"/>
                      <wp:lineTo x="0" y="20968"/>
                      <wp:lineTo x="21279" y="20968"/>
                      <wp:lineTo x="21279" y="0"/>
                      <wp:lineTo x="0" y="0"/>
                    </wp:wrapPolygon>
                  </wp:wrapTight>
                  <wp:docPr id="635535255"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5535255" name="图片 17"/>
                          <pic:cNvPicPr>
                            <a:picLocks noChangeAspect="true" noChangeArrowheads="true"/>
                          </pic:cNvPicPr>
                        </pic:nvPicPr>
                        <pic:blipFill>
                          <a:blip r:embed="rId58">
                            <a:extLst>
                              <a:ext uri="{28A0092B-C50C-407E-A947-70E740481C1C}">
                                <a14:useLocalDpi xmlns:a14="http://schemas.microsoft.com/office/drawing/2010/main" val="false"/>
                              </a:ext>
                            </a:extLst>
                          </a:blip>
                          <a:srcRect/>
                          <a:stretch>
                            <a:fillRect/>
                          </a:stretch>
                        </pic:blipFill>
                        <pic:spPr>
                          <a:xfrm>
                            <a:off x="0" y="0"/>
                            <a:ext cx="812763" cy="824400"/>
                          </a:xfrm>
                          <a:prstGeom prst="rect">
                            <a:avLst/>
                          </a:prstGeom>
                          <a:noFill/>
                          <a:ln>
                            <a:noFill/>
                          </a:ln>
                        </pic:spPr>
                      </pic:pic>
                    </a:graphicData>
                  </a:graphic>
                </wp:anchor>
              </w:drawing>
            </w:r>
          </w:p>
        </w:tc>
        <w:tc>
          <w:tcPr>
            <w:tcW w:w="1549" w:type="dxa"/>
            <w:vAlign w:val="center"/>
          </w:tcPr>
          <w:p>
            <w:pPr>
              <w:spacing w:before="59" w:line="220" w:lineRule="auto"/>
              <w:ind w:left="420"/>
              <w:rPr>
                <w:rFonts w:hAnsi="宋体" w:cs="宋体" w:asciiTheme="minorHAnsi" w:eastAsiaTheme="minorEastAsia"/>
                <w:sz w:val="18"/>
                <w:szCs w:val="18"/>
              </w:rPr>
            </w:pPr>
            <w:r>
              <w:rPr>
                <w:rFonts w:hAnsi="宋体" w:cs="宋体" w:asciiTheme="minorHAnsi" w:eastAsiaTheme="minorEastAsia"/>
                <w:spacing w:val="-3"/>
                <w:sz w:val="18"/>
                <w:szCs w:val="18"/>
              </w:rPr>
              <w:t>消防按钮</w:t>
            </w:r>
          </w:p>
        </w:tc>
        <w:tc>
          <w:tcPr>
            <w:tcW w:w="4318" w:type="dxa"/>
            <w:vAlign w:val="center"/>
          </w:tcPr>
          <w:p>
            <w:pPr>
              <w:spacing w:before="59" w:line="220" w:lineRule="auto"/>
              <w:ind w:left="63"/>
              <w:rPr>
                <w:rFonts w:hAnsi="宋体" w:cs="宋体" w:asciiTheme="minorHAnsi" w:eastAsiaTheme="minorEastAsia"/>
                <w:sz w:val="18"/>
                <w:szCs w:val="18"/>
              </w:rPr>
            </w:pPr>
            <w:r>
              <w:rPr>
                <w:rFonts w:hAnsi="宋体" w:cs="宋体" w:asciiTheme="minorHAnsi" w:eastAsiaTheme="minorEastAsia"/>
                <w:spacing w:val="-1"/>
                <w:sz w:val="18"/>
                <w:szCs w:val="18"/>
              </w:rPr>
              <w:t>标示火灾报警按钮和消防设备启动按钮的位置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815" w:type="dxa"/>
            <w:vAlign w:val="center"/>
          </w:tcPr>
          <w:p>
            <w:pPr>
              <w:spacing w:before="55" w:line="179" w:lineRule="auto"/>
              <w:ind w:left="369"/>
              <w:rPr>
                <w:rFonts w:eastAsia="Calibri" w:cs="Calibri" w:asciiTheme="minorHAnsi" w:hAnsiTheme="minorHAnsi"/>
                <w:sz w:val="18"/>
                <w:szCs w:val="18"/>
              </w:rPr>
            </w:pPr>
            <w:r>
              <w:rPr>
                <w:rFonts w:eastAsia="Calibri" w:cs="Calibri" w:asciiTheme="minorHAnsi" w:hAnsiTheme="minorHAnsi"/>
                <w:sz w:val="18"/>
                <w:szCs w:val="18"/>
              </w:rPr>
              <w:t>2</w:t>
            </w:r>
          </w:p>
        </w:tc>
        <w:tc>
          <w:tcPr>
            <w:tcW w:w="2790" w:type="dxa"/>
          </w:tcPr>
          <w:p>
            <w:pPr>
              <w:spacing w:before="150" w:line="1269" w:lineRule="exact"/>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3600" behindDoc="1" locked="0" layoutInCell="1" allowOverlap="1">
                  <wp:simplePos x="0" y="0"/>
                  <wp:positionH relativeFrom="column">
                    <wp:posOffset>473075</wp:posOffset>
                  </wp:positionH>
                  <wp:positionV relativeFrom="paragraph">
                    <wp:posOffset>99060</wp:posOffset>
                  </wp:positionV>
                  <wp:extent cx="817245" cy="817245"/>
                  <wp:effectExtent l="0" t="0" r="2540" b="2540"/>
                  <wp:wrapTight wrapText="bothSides">
                    <wp:wrapPolygon>
                      <wp:start x="0" y="0"/>
                      <wp:lineTo x="0" y="21163"/>
                      <wp:lineTo x="21163" y="21163"/>
                      <wp:lineTo x="21163" y="0"/>
                      <wp:lineTo x="0" y="0"/>
                    </wp:wrapPolygon>
                  </wp:wrapTight>
                  <wp:docPr id="695812716"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5812716" name="图片 18"/>
                          <pic:cNvPicPr>
                            <a:picLocks noChangeAspect="true" noChangeArrowheads="true"/>
                          </pic:cNvPicPr>
                        </pic:nvPicPr>
                        <pic:blipFill>
                          <a:blip r:embed="rId59">
                            <a:extLst>
                              <a:ext uri="{28A0092B-C50C-407E-A947-70E740481C1C}">
                                <a14:useLocalDpi xmlns:a14="http://schemas.microsoft.com/office/drawing/2010/main" val="false"/>
                              </a:ext>
                            </a:extLst>
                          </a:blip>
                          <a:srcRect/>
                          <a:stretch>
                            <a:fillRect/>
                          </a:stretch>
                        </pic:blipFill>
                        <pic:spPr>
                          <a:xfrm>
                            <a:off x="0" y="0"/>
                            <a:ext cx="817200" cy="817200"/>
                          </a:xfrm>
                          <a:prstGeom prst="rect">
                            <a:avLst/>
                          </a:prstGeom>
                          <a:noFill/>
                          <a:ln>
                            <a:noFill/>
                          </a:ln>
                        </pic:spPr>
                      </pic:pic>
                    </a:graphicData>
                  </a:graphic>
                </wp:anchor>
              </w:drawing>
            </w:r>
          </w:p>
        </w:tc>
        <w:tc>
          <w:tcPr>
            <w:tcW w:w="1549" w:type="dxa"/>
            <w:vAlign w:val="center"/>
          </w:tcPr>
          <w:p>
            <w:pPr>
              <w:spacing w:before="59" w:line="220" w:lineRule="auto"/>
              <w:ind w:left="237"/>
              <w:rPr>
                <w:rFonts w:hAnsi="宋体" w:cs="宋体" w:asciiTheme="minorHAnsi" w:eastAsiaTheme="minorEastAsia"/>
                <w:sz w:val="18"/>
                <w:szCs w:val="18"/>
              </w:rPr>
            </w:pPr>
            <w:r>
              <w:rPr>
                <w:rFonts w:hAnsi="宋体" w:cs="宋体" w:asciiTheme="minorHAnsi" w:eastAsiaTheme="minorEastAsia"/>
                <w:spacing w:val="-2"/>
                <w:sz w:val="18"/>
                <w:szCs w:val="18"/>
              </w:rPr>
              <w:t>手提式灭火器</w:t>
            </w:r>
          </w:p>
        </w:tc>
        <w:tc>
          <w:tcPr>
            <w:tcW w:w="4318" w:type="dxa"/>
            <w:vAlign w:val="center"/>
          </w:tcPr>
          <w:p>
            <w:pPr>
              <w:spacing w:before="59" w:line="220" w:lineRule="auto"/>
              <w:ind w:left="63"/>
              <w:rPr>
                <w:rFonts w:hAnsi="宋体" w:cs="宋体" w:asciiTheme="minorHAnsi" w:eastAsiaTheme="minorEastAsia"/>
                <w:sz w:val="18"/>
                <w:szCs w:val="18"/>
              </w:rPr>
            </w:pPr>
            <w:r>
              <w:rPr>
                <w:rFonts w:hAnsi="宋体" w:cs="宋体" w:asciiTheme="minorHAnsi" w:eastAsiaTheme="minorEastAsia"/>
                <w:spacing w:val="-1"/>
                <w:sz w:val="18"/>
                <w:szCs w:val="18"/>
              </w:rPr>
              <w:t>标示手提式灭火器的位置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815" w:type="dxa"/>
            <w:vAlign w:val="center"/>
          </w:tcPr>
          <w:p>
            <w:pPr>
              <w:spacing w:before="55" w:line="178" w:lineRule="auto"/>
              <w:ind w:left="368"/>
              <w:rPr>
                <w:rFonts w:eastAsia="Calibri" w:cs="Calibri" w:asciiTheme="minorHAnsi" w:hAnsiTheme="minorHAnsi"/>
                <w:sz w:val="18"/>
                <w:szCs w:val="18"/>
              </w:rPr>
            </w:pPr>
            <w:r>
              <w:rPr>
                <w:rFonts w:eastAsia="Calibri" w:cs="Calibri" w:asciiTheme="minorHAnsi" w:hAnsiTheme="minorHAnsi"/>
                <w:sz w:val="18"/>
                <w:szCs w:val="18"/>
              </w:rPr>
              <w:t>3</w:t>
            </w:r>
          </w:p>
        </w:tc>
        <w:tc>
          <w:tcPr>
            <w:tcW w:w="2790" w:type="dxa"/>
          </w:tcPr>
          <w:p>
            <w:pPr>
              <w:spacing w:before="107" w:line="1351" w:lineRule="exact"/>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4624" behindDoc="1" locked="0" layoutInCell="1" allowOverlap="1">
                  <wp:simplePos x="0" y="0"/>
                  <wp:positionH relativeFrom="column">
                    <wp:posOffset>448945</wp:posOffset>
                  </wp:positionH>
                  <wp:positionV relativeFrom="paragraph">
                    <wp:posOffset>84455</wp:posOffset>
                  </wp:positionV>
                  <wp:extent cx="861695" cy="856615"/>
                  <wp:effectExtent l="0" t="0" r="0" b="635"/>
                  <wp:wrapTight wrapText="bothSides">
                    <wp:wrapPolygon>
                      <wp:start x="0" y="0"/>
                      <wp:lineTo x="0" y="21136"/>
                      <wp:lineTo x="21011" y="21136"/>
                      <wp:lineTo x="21011" y="0"/>
                      <wp:lineTo x="0" y="0"/>
                    </wp:wrapPolygon>
                  </wp:wrapTight>
                  <wp:docPr id="1117413591"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7413591" name="图片 19"/>
                          <pic:cNvPicPr>
                            <a:picLocks noChangeAspect="true" noChangeArrowheads="true"/>
                          </pic:cNvPicPr>
                        </pic:nvPicPr>
                        <pic:blipFill>
                          <a:blip r:embed="rId60">
                            <a:extLst>
                              <a:ext uri="{28A0092B-C50C-407E-A947-70E740481C1C}">
                                <a14:useLocalDpi xmlns:a14="http://schemas.microsoft.com/office/drawing/2010/main" val="false"/>
                              </a:ext>
                            </a:extLst>
                          </a:blip>
                          <a:srcRect/>
                          <a:stretch>
                            <a:fillRect/>
                          </a:stretch>
                        </pic:blipFill>
                        <pic:spPr>
                          <a:xfrm>
                            <a:off x="0" y="0"/>
                            <a:ext cx="861811" cy="856800"/>
                          </a:xfrm>
                          <a:prstGeom prst="rect">
                            <a:avLst/>
                          </a:prstGeom>
                          <a:noFill/>
                          <a:ln>
                            <a:noFill/>
                          </a:ln>
                        </pic:spPr>
                      </pic:pic>
                    </a:graphicData>
                  </a:graphic>
                </wp:anchor>
              </w:drawing>
            </w:r>
          </w:p>
        </w:tc>
        <w:tc>
          <w:tcPr>
            <w:tcW w:w="1549" w:type="dxa"/>
            <w:vAlign w:val="center"/>
          </w:tcPr>
          <w:p>
            <w:pPr>
              <w:spacing w:before="59" w:line="221" w:lineRule="auto"/>
              <w:ind w:left="240"/>
              <w:rPr>
                <w:rFonts w:hAnsi="宋体" w:cs="宋体" w:asciiTheme="minorHAnsi" w:eastAsiaTheme="minorEastAsia"/>
                <w:sz w:val="18"/>
                <w:szCs w:val="18"/>
              </w:rPr>
            </w:pPr>
            <w:r>
              <w:rPr>
                <w:rFonts w:hAnsi="宋体" w:cs="宋体" w:asciiTheme="minorHAnsi" w:eastAsiaTheme="minorEastAsia"/>
                <w:spacing w:val="-2"/>
                <w:sz w:val="18"/>
                <w:szCs w:val="18"/>
              </w:rPr>
              <w:t>安全出口标志</w:t>
            </w:r>
          </w:p>
        </w:tc>
        <w:tc>
          <w:tcPr>
            <w:tcW w:w="4318" w:type="dxa"/>
            <w:vAlign w:val="center"/>
          </w:tcPr>
          <w:p>
            <w:pPr>
              <w:spacing w:before="58" w:line="220" w:lineRule="auto"/>
              <w:ind w:left="63"/>
              <w:rPr>
                <w:rFonts w:hAnsi="宋体" w:cs="宋体" w:asciiTheme="minorHAnsi" w:eastAsiaTheme="minorEastAsia"/>
                <w:sz w:val="18"/>
                <w:szCs w:val="18"/>
              </w:rPr>
            </w:pPr>
            <w:r>
              <w:rPr>
                <w:rFonts w:hAnsi="宋体" w:cs="宋体" w:asciiTheme="minorHAnsi" w:eastAsiaTheme="minorEastAsia"/>
                <w:spacing w:val="-1"/>
                <w:sz w:val="18"/>
                <w:szCs w:val="18"/>
              </w:rPr>
              <w:t>提示通往安场所的疏散出口</w:t>
            </w:r>
          </w:p>
          <w:p>
            <w:pPr>
              <w:spacing w:before="97" w:line="220" w:lineRule="auto"/>
              <w:ind w:left="63"/>
              <w:rPr>
                <w:rFonts w:hAnsi="宋体" w:cs="宋体" w:asciiTheme="minorHAnsi" w:eastAsiaTheme="minorEastAsia"/>
                <w:sz w:val="18"/>
                <w:szCs w:val="18"/>
              </w:rPr>
            </w:pPr>
            <w:r>
              <w:rPr>
                <w:rFonts w:hAnsi="宋体" w:cs="宋体" w:asciiTheme="minorHAnsi" w:eastAsiaTheme="minorEastAsia"/>
                <w:spacing w:val="-1"/>
                <w:sz w:val="18"/>
                <w:szCs w:val="18"/>
              </w:rPr>
              <w:t>根据到达出口的方向，可选用向左或向右的标志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15" w:type="dxa"/>
            <w:vAlign w:val="center"/>
          </w:tcPr>
          <w:p>
            <w:pPr>
              <w:spacing w:before="55" w:line="177" w:lineRule="auto"/>
              <w:ind w:left="363"/>
              <w:rPr>
                <w:rFonts w:eastAsia="Calibri" w:cs="Calibri" w:asciiTheme="minorHAnsi" w:hAnsiTheme="minorHAnsi"/>
                <w:sz w:val="18"/>
                <w:szCs w:val="18"/>
              </w:rPr>
            </w:pPr>
            <w:r>
              <w:rPr>
                <w:rFonts w:eastAsia="Calibri" w:cs="Calibri" w:asciiTheme="minorHAnsi" w:hAnsiTheme="minorHAnsi"/>
                <w:sz w:val="18"/>
                <w:szCs w:val="18"/>
              </w:rPr>
              <w:t>4</w:t>
            </w:r>
          </w:p>
        </w:tc>
        <w:tc>
          <w:tcPr>
            <w:tcW w:w="2790" w:type="dxa"/>
          </w:tcPr>
          <w:p>
            <w:pPr>
              <w:spacing w:before="108" w:line="1351" w:lineRule="exact"/>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5648" behindDoc="1" locked="0" layoutInCell="1" allowOverlap="1">
                  <wp:simplePos x="0" y="0"/>
                  <wp:positionH relativeFrom="column">
                    <wp:posOffset>434975</wp:posOffset>
                  </wp:positionH>
                  <wp:positionV relativeFrom="paragraph">
                    <wp:posOffset>85725</wp:posOffset>
                  </wp:positionV>
                  <wp:extent cx="876300" cy="849630"/>
                  <wp:effectExtent l="0" t="0" r="0" b="8255"/>
                  <wp:wrapTight wrapText="bothSides">
                    <wp:wrapPolygon>
                      <wp:start x="0" y="0"/>
                      <wp:lineTo x="0" y="21325"/>
                      <wp:lineTo x="21130" y="21325"/>
                      <wp:lineTo x="21130" y="0"/>
                      <wp:lineTo x="0" y="0"/>
                    </wp:wrapPolygon>
                  </wp:wrapTight>
                  <wp:docPr id="665888346"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5888346" name="图片 20"/>
                          <pic:cNvPicPr>
                            <a:picLocks noChangeAspect="true" noChangeArrowheads="true"/>
                          </pic:cNvPicPr>
                        </pic:nvPicPr>
                        <pic:blipFill>
                          <a:blip r:embed="rId61">
                            <a:extLst>
                              <a:ext uri="{28A0092B-C50C-407E-A947-70E740481C1C}">
                                <a14:useLocalDpi xmlns:a14="http://schemas.microsoft.com/office/drawing/2010/main" val="false"/>
                              </a:ext>
                            </a:extLst>
                          </a:blip>
                          <a:srcRect/>
                          <a:stretch>
                            <a:fillRect/>
                          </a:stretch>
                        </pic:blipFill>
                        <pic:spPr>
                          <a:xfrm>
                            <a:off x="0" y="0"/>
                            <a:ext cx="876438" cy="849600"/>
                          </a:xfrm>
                          <a:prstGeom prst="rect">
                            <a:avLst/>
                          </a:prstGeom>
                          <a:noFill/>
                          <a:ln>
                            <a:noFill/>
                          </a:ln>
                        </pic:spPr>
                      </pic:pic>
                    </a:graphicData>
                  </a:graphic>
                </wp:anchor>
              </w:drawing>
            </w:r>
          </w:p>
        </w:tc>
        <w:tc>
          <w:tcPr>
            <w:tcW w:w="1549" w:type="dxa"/>
          </w:tcPr>
          <w:p>
            <w:pPr>
              <w:adjustRightInd/>
              <w:spacing w:line="240" w:lineRule="auto"/>
              <w:rPr>
                <w:rFonts w:ascii="Arial" w:hAnsi="Arial" w:eastAsia="Arial" w:cs="Arial"/>
                <w:lang w:eastAsia="en-US"/>
              </w:rPr>
            </w:pPr>
            <w:r>
              <w:rPr>
                <w:rFonts w:ascii="Arial" w:hAnsi="Arial" w:eastAsia="Arial" w:cs="Arial"/>
              </w:rPr>
              <mc:AlternateContent>
                <mc:Choice Requires="wps">
                  <w:drawing>
                    <wp:anchor distT="0" distB="0" distL="114300" distR="114300" simplePos="0" relativeHeight="251666432" behindDoc="0" locked="0" layoutInCell="1" allowOverlap="1">
                      <wp:simplePos x="0" y="0"/>
                      <wp:positionH relativeFrom="page">
                        <wp:posOffset>139065</wp:posOffset>
                      </wp:positionH>
                      <wp:positionV relativeFrom="page">
                        <wp:posOffset>432435</wp:posOffset>
                      </wp:positionV>
                      <wp:extent cx="706755" cy="33909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706755" cy="339213"/>
                              </a:xfrm>
                              <a:prstGeom prst="rect">
                                <a:avLst/>
                              </a:prstGeom>
                              <a:noFill/>
                              <a:ln>
                                <a:noFill/>
                              </a:ln>
                            </wps:spPr>
                            <wps:txbx>
                              <w:txbxContent>
                                <w:p>
                                  <w:pPr>
                                    <w:spacing w:before="20" w:line="220" w:lineRule="auto"/>
                                    <w:ind w:left="20"/>
                                    <w:rPr>
                                      <w:rFonts w:ascii="宋体" w:hAnsi="宋体" w:cs="宋体"/>
                                      <w:sz w:val="18"/>
                                      <w:szCs w:val="18"/>
                                    </w:rPr>
                                  </w:pPr>
                                  <w:r>
                                    <w:rPr>
                                      <w:rFonts w:ascii="宋体" w:hAnsi="宋体" w:cs="宋体"/>
                                      <w:spacing w:val="-2"/>
                                      <w:sz w:val="18"/>
                                      <w:szCs w:val="18"/>
                                    </w:rPr>
                                    <w:t>禁止吸烟标志</w:t>
                                  </w:r>
                                </w:p>
                              </w:txbxContent>
                            </wps:txbx>
                            <wps:bodyPr lIns="0" tIns="0" rIns="0" bIns="0" upright="true">
                              <a:noAutofit/>
                            </wps:bodyPr>
                          </wps:wsp>
                        </a:graphicData>
                      </a:graphic>
                    </wp:anchor>
                  </w:drawing>
                </mc:Choice>
                <mc:Fallback>
                  <w:pict>
                    <v:shape id="_x0000_s1026" o:spid="_x0000_s1026" o:spt="202" type="#_x0000_t202" style="position:absolute;left:0pt;margin-left:10.95pt;margin-top:34.05pt;height:26.7pt;width:55.65pt;mso-position-horizontal-relative:page;mso-position-vertical-relative:page;z-index:251666432;mso-width-relative:page;mso-height-relative:page;" filled="f" stroked="f" coordsize="21600,21600" o:gfxdata="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Gifl5DYAAAACQEAAA8AAAAAAAAAAQAgAAAAOAAAAGRycy9kb3ducmV2&#10;LnhtbFBLAQIUABQAAAAIAIdO4kCks8oYrQEAAEMDAAAOAAAAAAAAAAEAIAAAAD0BAABkcnMvZTJv&#10;RG9jLnhtbFBLBQYAAAAABgAGAFkBAABcBQAAAAA=&#10;">
                      <v:fill on="f" focussize="0,0"/>
                      <v:stroke on="f"/>
                      <v:imagedata o:title=""/>
                      <o:lock v:ext="edit" aspectratio="f"/>
                      <v:textbox inset="0mm,0mm,0mm,0mm">
                        <w:txbxContent>
                          <w:p>
                            <w:pPr>
                              <w:spacing w:before="20" w:line="220" w:lineRule="auto"/>
                              <w:ind w:left="20"/>
                              <w:rPr>
                                <w:rFonts w:ascii="宋体" w:hAnsi="宋体" w:cs="宋体"/>
                                <w:sz w:val="18"/>
                                <w:szCs w:val="18"/>
                              </w:rPr>
                            </w:pPr>
                            <w:r>
                              <w:rPr>
                                <w:rFonts w:ascii="宋体" w:hAnsi="宋体" w:cs="宋体"/>
                                <w:spacing w:val="-2"/>
                                <w:sz w:val="18"/>
                                <w:szCs w:val="18"/>
                              </w:rPr>
                              <w:t>禁止吸烟标志</w:t>
                            </w:r>
                          </w:p>
                        </w:txbxContent>
                      </v:textbox>
                    </v:shape>
                  </w:pict>
                </mc:Fallback>
              </mc:AlternateContent>
            </w:r>
          </w:p>
        </w:tc>
        <w:tc>
          <w:tcPr>
            <w:tcW w:w="4318" w:type="dxa"/>
          </w:tcPr>
          <w:p>
            <w:pPr>
              <w:adjustRightInd/>
              <w:spacing w:line="240" w:lineRule="auto"/>
              <w:rPr>
                <w:rFonts w:ascii="Arial" w:hAnsi="Arial" w:eastAsia="Arial" w:cs="Arial"/>
                <w:lang w:eastAsia="en-US"/>
              </w:rPr>
            </w:pPr>
            <w:r>
              <w:rPr>
                <w:rFonts w:ascii="Arial" w:hAnsi="Arial" w:eastAsia="Arial" w:cs="Arial"/>
              </w:rPr>
              <mc:AlternateContent>
                <mc:Choice Requires="wps">
                  <w:drawing>
                    <wp:anchor distT="0" distB="0" distL="114300" distR="114300" simplePos="0" relativeHeight="251669504" behindDoc="0" locked="0" layoutInCell="1" allowOverlap="1">
                      <wp:simplePos x="0" y="0"/>
                      <wp:positionH relativeFrom="page">
                        <wp:posOffset>25400</wp:posOffset>
                      </wp:positionH>
                      <wp:positionV relativeFrom="page">
                        <wp:posOffset>432435</wp:posOffset>
                      </wp:positionV>
                      <wp:extent cx="707390" cy="287655"/>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707390" cy="287593"/>
                              </a:xfrm>
                              <a:prstGeom prst="rect">
                                <a:avLst/>
                              </a:prstGeom>
                              <a:noFill/>
                              <a:ln>
                                <a:noFill/>
                              </a:ln>
                            </wps:spPr>
                            <wps:txbx>
                              <w:txbxContent>
                                <w:p>
                                  <w:pPr>
                                    <w:spacing w:before="20" w:line="220" w:lineRule="auto"/>
                                    <w:ind w:left="20"/>
                                    <w:rPr>
                                      <w:rFonts w:ascii="宋体" w:hAnsi="宋体" w:cs="宋体"/>
                                      <w:sz w:val="18"/>
                                      <w:szCs w:val="18"/>
                                    </w:rPr>
                                  </w:pPr>
                                  <w:r>
                                    <w:rPr>
                                      <w:rFonts w:ascii="宋体" w:hAnsi="宋体" w:cs="宋体"/>
                                      <w:spacing w:val="-2"/>
                                      <w:sz w:val="18"/>
                                      <w:szCs w:val="18"/>
                                    </w:rPr>
                                    <w:t>表示禁止吸烟</w:t>
                                  </w:r>
                                </w:p>
                              </w:txbxContent>
                            </wps:txbx>
                            <wps:bodyPr lIns="0" tIns="0" rIns="0" bIns="0" upright="true">
                              <a:noAutofit/>
                            </wps:bodyPr>
                          </wps:wsp>
                        </a:graphicData>
                      </a:graphic>
                    </wp:anchor>
                  </w:drawing>
                </mc:Choice>
                <mc:Fallback>
                  <w:pict>
                    <v:shape id="_x0000_s1026" o:spid="_x0000_s1026" o:spt="202" type="#_x0000_t202" style="position:absolute;left:0pt;margin-left:2pt;margin-top:34.05pt;height:22.65pt;width:55.7pt;mso-position-horizontal-relative:page;mso-position-vertical-relative:page;z-index:251669504;mso-width-relative:page;mso-height-relative:page;" filled="f" stroked="f" coordsize="21600,21600" o:gfxdata="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Aa41yy1wAAAAgBAAAPAAAAAAAAAAEAIAAAADgAAABkcnMvZG93bnJldi54&#10;bWxQSwECFAAUAAAACACHTuJAAn4evKwBAABDAwAADgAAAAAAAAABACAAAAA8AQAAZHJzL2Uyb0Rv&#10;Yy54bWxQSwUGAAAAAAYABgBZAQAAWgUAAAAA&#10;">
                      <v:fill on="f" focussize="0,0"/>
                      <v:stroke on="f"/>
                      <v:imagedata o:title=""/>
                      <o:lock v:ext="edit" aspectratio="f"/>
                      <v:textbox inset="0mm,0mm,0mm,0mm">
                        <w:txbxContent>
                          <w:p>
                            <w:pPr>
                              <w:spacing w:before="20" w:line="220" w:lineRule="auto"/>
                              <w:ind w:left="20"/>
                              <w:rPr>
                                <w:rFonts w:ascii="宋体" w:hAnsi="宋体" w:cs="宋体"/>
                                <w:sz w:val="18"/>
                                <w:szCs w:val="18"/>
                              </w:rPr>
                            </w:pPr>
                            <w:r>
                              <w:rPr>
                                <w:rFonts w:ascii="宋体" w:hAnsi="宋体" w:cs="宋体"/>
                                <w:spacing w:val="-2"/>
                                <w:sz w:val="18"/>
                                <w:szCs w:val="18"/>
                              </w:rPr>
                              <w:t>表示禁止吸烟</w:t>
                            </w:r>
                          </w:p>
                        </w:txbxContent>
                      </v:textbox>
                    </v:shape>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815" w:type="dxa"/>
            <w:vAlign w:val="center"/>
          </w:tcPr>
          <w:p>
            <w:pPr>
              <w:spacing w:before="55" w:line="176" w:lineRule="auto"/>
              <w:ind w:left="368"/>
              <w:rPr>
                <w:rFonts w:eastAsia="Calibri" w:cs="Calibri" w:asciiTheme="minorHAnsi" w:hAnsiTheme="minorHAnsi"/>
                <w:sz w:val="18"/>
                <w:szCs w:val="18"/>
              </w:rPr>
            </w:pPr>
            <w:r>
              <w:rPr>
                <w:rFonts w:eastAsia="Calibri" w:cs="Calibri" w:asciiTheme="minorHAnsi" w:hAnsiTheme="minorHAnsi"/>
                <w:sz w:val="18"/>
                <w:szCs w:val="18"/>
              </w:rPr>
              <w:t>5</w:t>
            </w:r>
          </w:p>
        </w:tc>
        <w:tc>
          <w:tcPr>
            <w:tcW w:w="2790" w:type="dxa"/>
          </w:tcPr>
          <w:p>
            <w:pPr>
              <w:spacing w:before="118" w:line="1340" w:lineRule="exact"/>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6672" behindDoc="1" locked="0" layoutInCell="1" allowOverlap="1">
                  <wp:simplePos x="0" y="0"/>
                  <wp:positionH relativeFrom="column">
                    <wp:posOffset>446405</wp:posOffset>
                  </wp:positionH>
                  <wp:positionV relativeFrom="paragraph">
                    <wp:posOffset>67310</wp:posOffset>
                  </wp:positionV>
                  <wp:extent cx="859790" cy="849630"/>
                  <wp:effectExtent l="0" t="0" r="0" b="8255"/>
                  <wp:wrapTight wrapText="bothSides">
                    <wp:wrapPolygon>
                      <wp:start x="0" y="0"/>
                      <wp:lineTo x="0" y="21325"/>
                      <wp:lineTo x="21073" y="21325"/>
                      <wp:lineTo x="21073" y="0"/>
                      <wp:lineTo x="0" y="0"/>
                    </wp:wrapPolygon>
                  </wp:wrapTight>
                  <wp:docPr id="1847133536"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7133536" name="图片 21"/>
                          <pic:cNvPicPr>
                            <a:picLocks noChangeAspect="true" noChangeArrowheads="true"/>
                          </pic:cNvPicPr>
                        </pic:nvPicPr>
                        <pic:blipFill>
                          <a:blip r:embed="rId62">
                            <a:extLst>
                              <a:ext uri="{28A0092B-C50C-407E-A947-70E740481C1C}">
                                <a14:useLocalDpi xmlns:a14="http://schemas.microsoft.com/office/drawing/2010/main" val="false"/>
                              </a:ext>
                            </a:extLst>
                          </a:blip>
                          <a:srcRect/>
                          <a:stretch>
                            <a:fillRect/>
                          </a:stretch>
                        </pic:blipFill>
                        <pic:spPr>
                          <a:xfrm>
                            <a:off x="0" y="0"/>
                            <a:ext cx="859521" cy="849600"/>
                          </a:xfrm>
                          <a:prstGeom prst="rect">
                            <a:avLst/>
                          </a:prstGeom>
                          <a:noFill/>
                          <a:ln>
                            <a:noFill/>
                          </a:ln>
                        </pic:spPr>
                      </pic:pic>
                    </a:graphicData>
                  </a:graphic>
                </wp:anchor>
              </w:drawing>
            </w:r>
          </w:p>
        </w:tc>
        <w:tc>
          <w:tcPr>
            <w:tcW w:w="1549" w:type="dxa"/>
          </w:tcPr>
          <w:p>
            <w:pPr>
              <w:adjustRightInd/>
              <w:spacing w:line="240" w:lineRule="auto"/>
              <w:rPr>
                <w:rFonts w:ascii="Arial" w:hAnsi="Arial" w:eastAsia="Arial" w:cs="Arial"/>
                <w:lang w:eastAsia="en-US"/>
              </w:rPr>
            </w:pPr>
            <w:r>
              <w:rPr>
                <w:rFonts w:ascii="Arial" w:hAnsi="Arial" w:eastAsia="Arial" w:cs="Arial"/>
              </w:rPr>
              <mc:AlternateContent>
                <mc:Choice Requires="wps">
                  <w:drawing>
                    <wp:anchor distT="0" distB="0" distL="114300" distR="114300" simplePos="0" relativeHeight="251671552" behindDoc="0" locked="0" layoutInCell="1" allowOverlap="1">
                      <wp:simplePos x="0" y="0"/>
                      <wp:positionH relativeFrom="page">
                        <wp:posOffset>139065</wp:posOffset>
                      </wp:positionH>
                      <wp:positionV relativeFrom="page">
                        <wp:posOffset>431800</wp:posOffset>
                      </wp:positionV>
                      <wp:extent cx="706755" cy="295275"/>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706755" cy="294968"/>
                              </a:xfrm>
                              <a:prstGeom prst="rect">
                                <a:avLst/>
                              </a:prstGeom>
                              <a:noFill/>
                              <a:ln>
                                <a:noFill/>
                              </a:ln>
                            </wps:spPr>
                            <wps:txbx>
                              <w:txbxContent>
                                <w:p>
                                  <w:pPr>
                                    <w:spacing w:before="20" w:line="220" w:lineRule="auto"/>
                                    <w:ind w:left="20"/>
                                    <w:rPr>
                                      <w:rFonts w:ascii="宋体" w:hAnsi="宋体" w:cs="宋体"/>
                                      <w:sz w:val="18"/>
                                      <w:szCs w:val="18"/>
                                    </w:rPr>
                                  </w:pPr>
                                  <w:r>
                                    <w:rPr>
                                      <w:rFonts w:ascii="宋体" w:hAnsi="宋体" w:cs="宋体"/>
                                      <w:spacing w:val="-2"/>
                                      <w:sz w:val="18"/>
                                      <w:szCs w:val="18"/>
                                    </w:rPr>
                                    <w:t>禁止烟火标志</w:t>
                                  </w:r>
                                </w:p>
                              </w:txbxContent>
                            </wps:txbx>
                            <wps:bodyPr lIns="0" tIns="0" rIns="0" bIns="0" upright="true">
                              <a:noAutofit/>
                            </wps:bodyPr>
                          </wps:wsp>
                        </a:graphicData>
                      </a:graphic>
                    </wp:anchor>
                  </w:drawing>
                </mc:Choice>
                <mc:Fallback>
                  <w:pict>
                    <v:shape id="_x0000_s1026" o:spid="_x0000_s1026" o:spt="202" type="#_x0000_t202" style="position:absolute;left:0pt;margin-left:10.95pt;margin-top:34pt;height:23.25pt;width:55.65pt;mso-position-horizontal-relative:page;mso-position-vertical-relative:page;z-index:251671552;mso-width-relative:page;mso-height-relative:page;" filled="f" stroked="f" coordsize="21600,21600" o:gfxdata="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i9rzQNgAAAAJAQAADwAAAAAAAAABACAAAAA4AAAAZHJzL2Rvd25y&#10;ZXYueG1sUEsBAhQAFAAAAAgAh07iQGt9smavAQAARQMAAA4AAAAAAAAAAQAgAAAAPQEAAGRycy9l&#10;Mm9Eb2MueG1sUEsFBgAAAAAGAAYAWQEAAF4FAAAAAA==&#10;">
                      <v:fill on="f" focussize="0,0"/>
                      <v:stroke on="f"/>
                      <v:imagedata o:title=""/>
                      <o:lock v:ext="edit" aspectratio="f"/>
                      <v:textbox inset="0mm,0mm,0mm,0mm">
                        <w:txbxContent>
                          <w:p>
                            <w:pPr>
                              <w:spacing w:before="20" w:line="220" w:lineRule="auto"/>
                              <w:ind w:left="20"/>
                              <w:rPr>
                                <w:rFonts w:ascii="宋体" w:hAnsi="宋体" w:cs="宋体"/>
                                <w:sz w:val="18"/>
                                <w:szCs w:val="18"/>
                              </w:rPr>
                            </w:pPr>
                            <w:r>
                              <w:rPr>
                                <w:rFonts w:ascii="宋体" w:hAnsi="宋体" w:cs="宋体"/>
                                <w:spacing w:val="-2"/>
                                <w:sz w:val="18"/>
                                <w:szCs w:val="18"/>
                              </w:rPr>
                              <w:t>禁止烟火标志</w:t>
                            </w:r>
                          </w:p>
                        </w:txbxContent>
                      </v:textbox>
                    </v:shape>
                  </w:pict>
                </mc:Fallback>
              </mc:AlternateContent>
            </w:r>
          </w:p>
        </w:tc>
        <w:tc>
          <w:tcPr>
            <w:tcW w:w="4318" w:type="dxa"/>
          </w:tcPr>
          <w:p>
            <w:pPr>
              <w:adjustRightInd/>
              <w:spacing w:line="240" w:lineRule="auto"/>
              <w:rPr>
                <w:rFonts w:ascii="Arial" w:hAnsi="Arial" w:eastAsia="Arial" w:cs="Arial"/>
                <w:lang w:eastAsia="en-US"/>
              </w:rPr>
            </w:pPr>
            <w:r>
              <w:rPr>
                <w:rFonts w:ascii="Arial" w:hAnsi="Arial" w:eastAsia="Arial" w:cs="Arial"/>
              </w:rPr>
              <mc:AlternateContent>
                <mc:Choice Requires="wps">
                  <w:drawing>
                    <wp:anchor distT="0" distB="0" distL="114300" distR="114300" simplePos="0" relativeHeight="251667456" behindDoc="0" locked="0" layoutInCell="1" allowOverlap="1">
                      <wp:simplePos x="0" y="0"/>
                      <wp:positionH relativeFrom="page">
                        <wp:posOffset>25400</wp:posOffset>
                      </wp:positionH>
                      <wp:positionV relativeFrom="page">
                        <wp:posOffset>431800</wp:posOffset>
                      </wp:positionV>
                      <wp:extent cx="1621790" cy="26543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621790" cy="265471"/>
                              </a:xfrm>
                              <a:prstGeom prst="rect">
                                <a:avLst/>
                              </a:prstGeom>
                              <a:noFill/>
                              <a:ln>
                                <a:noFill/>
                              </a:ln>
                            </wps:spPr>
                            <wps:txbx>
                              <w:txbxContent>
                                <w:p>
                                  <w:pPr>
                                    <w:spacing w:before="20" w:line="220" w:lineRule="auto"/>
                                    <w:ind w:left="20"/>
                                    <w:rPr>
                                      <w:rFonts w:ascii="宋体" w:hAnsi="宋体" w:cs="宋体"/>
                                      <w:sz w:val="18"/>
                                      <w:szCs w:val="18"/>
                                    </w:rPr>
                                  </w:pPr>
                                  <w:r>
                                    <w:rPr>
                                      <w:rFonts w:ascii="宋体" w:hAnsi="宋体" w:cs="宋体"/>
                                      <w:spacing w:val="-1"/>
                                      <w:sz w:val="18"/>
                                      <w:szCs w:val="18"/>
                                    </w:rPr>
                                    <w:t>表示禁止吸烟或各种形式的明火</w:t>
                                  </w:r>
                                </w:p>
                              </w:txbxContent>
                            </wps:txbx>
                            <wps:bodyPr lIns="0" tIns="0" rIns="0" bIns="0" upright="true">
                              <a:noAutofit/>
                            </wps:bodyPr>
                          </wps:wsp>
                        </a:graphicData>
                      </a:graphic>
                    </wp:anchor>
                  </w:drawing>
                </mc:Choice>
                <mc:Fallback>
                  <w:pict>
                    <v:shape id="_x0000_s1026" o:spid="_x0000_s1026" o:spt="202" type="#_x0000_t202" style="position:absolute;left:0pt;margin-left:2pt;margin-top:34pt;height:20.9pt;width:127.7pt;mso-position-horizontal-relative:page;mso-position-vertical-relative:page;z-index:251667456;mso-width-relative:page;mso-height-relative:page;" filled="f" stroked="f" coordsize="21600,21600" o:gfxdata="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Di1bMB2AAAAAgBAAAPAAAAAAAAAAEAIAAAADgAAABkcnMvZG93bnJl&#10;di54bWxQSwECFAAUAAAACACHTuJAJOQlFq4BAABGAwAADgAAAAAAAAABACAAAAA9AQAAZHJzL2Uy&#10;b0RvYy54bWxQSwUGAAAAAAYABgBZAQAAXQUAAAAA&#10;">
                      <v:fill on="f" focussize="0,0"/>
                      <v:stroke on="f"/>
                      <v:imagedata o:title=""/>
                      <o:lock v:ext="edit" aspectratio="f"/>
                      <v:textbox inset="0mm,0mm,0mm,0mm">
                        <w:txbxContent>
                          <w:p>
                            <w:pPr>
                              <w:spacing w:before="20" w:line="220" w:lineRule="auto"/>
                              <w:ind w:left="20"/>
                              <w:rPr>
                                <w:rFonts w:ascii="宋体" w:hAnsi="宋体" w:cs="宋体"/>
                                <w:sz w:val="18"/>
                                <w:szCs w:val="18"/>
                              </w:rPr>
                            </w:pPr>
                            <w:r>
                              <w:rPr>
                                <w:rFonts w:ascii="宋体" w:hAnsi="宋体" w:cs="宋体"/>
                                <w:spacing w:val="-1"/>
                                <w:sz w:val="18"/>
                                <w:szCs w:val="18"/>
                              </w:rPr>
                              <w:t>表示禁止吸烟或各种形式的明火</w:t>
                            </w:r>
                          </w:p>
                        </w:txbxContent>
                      </v:textbox>
                    </v:shape>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815" w:type="dxa"/>
            <w:vAlign w:val="center"/>
          </w:tcPr>
          <w:p>
            <w:pPr>
              <w:spacing w:before="55" w:line="178" w:lineRule="auto"/>
              <w:ind w:left="369"/>
              <w:rPr>
                <w:rFonts w:eastAsia="Calibri" w:cs="Calibri" w:asciiTheme="minorHAnsi" w:hAnsiTheme="minorHAnsi"/>
                <w:sz w:val="18"/>
                <w:szCs w:val="18"/>
              </w:rPr>
            </w:pPr>
            <w:r>
              <w:rPr>
                <w:rFonts w:eastAsia="Calibri" w:cs="Calibri" w:asciiTheme="minorHAnsi" w:hAnsiTheme="minorHAnsi"/>
                <w:sz w:val="18"/>
                <w:szCs w:val="18"/>
              </w:rPr>
              <w:t>6</w:t>
            </w:r>
          </w:p>
        </w:tc>
        <w:tc>
          <w:tcPr>
            <w:tcW w:w="2790" w:type="dxa"/>
          </w:tcPr>
          <w:p>
            <w:pPr>
              <w:spacing w:before="105" w:line="1361" w:lineRule="exact"/>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7696" behindDoc="1" locked="0" layoutInCell="1" allowOverlap="1">
                  <wp:simplePos x="0" y="0"/>
                  <wp:positionH relativeFrom="column">
                    <wp:posOffset>405130</wp:posOffset>
                  </wp:positionH>
                  <wp:positionV relativeFrom="paragraph">
                    <wp:posOffset>40640</wp:posOffset>
                  </wp:positionV>
                  <wp:extent cx="904875" cy="889000"/>
                  <wp:effectExtent l="0" t="0" r="9525" b="6350"/>
                  <wp:wrapTight wrapText="bothSides">
                    <wp:wrapPolygon>
                      <wp:start x="0" y="0"/>
                      <wp:lineTo x="0" y="21291"/>
                      <wp:lineTo x="21373" y="21291"/>
                      <wp:lineTo x="21373" y="0"/>
                      <wp:lineTo x="0" y="0"/>
                    </wp:wrapPolygon>
                  </wp:wrapTight>
                  <wp:docPr id="1024933922"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4933922" name="图片 23"/>
                          <pic:cNvPicPr>
                            <a:picLocks noChangeAspect="true" noChangeArrowheads="true"/>
                          </pic:cNvPicPr>
                        </pic:nvPicPr>
                        <pic:blipFill>
                          <a:blip r:embed="rId63">
                            <a:extLst>
                              <a:ext uri="{28A0092B-C50C-407E-A947-70E740481C1C}">
                                <a14:useLocalDpi xmlns:a14="http://schemas.microsoft.com/office/drawing/2010/main" val="false"/>
                              </a:ext>
                            </a:extLst>
                          </a:blip>
                          <a:srcRect/>
                          <a:stretch>
                            <a:fillRect/>
                          </a:stretch>
                        </pic:blipFill>
                        <pic:spPr>
                          <a:xfrm>
                            <a:off x="0" y="0"/>
                            <a:ext cx="904875" cy="889000"/>
                          </a:xfrm>
                          <a:prstGeom prst="rect">
                            <a:avLst/>
                          </a:prstGeom>
                          <a:noFill/>
                          <a:ln>
                            <a:noFill/>
                          </a:ln>
                        </pic:spPr>
                      </pic:pic>
                    </a:graphicData>
                  </a:graphic>
                </wp:anchor>
              </w:drawing>
            </w:r>
          </w:p>
        </w:tc>
        <w:tc>
          <w:tcPr>
            <w:tcW w:w="1549" w:type="dxa"/>
          </w:tcPr>
          <w:p>
            <w:pPr>
              <w:adjustRightInd/>
              <w:spacing w:line="240" w:lineRule="auto"/>
              <w:rPr>
                <w:rFonts w:ascii="Arial" w:hAnsi="Arial" w:eastAsia="Arial" w:cs="Arial"/>
                <w:lang w:eastAsia="en-US"/>
              </w:rPr>
            </w:pPr>
            <w:r>
              <w:rPr>
                <w:rFonts w:ascii="Arial" w:hAnsi="Arial" w:eastAsia="Arial" w:cs="Arial"/>
              </w:rPr>
              <mc:AlternateContent>
                <mc:Choice Requires="wps">
                  <w:drawing>
                    <wp:anchor distT="0" distB="0" distL="114300" distR="114300" simplePos="0" relativeHeight="251670528" behindDoc="0" locked="0" layoutInCell="1" allowOverlap="1">
                      <wp:simplePos x="0" y="0"/>
                      <wp:positionH relativeFrom="page">
                        <wp:posOffset>139065</wp:posOffset>
                      </wp:positionH>
                      <wp:positionV relativeFrom="page">
                        <wp:posOffset>429260</wp:posOffset>
                      </wp:positionV>
                      <wp:extent cx="706755" cy="26543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706755" cy="265471"/>
                              </a:xfrm>
                              <a:prstGeom prst="rect">
                                <a:avLst/>
                              </a:prstGeom>
                              <a:noFill/>
                              <a:ln>
                                <a:noFill/>
                              </a:ln>
                            </wps:spPr>
                            <wps:txbx>
                              <w:txbxContent>
                                <w:p>
                                  <w:pPr>
                                    <w:spacing w:before="20" w:line="220" w:lineRule="auto"/>
                                    <w:ind w:left="20"/>
                                    <w:rPr>
                                      <w:rFonts w:ascii="宋体" w:hAnsi="宋体" w:cs="宋体"/>
                                      <w:sz w:val="18"/>
                                      <w:szCs w:val="18"/>
                                    </w:rPr>
                                  </w:pPr>
                                  <w:r>
                                    <w:rPr>
                                      <w:rFonts w:ascii="宋体" w:hAnsi="宋体" w:cs="宋体"/>
                                      <w:spacing w:val="-2"/>
                                      <w:sz w:val="18"/>
                                      <w:szCs w:val="18"/>
                                    </w:rPr>
                                    <w:t>禁止放易燃物</w:t>
                                  </w:r>
                                </w:p>
                              </w:txbxContent>
                            </wps:txbx>
                            <wps:bodyPr lIns="0" tIns="0" rIns="0" bIns="0" upright="true">
                              <a:noAutofit/>
                            </wps:bodyPr>
                          </wps:wsp>
                        </a:graphicData>
                      </a:graphic>
                    </wp:anchor>
                  </w:drawing>
                </mc:Choice>
                <mc:Fallback>
                  <w:pict>
                    <v:shape id="_x0000_s1026" o:spid="_x0000_s1026" o:spt="202" type="#_x0000_t202" style="position:absolute;left:0pt;margin-left:10.95pt;margin-top:33.8pt;height:20.9pt;width:55.65pt;mso-position-horizontal-relative:page;mso-position-vertical-relative:page;z-index:251670528;mso-width-relative:page;mso-height-relative:page;" filled="f" stroked="f" coordsize="21600,21600" o:gfxdata="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JqmYavYAAAACQEAAA8AAAAAAAAAAQAgAAAAOAAAAGRycy9kb3ducmV2&#10;LnhtbFBLAQIUABQAAAAIAIdO4kDrzqyBrQEAAEMDAAAOAAAAAAAAAAEAIAAAAD0BAABkcnMvZTJv&#10;RG9jLnhtbFBLBQYAAAAABgAGAFkBAABcBQAAAAA=&#10;">
                      <v:fill on="f" focussize="0,0"/>
                      <v:stroke on="f"/>
                      <v:imagedata o:title=""/>
                      <o:lock v:ext="edit" aspectratio="f"/>
                      <v:textbox inset="0mm,0mm,0mm,0mm">
                        <w:txbxContent>
                          <w:p>
                            <w:pPr>
                              <w:spacing w:before="20" w:line="220" w:lineRule="auto"/>
                              <w:ind w:left="20"/>
                              <w:rPr>
                                <w:rFonts w:ascii="宋体" w:hAnsi="宋体" w:cs="宋体"/>
                                <w:sz w:val="18"/>
                                <w:szCs w:val="18"/>
                              </w:rPr>
                            </w:pPr>
                            <w:r>
                              <w:rPr>
                                <w:rFonts w:ascii="宋体" w:hAnsi="宋体" w:cs="宋体"/>
                                <w:spacing w:val="-2"/>
                                <w:sz w:val="18"/>
                                <w:szCs w:val="18"/>
                              </w:rPr>
                              <w:t>禁止放易燃物</w:t>
                            </w:r>
                          </w:p>
                        </w:txbxContent>
                      </v:textbox>
                    </v:shape>
                  </w:pict>
                </mc:Fallback>
              </mc:AlternateContent>
            </w:r>
          </w:p>
        </w:tc>
        <w:tc>
          <w:tcPr>
            <w:tcW w:w="4318" w:type="dxa"/>
          </w:tcPr>
          <w:p>
            <w:pPr>
              <w:adjustRightInd/>
              <w:spacing w:line="240" w:lineRule="auto"/>
              <w:rPr>
                <w:rFonts w:ascii="Arial" w:hAnsi="Arial" w:eastAsia="Arial" w:cs="Arial"/>
                <w:lang w:eastAsia="en-US"/>
              </w:rPr>
            </w:pPr>
            <w:r>
              <w:rPr>
                <w:rFonts w:ascii="Arial" w:hAnsi="Arial" w:eastAsia="Arial" w:cs="Arial"/>
              </w:rPr>
              <mc:AlternateContent>
                <mc:Choice Requires="wps">
                  <w:drawing>
                    <wp:anchor distT="0" distB="0" distL="114300" distR="114300" simplePos="0" relativeHeight="251668480" behindDoc="0" locked="0" layoutInCell="1" allowOverlap="1">
                      <wp:simplePos x="0" y="0"/>
                      <wp:positionH relativeFrom="page">
                        <wp:posOffset>25400</wp:posOffset>
                      </wp:positionH>
                      <wp:positionV relativeFrom="page">
                        <wp:posOffset>429260</wp:posOffset>
                      </wp:positionV>
                      <wp:extent cx="1050290" cy="295275"/>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050290" cy="294968"/>
                              </a:xfrm>
                              <a:prstGeom prst="rect">
                                <a:avLst/>
                              </a:prstGeom>
                              <a:noFill/>
                              <a:ln>
                                <a:noFill/>
                              </a:ln>
                            </wps:spPr>
                            <wps:txbx>
                              <w:txbxContent>
                                <w:p>
                                  <w:pPr>
                                    <w:spacing w:before="20" w:line="220" w:lineRule="auto"/>
                                    <w:ind w:left="20"/>
                                    <w:rPr>
                                      <w:rFonts w:ascii="宋体" w:hAnsi="宋体" w:cs="宋体"/>
                                      <w:sz w:val="18"/>
                                      <w:szCs w:val="18"/>
                                    </w:rPr>
                                  </w:pPr>
                                  <w:r>
                                    <w:rPr>
                                      <w:rFonts w:ascii="宋体" w:hAnsi="宋体" w:cs="宋体"/>
                                      <w:spacing w:val="-1"/>
                                      <w:sz w:val="18"/>
                                      <w:szCs w:val="18"/>
                                    </w:rPr>
                                    <w:t>表示禁止存放易燃物</w:t>
                                  </w:r>
                                </w:p>
                              </w:txbxContent>
                            </wps:txbx>
                            <wps:bodyPr lIns="0" tIns="0" rIns="0" bIns="0" upright="true">
                              <a:noAutofit/>
                            </wps:bodyPr>
                          </wps:wsp>
                        </a:graphicData>
                      </a:graphic>
                    </wp:anchor>
                  </w:drawing>
                </mc:Choice>
                <mc:Fallback>
                  <w:pict>
                    <v:shape id="_x0000_s1026" o:spid="_x0000_s1026" o:spt="202" type="#_x0000_t202" style="position:absolute;left:0pt;margin-left:2pt;margin-top:33.8pt;height:23.25pt;width:82.7pt;mso-position-horizontal-relative:page;mso-position-vertical-relative:page;z-index:251668480;mso-width-relative:page;mso-height-relative:page;" filled="f" stroked="f" coordsize="21600,21600" o:gfxdata="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B2oCbTXAAAACAEAAA8AAAAAAAAAAQAgAAAAOAAAAGRycy9kb3ducmV2&#10;LnhtbFBLAQIUABQAAAAIAIdO4kDt+LYZrgEAAEYDAAAOAAAAAAAAAAEAIAAAADwBAABkcnMvZTJv&#10;RG9jLnhtbFBLBQYAAAAABgAGAFkBAABcBQAAAAA=&#10;">
                      <v:fill on="f" focussize="0,0"/>
                      <v:stroke on="f"/>
                      <v:imagedata o:title=""/>
                      <o:lock v:ext="edit" aspectratio="f"/>
                      <v:textbox inset="0mm,0mm,0mm,0mm">
                        <w:txbxContent>
                          <w:p>
                            <w:pPr>
                              <w:spacing w:before="20" w:line="220" w:lineRule="auto"/>
                              <w:ind w:left="20"/>
                              <w:rPr>
                                <w:rFonts w:ascii="宋体" w:hAnsi="宋体" w:cs="宋体"/>
                                <w:sz w:val="18"/>
                                <w:szCs w:val="18"/>
                              </w:rPr>
                            </w:pPr>
                            <w:r>
                              <w:rPr>
                                <w:rFonts w:ascii="宋体" w:hAnsi="宋体" w:cs="宋体"/>
                                <w:spacing w:val="-1"/>
                                <w:sz w:val="18"/>
                                <w:szCs w:val="18"/>
                              </w:rPr>
                              <w:t>表示禁止存放易燃物</w:t>
                            </w:r>
                          </w:p>
                        </w:txbxContent>
                      </v:textbox>
                    </v:shape>
                  </w:pict>
                </mc:Fallback>
              </mc:AlternateContent>
            </w:r>
          </w:p>
        </w:tc>
      </w:tr>
    </w:tbl>
    <w:p>
      <w:pPr>
        <w:pStyle w:val="59"/>
        <w:ind w:firstLine="420"/>
      </w:pPr>
    </w:p>
    <w:p>
      <w:pPr>
        <w:widowControl/>
        <w:adjustRightInd/>
        <w:spacing w:line="240" w:lineRule="auto"/>
        <w:jc w:val="left"/>
        <w:rPr>
          <w:rFonts w:ascii="宋体" w:hAnsi="Times New Roman"/>
          <w:kern w:val="0"/>
          <w:szCs w:val="20"/>
        </w:rPr>
      </w:pPr>
      <w:r>
        <w:br w:type="page"/>
      </w:r>
    </w:p>
    <w:p>
      <w:pPr>
        <w:pStyle w:val="59"/>
        <w:ind w:firstLine="420"/>
        <w:sectPr>
          <w:headerReference r:id="rId26" w:type="default"/>
          <w:footerReference r:id="rId28" w:type="default"/>
          <w:headerReference r:id="rId27" w:type="even"/>
          <w:footerReference r:id="rId29" w:type="even"/>
          <w:pgSz w:w="11906" w:h="16838"/>
          <w:pgMar w:top="1928" w:right="1134" w:bottom="1134" w:left="1134" w:header="1418" w:footer="1134" w:gutter="284"/>
          <w:cols w:space="425" w:num="1"/>
          <w:formProt w:val="0"/>
          <w:docGrid w:type="lines" w:linePitch="312" w:charSpace="0"/>
        </w:sectPr>
      </w:pPr>
    </w:p>
    <w:p>
      <w:pPr>
        <w:pStyle w:val="201"/>
        <w:rPr>
          <w:vanish w:val="0"/>
        </w:rPr>
      </w:pPr>
    </w:p>
    <w:p>
      <w:pPr>
        <w:pStyle w:val="202"/>
        <w:rPr>
          <w:vanish w:val="0"/>
        </w:rPr>
      </w:pPr>
    </w:p>
    <w:p>
      <w:pPr>
        <w:pStyle w:val="79"/>
        <w:spacing w:after="156"/>
      </w:pPr>
      <w:r>
        <w:br w:type="textWrapping"/>
      </w:r>
      <w:bookmarkStart w:id="206" w:name="_Toc196389928"/>
      <w:bookmarkStart w:id="207" w:name="_Toc195728813"/>
      <w:r>
        <w:rPr>
          <w:rFonts w:hint="eastAsia"/>
        </w:rPr>
        <w:t>（资料性）</w:t>
      </w:r>
      <w:r>
        <w:br w:type="textWrapping"/>
      </w:r>
      <w:r>
        <w:rPr>
          <w:rFonts w:hint="eastAsia"/>
        </w:rPr>
        <w:t>二轮摩托车停车泊位、标志牌参考式样</w:t>
      </w:r>
      <w:bookmarkEnd w:id="206"/>
      <w:bookmarkEnd w:id="207"/>
    </w:p>
    <w:p>
      <w:pPr>
        <w:pStyle w:val="81"/>
        <w:spacing w:before="156" w:after="156"/>
      </w:pPr>
      <w:bookmarkStart w:id="208" w:name="_Toc194062247"/>
      <w:bookmarkStart w:id="209" w:name="_Toc195728814"/>
      <w:r>
        <w:rPr>
          <w:rFonts w:hint="eastAsia"/>
        </w:rPr>
        <w:t>二轮摩托车泊位参考式样</w:t>
      </w:r>
      <w:bookmarkEnd w:id="208"/>
      <w:bookmarkEnd w:id="209"/>
      <w:r>
        <w:rPr>
          <w:rFonts w:hint="eastAsia"/>
        </w:rPr>
        <w:t>参见图 D.1。</w:t>
      </w:r>
    </w:p>
    <w:p>
      <w:pPr>
        <w:pStyle w:val="59"/>
        <w:ind w:firstLine="420"/>
        <w:jc w:val="center"/>
        <w:rPr>
          <w:u w:val="single"/>
        </w:rPr>
      </w:pPr>
      <w:r>
        <w:rPr>
          <w:rFonts w:hint="eastAsia"/>
          <w:u w:val="single"/>
        </w:rPr>
        <w:t>平行式</w:t>
      </w:r>
    </w:p>
    <w:p>
      <w:pPr>
        <w:pStyle w:val="59"/>
        <w:ind w:firstLine="420"/>
        <w:jc w:val="center"/>
      </w:pPr>
      <w:r>
        <w:drawing>
          <wp:inline distT="0" distB="0" distL="0" distR="0">
            <wp:extent cx="4010660" cy="1799590"/>
            <wp:effectExtent l="0" t="0" r="8890" b="0"/>
            <wp:docPr id="107363614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3636141" name="图片 9"/>
                    <pic:cNvPicPr>
                      <a:picLocks noChangeAspect="true" noChangeArrowheads="true"/>
                    </pic:cNvPicPr>
                  </pic:nvPicPr>
                  <pic:blipFill>
                    <a:blip r:embed="rId64" cstate="print">
                      <a:extLst>
                        <a:ext uri="{28A0092B-C50C-407E-A947-70E740481C1C}">
                          <a14:useLocalDpi xmlns:a14="http://schemas.microsoft.com/office/drawing/2010/main" val="false"/>
                        </a:ext>
                      </a:extLst>
                    </a:blip>
                    <a:srcRect t="17944" b="10262"/>
                    <a:stretch>
                      <a:fillRect/>
                    </a:stretch>
                  </pic:blipFill>
                  <pic:spPr>
                    <a:xfrm>
                      <a:off x="0" y="0"/>
                      <a:ext cx="4011185" cy="1800000"/>
                    </a:xfrm>
                    <a:prstGeom prst="rect">
                      <a:avLst/>
                    </a:prstGeom>
                    <a:noFill/>
                    <a:ln>
                      <a:noFill/>
                    </a:ln>
                  </pic:spPr>
                </pic:pic>
              </a:graphicData>
            </a:graphic>
          </wp:inline>
        </w:drawing>
      </w:r>
    </w:p>
    <w:p>
      <w:pPr>
        <w:pStyle w:val="59"/>
        <w:ind w:firstLine="420"/>
        <w:jc w:val="center"/>
        <w:rPr>
          <w:u w:val="single"/>
        </w:rPr>
      </w:pPr>
      <w:r>
        <w:rPr>
          <w:rFonts w:hint="eastAsia"/>
          <w:u w:val="single"/>
        </w:rPr>
        <w:t>垂直式</w:t>
      </w:r>
    </w:p>
    <w:p>
      <w:pPr>
        <w:pStyle w:val="59"/>
        <w:ind w:firstLine="420"/>
        <w:jc w:val="center"/>
      </w:pPr>
      <w:r>
        <w:drawing>
          <wp:inline distT="0" distB="0" distL="0" distR="0">
            <wp:extent cx="3992245" cy="2006600"/>
            <wp:effectExtent l="0" t="0" r="8255" b="0"/>
            <wp:docPr id="142713836"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713836" name="图片 10"/>
                    <pic:cNvPicPr>
                      <a:picLocks noChangeAspect="true" noChangeArrowheads="true"/>
                    </pic:cNvPicPr>
                  </pic:nvPicPr>
                  <pic:blipFill>
                    <a:blip r:embed="rId65" cstate="print">
                      <a:extLst>
                        <a:ext uri="{28A0092B-C50C-407E-A947-70E740481C1C}">
                          <a14:useLocalDpi xmlns:a14="http://schemas.microsoft.com/office/drawing/2010/main" val="false"/>
                        </a:ext>
                      </a:extLst>
                    </a:blip>
                    <a:srcRect t="6486" b="13099"/>
                    <a:stretch>
                      <a:fillRect/>
                    </a:stretch>
                  </pic:blipFill>
                  <pic:spPr>
                    <a:xfrm>
                      <a:off x="0" y="0"/>
                      <a:ext cx="4007753" cy="2014417"/>
                    </a:xfrm>
                    <a:prstGeom prst="rect">
                      <a:avLst/>
                    </a:prstGeom>
                    <a:noFill/>
                    <a:ln>
                      <a:noFill/>
                    </a:ln>
                  </pic:spPr>
                </pic:pic>
              </a:graphicData>
            </a:graphic>
          </wp:inline>
        </w:drawing>
      </w:r>
    </w:p>
    <w:p>
      <w:pPr>
        <w:pStyle w:val="59"/>
        <w:ind w:firstLine="420"/>
        <w:jc w:val="center"/>
      </w:pPr>
      <w:r>
        <w:rPr>
          <w:rFonts w:hint="eastAsia"/>
          <w:u w:val="single"/>
        </w:rPr>
        <w:t>60°斜列式</w:t>
      </w:r>
    </w:p>
    <w:p>
      <w:pPr>
        <w:pStyle w:val="59"/>
        <w:ind w:firstLine="420"/>
        <w:jc w:val="center"/>
      </w:pPr>
      <w:r>
        <w:drawing>
          <wp:inline distT="0" distB="0" distL="0" distR="0">
            <wp:extent cx="3930015" cy="2127250"/>
            <wp:effectExtent l="0" t="0" r="0" b="6350"/>
            <wp:docPr id="134065484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0654844" name="图片 11"/>
                    <pic:cNvPicPr>
                      <a:picLocks noChangeAspect="true" noChangeArrowheads="true"/>
                    </pic:cNvPicPr>
                  </pic:nvPicPr>
                  <pic:blipFill>
                    <a:blip r:embed="rId66" cstate="print">
                      <a:extLst>
                        <a:ext uri="{28A0092B-C50C-407E-A947-70E740481C1C}">
                          <a14:useLocalDpi xmlns:a14="http://schemas.microsoft.com/office/drawing/2010/main" val="false"/>
                        </a:ext>
                      </a:extLst>
                    </a:blip>
                    <a:srcRect t="6589" b="6788"/>
                    <a:stretch>
                      <a:fillRect/>
                    </a:stretch>
                  </pic:blipFill>
                  <pic:spPr>
                    <a:xfrm>
                      <a:off x="0" y="0"/>
                      <a:ext cx="3950589" cy="2138978"/>
                    </a:xfrm>
                    <a:prstGeom prst="rect">
                      <a:avLst/>
                    </a:prstGeom>
                    <a:noFill/>
                    <a:ln>
                      <a:noFill/>
                    </a:ln>
                  </pic:spPr>
                </pic:pic>
              </a:graphicData>
            </a:graphic>
          </wp:inline>
        </w:drawing>
      </w:r>
    </w:p>
    <w:p>
      <w:pPr>
        <w:pStyle w:val="86"/>
        <w:spacing w:before="156" w:after="156"/>
      </w:pPr>
      <w:r>
        <w:rPr>
          <w:rFonts w:hint="eastAsia"/>
        </w:rPr>
        <w:t>二轮摩托车泊位参考式样图</w:t>
      </w:r>
    </w:p>
    <w:p>
      <w:pPr>
        <w:pStyle w:val="81"/>
        <w:spacing w:before="156" w:after="156"/>
      </w:pPr>
      <w:bookmarkStart w:id="210" w:name="_Hlk193897562"/>
      <w:bookmarkStart w:id="211" w:name="_Toc194062248"/>
      <w:bookmarkStart w:id="212" w:name="_Toc195728815"/>
      <w:bookmarkStart w:id="213" w:name="_Hlk195727777"/>
      <w:r>
        <w:rPr>
          <w:rFonts w:hint="eastAsia"/>
        </w:rPr>
        <w:t>摩托车泊位标志牌参考式样</w:t>
      </w:r>
      <w:bookmarkEnd w:id="210"/>
      <w:bookmarkEnd w:id="211"/>
      <w:bookmarkEnd w:id="212"/>
      <w:r>
        <w:rPr>
          <w:rFonts w:hint="eastAsia"/>
        </w:rPr>
        <w:t>参见图D.2。</w:t>
      </w:r>
    </w:p>
    <w:p>
      <w:pPr>
        <w:pStyle w:val="59"/>
        <w:ind w:firstLine="420"/>
      </w:pPr>
    </w:p>
    <w:p>
      <w:pPr>
        <w:pStyle w:val="59"/>
        <w:ind w:firstLine="420"/>
      </w:pPr>
    </w:p>
    <w:p>
      <w:pPr>
        <w:pStyle w:val="59"/>
        <w:ind w:firstLine="420"/>
        <w:jc w:val="center"/>
      </w:pPr>
      <w:r>
        <w:drawing>
          <wp:inline distT="0" distB="0" distL="0" distR="0">
            <wp:extent cx="3959860" cy="4850765"/>
            <wp:effectExtent l="0" t="0" r="2540" b="6985"/>
            <wp:docPr id="1571833481"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1833481" name="图片 15"/>
                    <pic:cNvPicPr>
                      <a:picLocks noChangeAspect="true" noChangeArrowheads="true"/>
                    </pic:cNvPicPr>
                  </pic:nvPicPr>
                  <pic:blipFill>
                    <a:blip r:embed="rId67" cstate="print">
                      <a:extLst>
                        <a:ext uri="{28A0092B-C50C-407E-A947-70E740481C1C}">
                          <a14:useLocalDpi xmlns:a14="http://schemas.microsoft.com/office/drawing/2010/main" val="false"/>
                        </a:ext>
                      </a:extLst>
                    </a:blip>
                    <a:srcRect/>
                    <a:stretch>
                      <a:fillRect/>
                    </a:stretch>
                  </pic:blipFill>
                  <pic:spPr>
                    <a:xfrm>
                      <a:off x="0" y="0"/>
                      <a:ext cx="3960000" cy="4851136"/>
                    </a:xfrm>
                    <a:prstGeom prst="rect">
                      <a:avLst/>
                    </a:prstGeom>
                    <a:noFill/>
                    <a:ln>
                      <a:noFill/>
                    </a:ln>
                  </pic:spPr>
                </pic:pic>
              </a:graphicData>
            </a:graphic>
          </wp:inline>
        </w:drawing>
      </w:r>
    </w:p>
    <w:p>
      <w:pPr>
        <w:pStyle w:val="86"/>
        <w:spacing w:before="156" w:after="156"/>
      </w:pPr>
      <w:r>
        <w:rPr>
          <w:rFonts w:hint="eastAsia"/>
        </w:rPr>
        <w:t>摩托车泊位标志牌参考式样图</w:t>
      </w:r>
    </w:p>
    <w:bookmarkEnd w:id="213"/>
    <w:p>
      <w:pPr>
        <w:widowControl/>
        <w:adjustRightInd/>
        <w:spacing w:line="240" w:lineRule="auto"/>
        <w:jc w:val="left"/>
        <w:rPr>
          <w:rFonts w:ascii="宋体" w:hAnsi="Times New Roman"/>
          <w:kern w:val="0"/>
          <w:szCs w:val="20"/>
        </w:rPr>
      </w:pPr>
      <w:r>
        <w:br w:type="page"/>
      </w:r>
    </w:p>
    <w:p>
      <w:pPr>
        <w:pStyle w:val="59"/>
        <w:ind w:firstLine="420"/>
        <w:sectPr>
          <w:headerReference r:id="rId30" w:type="default"/>
          <w:footerReference r:id="rId32" w:type="default"/>
          <w:headerReference r:id="rId31" w:type="even"/>
          <w:footerReference r:id="rId33" w:type="even"/>
          <w:pgSz w:w="11906" w:h="16838"/>
          <w:pgMar w:top="1928" w:right="1134" w:bottom="1134" w:left="1134" w:header="1418" w:footer="1134" w:gutter="284"/>
          <w:cols w:space="425" w:num="1"/>
          <w:formProt w:val="0"/>
          <w:docGrid w:type="lines" w:linePitch="312" w:charSpace="0"/>
        </w:sectPr>
      </w:pPr>
    </w:p>
    <w:p>
      <w:pPr>
        <w:pStyle w:val="201"/>
        <w:rPr>
          <w:vanish w:val="0"/>
        </w:rPr>
      </w:pPr>
    </w:p>
    <w:p>
      <w:pPr>
        <w:pStyle w:val="202"/>
        <w:rPr>
          <w:vanish w:val="0"/>
        </w:rPr>
      </w:pPr>
    </w:p>
    <w:p>
      <w:pPr>
        <w:pStyle w:val="79"/>
        <w:spacing w:after="156"/>
      </w:pPr>
      <w:r>
        <w:br w:type="textWrapping"/>
      </w:r>
      <w:bookmarkStart w:id="214" w:name="_Toc195728816"/>
      <w:bookmarkStart w:id="215" w:name="_Toc196389929"/>
      <w:r>
        <w:rPr>
          <w:rFonts w:hint="eastAsia"/>
        </w:rPr>
        <w:t>（资料性）</w:t>
      </w:r>
      <w:r>
        <w:br w:type="textWrapping"/>
      </w:r>
      <w:r>
        <w:rPr>
          <w:rFonts w:hint="eastAsia"/>
        </w:rPr>
        <w:t>电动汽车专用泊位、标志牌式样</w:t>
      </w:r>
      <w:bookmarkEnd w:id="214"/>
      <w:bookmarkEnd w:id="215"/>
    </w:p>
    <w:p>
      <w:pPr>
        <w:pStyle w:val="81"/>
        <w:spacing w:before="156" w:after="156"/>
      </w:pPr>
      <w:bookmarkStart w:id="216" w:name="_Toc195728817"/>
      <w:bookmarkStart w:id="217" w:name="_Toc194062250"/>
      <w:r>
        <w:rPr>
          <w:rFonts w:hint="eastAsia"/>
        </w:rPr>
        <w:t>电动汽车专用泊位参考式样</w:t>
      </w:r>
      <w:bookmarkEnd w:id="216"/>
      <w:bookmarkEnd w:id="217"/>
      <w:r>
        <w:rPr>
          <w:rFonts w:hint="eastAsia"/>
        </w:rPr>
        <w:t>参见图E.1。</w:t>
      </w:r>
    </w:p>
    <w:p>
      <w:pPr>
        <w:pStyle w:val="59"/>
        <w:ind w:firstLine="420"/>
      </w:pPr>
      <w:r>
        <w:rPr>
          <w:rFonts w:hint="eastAsia"/>
        </w:rPr>
        <w:drawing>
          <wp:inline distT="0" distB="0" distL="114300" distR="114300">
            <wp:extent cx="5939790" cy="1800860"/>
            <wp:effectExtent l="0" t="0" r="3810" b="8890"/>
            <wp:docPr id="1" name="图片 1" descr="6193d49489a5df9f21b851201ab55e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6193d49489a5df9f21b851201ab55e3"/>
                    <pic:cNvPicPr>
                      <a:picLocks noChangeAspect="true"/>
                    </pic:cNvPicPr>
                  </pic:nvPicPr>
                  <pic:blipFill>
                    <a:blip r:embed="rId68"/>
                    <a:stretch>
                      <a:fillRect/>
                    </a:stretch>
                  </pic:blipFill>
                  <pic:spPr>
                    <a:xfrm>
                      <a:off x="0" y="0"/>
                      <a:ext cx="5939790" cy="1800860"/>
                    </a:xfrm>
                    <a:prstGeom prst="rect">
                      <a:avLst/>
                    </a:prstGeom>
                  </pic:spPr>
                </pic:pic>
              </a:graphicData>
            </a:graphic>
          </wp:inline>
        </w:drawing>
      </w:r>
    </w:p>
    <w:p>
      <w:pPr>
        <w:pStyle w:val="59"/>
        <w:ind w:firstLine="420"/>
        <w:jc w:val="center"/>
      </w:pPr>
      <w:r>
        <w:drawing>
          <wp:inline distT="0" distB="0" distL="114300" distR="114300">
            <wp:extent cx="5939790" cy="1800860"/>
            <wp:effectExtent l="0" t="0" r="3810" b="8890"/>
            <wp:docPr id="2" name="图片 2" descr="b712b8bdb995f0fd46e0da518e48ec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b712b8bdb995f0fd46e0da518e48eca"/>
                    <pic:cNvPicPr>
                      <a:picLocks noChangeAspect="true"/>
                    </pic:cNvPicPr>
                  </pic:nvPicPr>
                  <pic:blipFill>
                    <a:blip r:embed="rId69"/>
                    <a:stretch>
                      <a:fillRect/>
                    </a:stretch>
                  </pic:blipFill>
                  <pic:spPr>
                    <a:xfrm>
                      <a:off x="0" y="0"/>
                      <a:ext cx="5939790" cy="1800860"/>
                    </a:xfrm>
                    <a:prstGeom prst="rect">
                      <a:avLst/>
                    </a:prstGeom>
                  </pic:spPr>
                </pic:pic>
              </a:graphicData>
            </a:graphic>
          </wp:inline>
        </w:drawing>
      </w:r>
    </w:p>
    <w:p>
      <w:pPr>
        <w:pStyle w:val="59"/>
        <w:ind w:firstLine="420"/>
        <w:jc w:val="center"/>
      </w:pPr>
      <w:r>
        <w:drawing>
          <wp:inline distT="0" distB="0" distL="114300" distR="114300">
            <wp:extent cx="5939790" cy="1800860"/>
            <wp:effectExtent l="0" t="0" r="3810" b="8890"/>
            <wp:docPr id="4" name="图片 4" descr="4ce7ae313e244d45d9cdb52227e1c0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4ce7ae313e244d45d9cdb52227e1c0d"/>
                    <pic:cNvPicPr>
                      <a:picLocks noChangeAspect="true"/>
                    </pic:cNvPicPr>
                  </pic:nvPicPr>
                  <pic:blipFill>
                    <a:blip r:embed="rId70"/>
                    <a:stretch>
                      <a:fillRect/>
                    </a:stretch>
                  </pic:blipFill>
                  <pic:spPr>
                    <a:xfrm>
                      <a:off x="0" y="0"/>
                      <a:ext cx="5939790" cy="1800860"/>
                    </a:xfrm>
                    <a:prstGeom prst="rect">
                      <a:avLst/>
                    </a:prstGeom>
                  </pic:spPr>
                </pic:pic>
              </a:graphicData>
            </a:graphic>
          </wp:inline>
        </w:drawing>
      </w:r>
    </w:p>
    <w:p>
      <w:pPr>
        <w:pStyle w:val="59"/>
        <w:ind w:firstLine="420"/>
        <w:jc w:val="center"/>
      </w:pPr>
    </w:p>
    <w:p>
      <w:pPr>
        <w:pStyle w:val="86"/>
        <w:spacing w:before="156" w:after="156"/>
      </w:pPr>
      <w:r>
        <w:rPr>
          <w:rFonts w:hint="eastAsia"/>
        </w:rPr>
        <w:t>电动汽车专用泊位式样图</w:t>
      </w:r>
    </w:p>
    <w:p>
      <w:pPr>
        <w:widowControl/>
        <w:adjustRightInd/>
        <w:spacing w:line="240" w:lineRule="auto"/>
        <w:jc w:val="left"/>
        <w:rPr>
          <w:rFonts w:ascii="宋体" w:hAnsi="Times New Roman"/>
          <w:kern w:val="0"/>
          <w:szCs w:val="20"/>
        </w:rPr>
      </w:pPr>
      <w:bookmarkStart w:id="218" w:name="_Toc195728818"/>
      <w:bookmarkStart w:id="219" w:name="_Toc194062251"/>
      <w:r>
        <w:rPr>
          <w:rFonts w:ascii="宋体"/>
          <w:kern w:val="0"/>
        </w:rPr>
        <w:br w:type="page"/>
      </w:r>
    </w:p>
    <w:p>
      <w:pPr>
        <w:pStyle w:val="81"/>
        <w:spacing w:before="156" w:after="156"/>
      </w:pPr>
      <w:r>
        <w:rPr>
          <w:rFonts w:hint="eastAsia"/>
        </w:rPr>
        <w:t>电动汽车充电专用泊位标志牌参考式样</w:t>
      </w:r>
      <w:bookmarkEnd w:id="218"/>
      <w:bookmarkEnd w:id="219"/>
      <w:r>
        <w:rPr>
          <w:rFonts w:hint="eastAsia"/>
        </w:rPr>
        <w:t>参见E.2。</w:t>
      </w:r>
    </w:p>
    <w:p>
      <w:pPr>
        <w:pStyle w:val="59"/>
        <w:ind w:firstLine="420"/>
      </w:pPr>
    </w:p>
    <w:p>
      <w:pPr>
        <w:pStyle w:val="59"/>
        <w:ind w:firstLine="0" w:firstLineChars="0"/>
        <w:jc w:val="center"/>
      </w:pPr>
      <w:r>
        <w:drawing>
          <wp:inline distT="0" distB="0" distL="114300" distR="114300">
            <wp:extent cx="4685030" cy="5729605"/>
            <wp:effectExtent l="0" t="0" r="1270" b="4445"/>
            <wp:docPr id="6" name="图片 6" descr="870fe6df18bd49e86f0efe6813368c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870fe6df18bd49e86f0efe6813368c9"/>
                    <pic:cNvPicPr>
                      <a:picLocks noChangeAspect="true"/>
                    </pic:cNvPicPr>
                  </pic:nvPicPr>
                  <pic:blipFill>
                    <a:blip r:embed="rId71"/>
                    <a:stretch>
                      <a:fillRect/>
                    </a:stretch>
                  </pic:blipFill>
                  <pic:spPr>
                    <a:xfrm>
                      <a:off x="0" y="0"/>
                      <a:ext cx="4685030" cy="5729605"/>
                    </a:xfrm>
                    <a:prstGeom prst="rect">
                      <a:avLst/>
                    </a:prstGeom>
                  </pic:spPr>
                </pic:pic>
              </a:graphicData>
            </a:graphic>
          </wp:inline>
        </w:drawing>
      </w:r>
    </w:p>
    <w:p>
      <w:pPr>
        <w:pStyle w:val="59"/>
        <w:ind w:firstLine="420"/>
        <w:jc w:val="center"/>
      </w:pPr>
    </w:p>
    <w:p>
      <w:pPr>
        <w:pStyle w:val="59"/>
        <w:ind w:firstLine="420"/>
        <w:jc w:val="center"/>
      </w:pPr>
    </w:p>
    <w:p>
      <w:pPr>
        <w:pStyle w:val="86"/>
        <w:spacing w:before="156" w:after="156"/>
      </w:pPr>
      <w:r>
        <w:rPr>
          <w:rFonts w:hint="eastAsia"/>
        </w:rPr>
        <w:t xml:space="preserve"> 电动汽车专用泊位标志牌式样图</w:t>
      </w:r>
    </w:p>
    <w:bookmarkEnd w:id="184"/>
    <w:p>
      <w:pPr>
        <w:jc w:val="center"/>
      </w:pPr>
      <w:bookmarkStart w:id="220" w:name="BookMark8"/>
      <w:r>
        <w:rPr>
          <w:rFonts w:hint="eastAsia"/>
        </w:rPr>
        <w:drawing>
          <wp:inline distT="0" distB="0" distL="0" distR="0">
            <wp:extent cx="1485900" cy="317500"/>
            <wp:effectExtent l="0" t="0" r="0" b="6350"/>
            <wp:docPr id="1697238156" name="图片 18"/>
            <wp:cNvGraphicFramePr/>
            <a:graphic xmlns:a="http://schemas.openxmlformats.org/drawingml/2006/main">
              <a:graphicData uri="http://schemas.openxmlformats.org/drawingml/2006/picture">
                <pic:pic xmlns:pic="http://schemas.openxmlformats.org/drawingml/2006/picture">
                  <pic:nvPicPr>
                    <pic:cNvPr id="1697238156" name="图片 18"/>
                    <pic:cNvPicPr/>
                  </pic:nvPicPr>
                  <pic:blipFill>
                    <a:blip r:embed="rId72">
                      <a:extLst>
                        <a:ext uri="{28A0092B-C50C-407E-A947-70E740481C1C}">
                          <a14:useLocalDpi xmlns:a14="http://schemas.microsoft.com/office/drawing/2010/main" val="false"/>
                        </a:ext>
                      </a:extLst>
                    </a:blip>
                    <a:stretch>
                      <a:fillRect/>
                    </a:stretch>
                  </pic:blipFill>
                  <pic:spPr>
                    <a:xfrm>
                      <a:off x="0" y="0"/>
                      <a:ext cx="1485900" cy="317500"/>
                    </a:xfrm>
                    <a:prstGeom prst="rect">
                      <a:avLst/>
                    </a:prstGeom>
                  </pic:spPr>
                </pic:pic>
              </a:graphicData>
            </a:graphic>
          </wp:inline>
        </w:drawing>
      </w:r>
      <w:bookmarkEnd w:id="220"/>
    </w:p>
    <w:sectPr>
      <w:headerReference r:id="rId34" w:type="default"/>
      <w:footerReference r:id="rId36" w:type="default"/>
      <w:headerReference r:id="rId35" w:type="even"/>
      <w:footerReference r:id="rId37" w:type="even"/>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Arial">
    <w:altName w:val="Nimbus Roman No9 L"/>
    <w:panose1 w:val="020B0604020202020204"/>
    <w:charset w:val="00"/>
    <w:family w:val="swiss"/>
    <w:pitch w:val="default"/>
    <w:sig w:usb0="00000000" w:usb1="00000000" w:usb2="00000000" w:usb3="00000000" w:csb0="00000001" w:csb1="00000000"/>
  </w:font>
  <w:font w:name="等线">
    <w:altName w:val="仿宋"/>
    <w:panose1 w:val="00000000000000000000"/>
    <w:charset w:val="86"/>
    <w:family w:val="auto"/>
    <w:pitch w:val="default"/>
    <w:sig w:usb0="00000000" w:usb1="00000000" w:usb2="00000016" w:usb3="00000000" w:csb0="0004000F" w:csb1="00000000"/>
  </w:font>
  <w:font w:name="等线 Light">
    <w:altName w:val="仿宋"/>
    <w:panose1 w:val="00000000000000000000"/>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文泉驿微米黑">
    <w:panose1 w:val="020B0606030804020204"/>
    <w:charset w:val="86"/>
    <w:family w:val="auto"/>
    <w:pitch w:val="default"/>
    <w:sig w:usb0="E10002EF" w:usb1="6BDFFCFB" w:usb2="00800036" w:usb3="00000000" w:csb0="603E019F" w:csb1="DFD70000"/>
  </w:font>
  <w:font w:name="等线">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 PAGE   \* MERGEFORMAT \* MERGEFORMAT </w:instrText>
    </w:r>
    <w:r>
      <w:fldChar w:fldCharType="separate"/>
    </w:r>
    <w:r>
      <w:t>12</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rPr>
        <w:lang w:val="zh-CN"/>
      </w:rPr>
      <w:t>18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 PAGE   \* MERGEFORMAT \* MERGEFORMAT </w:instrText>
    </w:r>
    <w:r>
      <w:fldChar w:fldCharType="separate"/>
    </w:r>
    <w:r>
      <w:t>16</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rPr>
        <w:lang w:val="zh-CN"/>
      </w:rPr>
      <w:t>20</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 PAGE   \* MERGEFORMAT \* MERGEFORMAT </w:instrText>
    </w:r>
    <w:r>
      <w:fldChar w:fldCharType="separate"/>
    </w:r>
    <w:r>
      <w:t>20</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rPr>
        <w:lang w:val="zh-CN"/>
      </w:rPr>
      <w:t>22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 PAGE   \* MERGEFORMAT \* MERGEFORMAT </w:instrText>
    </w:r>
    <w:r>
      <w:fldChar w:fldCharType="separate"/>
    </w:r>
    <w:r>
      <w:t>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rPr>
        <w:lang w:val="zh-CN"/>
      </w:rPr>
      <w:t>10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 PAGE   \* MERGEFORMAT \* MERGEFORMAT </w:instrText>
    </w:r>
    <w:r>
      <w:fldChar w:fldCharType="separate"/>
    </w:r>
    <w:r>
      <w:t>10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rPr>
        <w:lang w:val="zh-CN"/>
      </w:rPr>
      <w:t>11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 PAGE   \* MERGEFORMAT \* MERGEFORMAT </w:instrText>
    </w:r>
    <w:r>
      <w:fldChar w:fldCharType="separate"/>
    </w:r>
    <w: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rPr>
        <w:lang w:val="zh-CN"/>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DB11/T 596—XXXX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rPr>
        <w:rFonts w:hint="eastAsia"/>
      </w:rPr>
      <w:fldChar w:fldCharType="begin"/>
    </w:r>
    <w:r>
      <w:rPr>
        <w:rFonts w:hint="eastAsia"/>
      </w:rPr>
      <w:instrText xml:space="preserve"> STYLEREF  标准文件_文件编号 \* MERGEFORMAT </w:instrText>
    </w:r>
    <w:r>
      <w:rPr>
        <w:rFonts w:hint="eastAsia"/>
      </w:rPr>
      <w:fldChar w:fldCharType="separate"/>
    </w:r>
    <w:r>
      <w:t>DB11/T 596—XXXX</w:t>
    </w:r>
    <w:r>
      <w:rPr>
        <w:rFonts w:hint="eastAsi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DB11/T 596—XXXX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rPr>
        <w:rFonts w:hint="eastAsia"/>
      </w:rPr>
      <w:fldChar w:fldCharType="begin"/>
    </w:r>
    <w:r>
      <w:rPr>
        <w:rFonts w:hint="eastAsia"/>
      </w:rPr>
      <w:instrText xml:space="preserve"> STYLEREF  标准文件_文件编号 \* MERGEFORMAT </w:instrText>
    </w:r>
    <w:r>
      <w:rPr>
        <w:rFonts w:hint="eastAsia"/>
      </w:rPr>
      <w:fldChar w:fldCharType="separate"/>
    </w:r>
    <w:r>
      <w:t>DB11/T 596—XXXX</w:t>
    </w:r>
    <w:r>
      <w:rPr>
        <w:rFonts w:hint="eastAsi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DB11/T 596—XXXX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rPr>
        <w:rFonts w:hint="eastAsia"/>
      </w:rPr>
      <w:fldChar w:fldCharType="begin"/>
    </w:r>
    <w:r>
      <w:rPr>
        <w:rFonts w:hint="eastAsia"/>
      </w:rPr>
      <w:instrText xml:space="preserve"> STYLEREF  标准文件_文件编号 \* MERGEFORMAT </w:instrText>
    </w:r>
    <w:r>
      <w:rPr>
        <w:rFonts w:hint="eastAsia"/>
      </w:rPr>
      <w:fldChar w:fldCharType="separate"/>
    </w:r>
    <w:r>
      <w:t>DB11/T 596—XXXX</w:t>
    </w:r>
    <w:r>
      <w:rPr>
        <w:rFonts w:hint="eastAsi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DB11/T 596—XXXX</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rPr>
        <w:rFonts w:hint="eastAsia"/>
      </w:rPr>
      <w:fldChar w:fldCharType="begin"/>
    </w:r>
    <w:r>
      <w:rPr>
        <w:rFonts w:hint="eastAsia"/>
      </w:rPr>
      <w:instrText xml:space="preserve"> STYLEREF  标准文件_文件编号 \* MERGEFORMAT </w:instrText>
    </w:r>
    <w:r>
      <w:rPr>
        <w:rFonts w:hint="eastAsia"/>
      </w:rPr>
      <w:fldChar w:fldCharType="separate"/>
    </w:r>
    <w:r>
      <w:t>DB11/T 596—XXXX</w:t>
    </w:r>
    <w:r>
      <w:rPr>
        <w:rFonts w:hint="eastAsi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DB 11/T 596—2025</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DB11/T 596—XXXX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rPr>
        <w:rFonts w:hint="eastAsia"/>
      </w:rPr>
      <w:fldChar w:fldCharType="begin"/>
    </w:r>
    <w:r>
      <w:rPr>
        <w:rFonts w:hint="eastAsia"/>
      </w:rPr>
      <w:instrText xml:space="preserve"> STYLEREF  标准文件_文件编号 \* MERGEFORMAT </w:instrText>
    </w:r>
    <w:r>
      <w:rPr>
        <w:rFonts w:hint="eastAsia"/>
      </w:rPr>
      <w:fldChar w:fldCharType="separate"/>
    </w:r>
    <w:r>
      <w:t>DB11/T 596—XXXX</w:t>
    </w:r>
    <w:r>
      <w:rPr>
        <w:rFonts w:hint="eastAsi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DB11/T 596—XXXX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rPr>
        <w:rFonts w:hint="eastAsia"/>
      </w:rPr>
      <w:fldChar w:fldCharType="begin"/>
    </w:r>
    <w:r>
      <w:rPr>
        <w:rFonts w:hint="eastAsia"/>
      </w:rPr>
      <w:instrText xml:space="preserve"> STYLEREF  标准文件_文件编号 \* MERGEFORMAT </w:instrText>
    </w:r>
    <w:r>
      <w:rPr>
        <w:rFonts w:hint="eastAsia"/>
      </w:rPr>
      <w:fldChar w:fldCharType="separate"/>
    </w:r>
    <w:r>
      <w:t>DB11/T 596—XXXX</w:t>
    </w:r>
    <w:r>
      <w:rPr>
        <w:rFonts w:hint="eastAsi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DB11/T 596—XXXX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DB 11/T 596—2025</w:t>
    </w:r>
    <w:r>
      <w:rPr>
        <w:rFonts w:hint="eastAsi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7"/>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2"/>
      <w:suff w:val="nothing"/>
      <w:lvlText w:val="%1%2.%3　"/>
      <w:lvlJc w:val="left"/>
      <w:pPr>
        <w:ind w:left="0" w:firstLine="0"/>
      </w:pPr>
    </w:lvl>
    <w:lvl w:ilvl="3" w:tentative="0">
      <w:start w:val="1"/>
      <w:numFmt w:val="decimal"/>
      <w:pStyle w:val="121"/>
      <w:suff w:val="nothing"/>
      <w:lvlText w:val="%1%2.%3.%4　"/>
      <w:lvlJc w:val="left"/>
      <w:pPr>
        <w:ind w:left="0" w:firstLine="0"/>
      </w:pPr>
    </w:lvl>
    <w:lvl w:ilvl="4" w:tentative="0">
      <w:start w:val="1"/>
      <w:numFmt w:val="decimal"/>
      <w:pStyle w:val="156"/>
      <w:suff w:val="nothing"/>
      <w:lvlText w:val="%1%2.%3.%4.%5　"/>
      <w:lvlJc w:val="left"/>
      <w:pPr>
        <w:ind w:left="0" w:firstLine="0"/>
      </w:pPr>
    </w:lvl>
    <w:lvl w:ilvl="5" w:tentative="0">
      <w:start w:val="1"/>
      <w:numFmt w:val="decimal"/>
      <w:pStyle w:val="158"/>
      <w:suff w:val="nothing"/>
      <w:lvlText w:val="%1%2.%3.%4.%5.%6　"/>
      <w:lvlJc w:val="left"/>
      <w:pPr>
        <w:ind w:left="0" w:firstLine="0"/>
      </w:pPr>
    </w:lvl>
    <w:lvl w:ilvl="6" w:tentative="0">
      <w:start w:val="1"/>
      <w:numFmt w:val="decimal"/>
      <w:pStyle w:val="161"/>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3"/>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2"/>
      <w:lvlText w:val="%1"/>
      <w:lvlJc w:val="left"/>
      <w:pPr>
        <w:ind w:left="425" w:hanging="425"/>
      </w:pPr>
      <w:rPr>
        <w:rFonts w:hint="eastAsia"/>
      </w:rPr>
    </w:lvl>
    <w:lvl w:ilvl="1" w:tentative="0">
      <w:start w:val="1"/>
      <w:numFmt w:val="decimal"/>
      <w:pStyle w:val="203"/>
      <w:suff w:val="nothing"/>
      <w:lvlText w:val="%10.%2 "/>
      <w:lvlJc w:val="left"/>
      <w:pPr>
        <w:ind w:left="0" w:firstLine="0"/>
      </w:pPr>
      <w:rPr>
        <w:rFonts w:hint="eastAsia" w:ascii="黑体" w:eastAsia="黑体" w:hAnsiTheme="minorHAnsi"/>
        <w:b w:val="0"/>
        <w:i w:val="0"/>
        <w:sz w:val="21"/>
      </w:rPr>
    </w:lvl>
    <w:lvl w:ilvl="2" w:tentative="0">
      <w:start w:val="1"/>
      <w:numFmt w:val="decimal"/>
      <w:pStyle w:val="204"/>
      <w:suff w:val="nothing"/>
      <w:lvlText w:val="%10.%2.%3 "/>
      <w:lvlJc w:val="left"/>
      <w:pPr>
        <w:ind w:left="0" w:firstLine="0"/>
      </w:pPr>
      <w:rPr>
        <w:rFonts w:hint="eastAsia" w:ascii="黑体" w:eastAsia="黑体" w:hAnsiTheme="minorHAnsi"/>
        <w:b w:val="0"/>
        <w:i w:val="0"/>
        <w:sz w:val="21"/>
      </w:rPr>
    </w:lvl>
    <w:lvl w:ilvl="3" w:tentative="0">
      <w:start w:val="1"/>
      <w:numFmt w:val="decimal"/>
      <w:pStyle w:val="205"/>
      <w:suff w:val="nothing"/>
      <w:lvlText w:val="%10.%2.%3.%4 "/>
      <w:lvlJc w:val="left"/>
      <w:pPr>
        <w:ind w:left="0" w:firstLine="0"/>
      </w:pPr>
      <w:rPr>
        <w:rFonts w:hint="eastAsia" w:ascii="黑体" w:eastAsia="黑体" w:hAnsiTheme="minorHAnsi"/>
        <w:b w:val="0"/>
        <w:i w:val="0"/>
        <w:sz w:val="21"/>
      </w:rPr>
    </w:lvl>
    <w:lvl w:ilvl="4" w:tentative="0">
      <w:start w:val="1"/>
      <w:numFmt w:val="decimal"/>
      <w:pStyle w:val="206"/>
      <w:suff w:val="nothing"/>
      <w:lvlText w:val="%10.%2.%3.%4.%5 "/>
      <w:lvlJc w:val="left"/>
      <w:pPr>
        <w:ind w:left="0" w:firstLine="0"/>
      </w:pPr>
      <w:rPr>
        <w:rFonts w:hint="eastAsia" w:ascii="黑体" w:eastAsia="黑体" w:hAnsiTheme="minorHAnsi"/>
        <w:b w:val="0"/>
        <w:i w:val="0"/>
        <w:sz w:val="21"/>
      </w:rPr>
    </w:lvl>
    <w:lvl w:ilvl="5" w:tentative="0">
      <w:start w:val="1"/>
      <w:numFmt w:val="decimal"/>
      <w:pStyle w:val="207"/>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4"/>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0"/>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3"/>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8"/>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5"/>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5"/>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0"/>
      <w:lvlText w:val=""/>
      <w:lvlJc w:val="left"/>
      <w:pPr>
        <w:ind w:left="851" w:hanging="431"/>
      </w:pPr>
      <w:rPr>
        <w:rFonts w:hint="default" w:ascii="Symbol" w:hAnsi="Symbol"/>
        <w:sz w:val="21"/>
      </w:rPr>
    </w:lvl>
    <w:lvl w:ilvl="2" w:tentative="0">
      <w:start w:val="1"/>
      <w:numFmt w:val="bullet"/>
      <w:pStyle w:val="175"/>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4"/>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7"/>
      <w:lvlText w:val="%1)"/>
      <w:lvlJc w:val="left"/>
      <w:pPr>
        <w:tabs>
          <w:tab w:val="left" w:pos="851"/>
        </w:tabs>
        <w:ind w:left="851" w:hanging="426"/>
      </w:pPr>
      <w:rPr>
        <w:rFonts w:hint="eastAsia" w:ascii="宋体" w:hAnsi="Times New Roman" w:eastAsia="宋体"/>
        <w:sz w:val="21"/>
      </w:rPr>
    </w:lvl>
    <w:lvl w:ilvl="1" w:tentative="0">
      <w:start w:val="1"/>
      <w:numFmt w:val="decimal"/>
      <w:pStyle w:val="112"/>
      <w:lvlText w:val="%2)"/>
      <w:lvlJc w:val="left"/>
      <w:pPr>
        <w:tabs>
          <w:tab w:val="left" w:pos="1276"/>
        </w:tabs>
        <w:ind w:left="1276" w:hanging="425"/>
      </w:pPr>
      <w:rPr>
        <w:rFonts w:hint="eastAsia" w:ascii="宋体" w:hAnsi="Times New Roman" w:eastAsia="宋体"/>
        <w:sz w:val="21"/>
      </w:rPr>
    </w:lvl>
    <w:lvl w:ilvl="2" w:tentative="0">
      <w:start w:val="1"/>
      <w:numFmt w:val="decimal"/>
      <w:pStyle w:val="120"/>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1"/>
      <w:lvlText w:val="%1"/>
      <w:lvlJc w:val="left"/>
      <w:pPr>
        <w:ind w:left="420" w:hanging="420"/>
      </w:pPr>
      <w:rPr>
        <w:rFonts w:hint="eastAsia"/>
      </w:rPr>
    </w:lvl>
    <w:lvl w:ilvl="1" w:tentative="0">
      <w:start w:val="1"/>
      <w:numFmt w:val="decimal"/>
      <w:pStyle w:val="86"/>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6"/>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9"/>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6"/>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7"/>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2"/>
      <w:suff w:val="space"/>
      <w:lvlText w:val="%1"/>
      <w:lvlJc w:val="left"/>
      <w:pPr>
        <w:ind w:left="425" w:hanging="425"/>
      </w:pPr>
      <w:rPr>
        <w:rFonts w:hint="eastAsia"/>
      </w:rPr>
    </w:lvl>
    <w:lvl w:ilvl="1" w:tentative="0">
      <w:start w:val="1"/>
      <w:numFmt w:val="decimal"/>
      <w:pStyle w:val="80"/>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4"/>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5"/>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2"/>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9"/>
      <w:suff w:val="nothing"/>
      <w:lvlText w:val="附录%1"/>
      <w:lvlJc w:val="left"/>
      <w:pPr>
        <w:ind w:left="4820" w:firstLine="0"/>
      </w:pPr>
      <w:rPr>
        <w:rFonts w:hint="eastAsia"/>
        <w:spacing w:val="100"/>
      </w:rPr>
    </w:lvl>
    <w:lvl w:ilvl="1" w:tentative="0">
      <w:start w:val="1"/>
      <w:numFmt w:val="decimal"/>
      <w:pStyle w:val="81"/>
      <w:suff w:val="nothing"/>
      <w:lvlText w:val="%1.%2　"/>
      <w:lvlJc w:val="left"/>
      <w:pPr>
        <w:ind w:left="0" w:firstLine="0"/>
      </w:pPr>
      <w:rPr>
        <w:rFonts w:hint="eastAsia" w:ascii="黑体" w:eastAsia="黑体"/>
        <w:b w:val="0"/>
        <w:i w:val="0"/>
        <w:sz w:val="21"/>
      </w:rPr>
    </w:lvl>
    <w:lvl w:ilvl="2" w:tentative="0">
      <w:start w:val="1"/>
      <w:numFmt w:val="decimal"/>
      <w:pStyle w:val="82"/>
      <w:suff w:val="nothing"/>
      <w:lvlText w:val="%1.%2.%3　"/>
      <w:lvlJc w:val="left"/>
      <w:pPr>
        <w:ind w:left="0" w:firstLine="0"/>
      </w:pPr>
      <w:rPr>
        <w:rFonts w:hint="eastAsia" w:ascii="黑体" w:eastAsia="黑体"/>
        <w:b w:val="0"/>
        <w:i w:val="0"/>
        <w:sz w:val="21"/>
      </w:rPr>
    </w:lvl>
    <w:lvl w:ilvl="3" w:tentative="0">
      <w:start w:val="1"/>
      <w:numFmt w:val="decimal"/>
      <w:pStyle w:val="84"/>
      <w:suff w:val="nothing"/>
      <w:lvlText w:val="%1.%2.%3.%4　"/>
      <w:lvlJc w:val="left"/>
      <w:pPr>
        <w:ind w:left="0" w:firstLine="0"/>
      </w:pPr>
      <w:rPr>
        <w:rFonts w:hint="eastAsia" w:ascii="黑体" w:eastAsia="黑体"/>
        <w:b w:val="0"/>
        <w:i w:val="0"/>
        <w:sz w:val="21"/>
      </w:rPr>
    </w:lvl>
    <w:lvl w:ilvl="4" w:tentative="0">
      <w:start w:val="1"/>
      <w:numFmt w:val="decimal"/>
      <w:pStyle w:val="85"/>
      <w:suff w:val="nothing"/>
      <w:lvlText w:val="%1.%2.%3.%4.%5　"/>
      <w:lvlJc w:val="left"/>
      <w:pPr>
        <w:ind w:left="0" w:firstLine="0"/>
      </w:pPr>
      <w:rPr>
        <w:rFonts w:hint="eastAsia" w:ascii="黑体" w:eastAsia="黑体"/>
        <w:b w:val="0"/>
        <w:i w:val="0"/>
        <w:sz w:val="21"/>
      </w:rPr>
    </w:lvl>
    <w:lvl w:ilvl="5" w:tentative="0">
      <w:start w:val="1"/>
      <w:numFmt w:val="decimal"/>
      <w:pStyle w:val="87"/>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1"/>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0"/>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5"/>
      <w:suff w:val="nothing"/>
      <w:lvlText w:val="%1"/>
      <w:lvlJc w:val="left"/>
      <w:pPr>
        <w:ind w:left="0" w:firstLine="0"/>
      </w:pPr>
      <w:rPr>
        <w:rFonts w:hint="eastAsia"/>
      </w:rPr>
    </w:lvl>
    <w:lvl w:ilvl="1" w:tentative="0">
      <w:start w:val="1"/>
      <w:numFmt w:val="decimal"/>
      <w:pStyle w:val="107"/>
      <w:suff w:val="nothing"/>
      <w:lvlText w:val="%1%2　"/>
      <w:lvlJc w:val="left"/>
      <w:pPr>
        <w:ind w:left="0" w:firstLine="0"/>
      </w:pPr>
      <w:rPr>
        <w:rFonts w:hint="eastAsia" w:ascii="黑体" w:eastAsia="黑体"/>
        <w:b w:val="0"/>
        <w:i w:val="0"/>
        <w:sz w:val="21"/>
      </w:rPr>
    </w:lvl>
    <w:lvl w:ilvl="2" w:tentative="0">
      <w:start w:val="1"/>
      <w:numFmt w:val="decimal"/>
      <w:pStyle w:val="108"/>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68"/>
      <w:suff w:val="nothing"/>
      <w:lvlText w:val="%1%2.%3.%4　"/>
      <w:lvlJc w:val="left"/>
      <w:pPr>
        <w:ind w:left="0" w:firstLine="0"/>
      </w:pPr>
      <w:rPr>
        <w:rFonts w:hint="eastAsia" w:ascii="黑体" w:eastAsia="黑体"/>
        <w:b w:val="0"/>
        <w:i w:val="0"/>
        <w:sz w:val="21"/>
      </w:rPr>
    </w:lvl>
    <w:lvl w:ilvl="4" w:tentative="0">
      <w:start w:val="1"/>
      <w:numFmt w:val="decimal"/>
      <w:pStyle w:val="97"/>
      <w:suff w:val="nothing"/>
      <w:lvlText w:val="%1%2.%3.%4.%5　"/>
      <w:lvlJc w:val="left"/>
      <w:pPr>
        <w:ind w:left="0" w:firstLine="0"/>
      </w:pPr>
      <w:rPr>
        <w:rFonts w:hint="eastAsia" w:ascii="黑体" w:eastAsia="黑体"/>
        <w:b w:val="0"/>
        <w:i w:val="0"/>
        <w:sz w:val="21"/>
      </w:rPr>
    </w:lvl>
    <w:lvl w:ilvl="5" w:tentative="0">
      <w:start w:val="1"/>
      <w:numFmt w:val="decimal"/>
      <w:pStyle w:val="101"/>
      <w:suff w:val="nothing"/>
      <w:lvlText w:val="%1%2.%3.%4.%5.%6　"/>
      <w:lvlJc w:val="left"/>
      <w:pPr>
        <w:ind w:left="0" w:firstLine="0"/>
      </w:pPr>
      <w:rPr>
        <w:rFonts w:hint="eastAsia" w:ascii="黑体" w:eastAsia="黑体"/>
        <w:b w:val="0"/>
        <w:i w:val="0"/>
        <w:sz w:val="21"/>
      </w:rPr>
    </w:lvl>
    <w:lvl w:ilvl="6" w:tentative="0">
      <w:start w:val="1"/>
      <w:numFmt w:val="decimal"/>
      <w:pStyle w:val="106"/>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2"/>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8"/>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2"/>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6"/>
  <w:bordersDoNotSurroundHeader w:val="true"/>
  <w:bordersDoNotSurroundFooter w:val="true"/>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E41"/>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377"/>
    <w:rsid w:val="0004249A"/>
    <w:rsid w:val="00043282"/>
    <w:rsid w:val="00044286"/>
    <w:rsid w:val="000449D7"/>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A7D55"/>
    <w:rsid w:val="000B060F"/>
    <w:rsid w:val="000B1592"/>
    <w:rsid w:val="000B1FF2"/>
    <w:rsid w:val="000B3CDA"/>
    <w:rsid w:val="000B4C44"/>
    <w:rsid w:val="000B6A0B"/>
    <w:rsid w:val="000C0F6C"/>
    <w:rsid w:val="000C11DB"/>
    <w:rsid w:val="000C1492"/>
    <w:rsid w:val="000C2FBD"/>
    <w:rsid w:val="000C4B41"/>
    <w:rsid w:val="000C57D6"/>
    <w:rsid w:val="000C6362"/>
    <w:rsid w:val="000C6620"/>
    <w:rsid w:val="000C7666"/>
    <w:rsid w:val="000D0A9C"/>
    <w:rsid w:val="000D1795"/>
    <w:rsid w:val="000D329A"/>
    <w:rsid w:val="000D4B9C"/>
    <w:rsid w:val="000D4EB6"/>
    <w:rsid w:val="000D753B"/>
    <w:rsid w:val="000E4C9E"/>
    <w:rsid w:val="000E5625"/>
    <w:rsid w:val="000E6FD7"/>
    <w:rsid w:val="000F06E1"/>
    <w:rsid w:val="000F0E3C"/>
    <w:rsid w:val="000F19D5"/>
    <w:rsid w:val="000F2FF0"/>
    <w:rsid w:val="000F3421"/>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50B"/>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4EF"/>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D4813"/>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37532"/>
    <w:rsid w:val="00243540"/>
    <w:rsid w:val="0024497B"/>
    <w:rsid w:val="0024515B"/>
    <w:rsid w:val="00246021"/>
    <w:rsid w:val="0024666E"/>
    <w:rsid w:val="00247F52"/>
    <w:rsid w:val="00250B25"/>
    <w:rsid w:val="00250BBE"/>
    <w:rsid w:val="002515C2"/>
    <w:rsid w:val="0025194F"/>
    <w:rsid w:val="002604BD"/>
    <w:rsid w:val="0026148A"/>
    <w:rsid w:val="00262696"/>
    <w:rsid w:val="00263D25"/>
    <w:rsid w:val="002643C3"/>
    <w:rsid w:val="00264A0C"/>
    <w:rsid w:val="00266EEB"/>
    <w:rsid w:val="00267EF4"/>
    <w:rsid w:val="00270CB8"/>
    <w:rsid w:val="00272B08"/>
    <w:rsid w:val="002771AC"/>
    <w:rsid w:val="002809A2"/>
    <w:rsid w:val="00281BB8"/>
    <w:rsid w:val="00281E9E"/>
    <w:rsid w:val="00282405"/>
    <w:rsid w:val="00285170"/>
    <w:rsid w:val="00285361"/>
    <w:rsid w:val="00290EDB"/>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2F5"/>
    <w:rsid w:val="002D79AC"/>
    <w:rsid w:val="002E039D"/>
    <w:rsid w:val="002E4D5A"/>
    <w:rsid w:val="002E6326"/>
    <w:rsid w:val="002F30E0"/>
    <w:rsid w:val="002F35E4"/>
    <w:rsid w:val="002F3730"/>
    <w:rsid w:val="002F38E1"/>
    <w:rsid w:val="002F7AF6"/>
    <w:rsid w:val="00300E63"/>
    <w:rsid w:val="00302BD9"/>
    <w:rsid w:val="00302F5F"/>
    <w:rsid w:val="0030441D"/>
    <w:rsid w:val="00306063"/>
    <w:rsid w:val="00313B85"/>
    <w:rsid w:val="00316BC6"/>
    <w:rsid w:val="00317988"/>
    <w:rsid w:val="0032070F"/>
    <w:rsid w:val="003221B4"/>
    <w:rsid w:val="0032258D"/>
    <w:rsid w:val="00322E62"/>
    <w:rsid w:val="00324D13"/>
    <w:rsid w:val="00324D2A"/>
    <w:rsid w:val="00324EDD"/>
    <w:rsid w:val="003331E4"/>
    <w:rsid w:val="00336C64"/>
    <w:rsid w:val="00337162"/>
    <w:rsid w:val="0034194F"/>
    <w:rsid w:val="00344605"/>
    <w:rsid w:val="003474AA"/>
    <w:rsid w:val="00350D1D"/>
    <w:rsid w:val="003525EC"/>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0399"/>
    <w:rsid w:val="003A03FF"/>
    <w:rsid w:val="003A1582"/>
    <w:rsid w:val="003A4077"/>
    <w:rsid w:val="003B09AD"/>
    <w:rsid w:val="003B1F18"/>
    <w:rsid w:val="003B5BF0"/>
    <w:rsid w:val="003B60BF"/>
    <w:rsid w:val="003B6BE3"/>
    <w:rsid w:val="003C010C"/>
    <w:rsid w:val="003C0A6C"/>
    <w:rsid w:val="003C14F8"/>
    <w:rsid w:val="003C5A43"/>
    <w:rsid w:val="003C6F5A"/>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1CE7"/>
    <w:rsid w:val="0044412C"/>
    <w:rsid w:val="00445574"/>
    <w:rsid w:val="00446585"/>
    <w:rsid w:val="004467FB"/>
    <w:rsid w:val="00452D6B"/>
    <w:rsid w:val="00454484"/>
    <w:rsid w:val="0045517B"/>
    <w:rsid w:val="0045789E"/>
    <w:rsid w:val="00463B77"/>
    <w:rsid w:val="00463C7B"/>
    <w:rsid w:val="004644A6"/>
    <w:rsid w:val="004659BD"/>
    <w:rsid w:val="00470775"/>
    <w:rsid w:val="0047279B"/>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3F95"/>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3BE8"/>
    <w:rsid w:val="004E4AA5"/>
    <w:rsid w:val="004E4AEE"/>
    <w:rsid w:val="004E59E3"/>
    <w:rsid w:val="004E67C0"/>
    <w:rsid w:val="004F391A"/>
    <w:rsid w:val="004F3CFB"/>
    <w:rsid w:val="004F6456"/>
    <w:rsid w:val="004F696E"/>
    <w:rsid w:val="004F6C71"/>
    <w:rsid w:val="004F7EEA"/>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19B8"/>
    <w:rsid w:val="00533C43"/>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561F7"/>
    <w:rsid w:val="00561475"/>
    <w:rsid w:val="0056487B"/>
    <w:rsid w:val="00564FB9"/>
    <w:rsid w:val="005656A7"/>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69F5"/>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C74"/>
    <w:rsid w:val="00634D9E"/>
    <w:rsid w:val="00636E3E"/>
    <w:rsid w:val="006379F7"/>
    <w:rsid w:val="00637E4D"/>
    <w:rsid w:val="00640620"/>
    <w:rsid w:val="00641A1F"/>
    <w:rsid w:val="00645904"/>
    <w:rsid w:val="00651ACB"/>
    <w:rsid w:val="00651C47"/>
    <w:rsid w:val="006526B1"/>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2430"/>
    <w:rsid w:val="00695D22"/>
    <w:rsid w:val="006A07AA"/>
    <w:rsid w:val="006A1F61"/>
    <w:rsid w:val="006A25E5"/>
    <w:rsid w:val="006A2B46"/>
    <w:rsid w:val="006A336D"/>
    <w:rsid w:val="006A37B9"/>
    <w:rsid w:val="006A5E7C"/>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187A"/>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0DA4"/>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69E"/>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4D2"/>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1CB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91A"/>
    <w:rsid w:val="00863E05"/>
    <w:rsid w:val="00865ACA"/>
    <w:rsid w:val="00865D28"/>
    <w:rsid w:val="00865F85"/>
    <w:rsid w:val="00867C10"/>
    <w:rsid w:val="00870439"/>
    <w:rsid w:val="00870DA1"/>
    <w:rsid w:val="00882F5A"/>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3783"/>
    <w:rsid w:val="008D453D"/>
    <w:rsid w:val="008D53AD"/>
    <w:rsid w:val="008D562B"/>
    <w:rsid w:val="008D5733"/>
    <w:rsid w:val="008D622B"/>
    <w:rsid w:val="008D666C"/>
    <w:rsid w:val="008D7B54"/>
    <w:rsid w:val="008E0C9D"/>
    <w:rsid w:val="008E1648"/>
    <w:rsid w:val="008E1B3E"/>
    <w:rsid w:val="008E2319"/>
    <w:rsid w:val="008E4BB6"/>
    <w:rsid w:val="008E5518"/>
    <w:rsid w:val="008E68D0"/>
    <w:rsid w:val="008E6A84"/>
    <w:rsid w:val="008F0CDC"/>
    <w:rsid w:val="008F17A3"/>
    <w:rsid w:val="008F1ED3"/>
    <w:rsid w:val="008F23A5"/>
    <w:rsid w:val="008F4C29"/>
    <w:rsid w:val="008F70BD"/>
    <w:rsid w:val="008F788F"/>
    <w:rsid w:val="008F7EA2"/>
    <w:rsid w:val="00902722"/>
    <w:rsid w:val="009027BC"/>
    <w:rsid w:val="0090320A"/>
    <w:rsid w:val="009062E6"/>
    <w:rsid w:val="00911BE5"/>
    <w:rsid w:val="009133C7"/>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2A0E"/>
    <w:rsid w:val="0096381A"/>
    <w:rsid w:val="00965E04"/>
    <w:rsid w:val="009674AD"/>
    <w:rsid w:val="00970CDC"/>
    <w:rsid w:val="00977010"/>
    <w:rsid w:val="00977A7C"/>
    <w:rsid w:val="00977D02"/>
    <w:rsid w:val="009809BB"/>
    <w:rsid w:val="0098229F"/>
    <w:rsid w:val="0098364B"/>
    <w:rsid w:val="009911AF"/>
    <w:rsid w:val="009915F5"/>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C7639"/>
    <w:rsid w:val="009D112C"/>
    <w:rsid w:val="009D47FA"/>
    <w:rsid w:val="009D4C5B"/>
    <w:rsid w:val="009D50D2"/>
    <w:rsid w:val="009D535E"/>
    <w:rsid w:val="009D6BCA"/>
    <w:rsid w:val="009E0F62"/>
    <w:rsid w:val="009E4A58"/>
    <w:rsid w:val="009E5A2D"/>
    <w:rsid w:val="009E5AB2"/>
    <w:rsid w:val="009E6219"/>
    <w:rsid w:val="009F03B3"/>
    <w:rsid w:val="009F3926"/>
    <w:rsid w:val="00A0096C"/>
    <w:rsid w:val="00A01757"/>
    <w:rsid w:val="00A028C0"/>
    <w:rsid w:val="00A02BAE"/>
    <w:rsid w:val="00A06A6B"/>
    <w:rsid w:val="00A07E47"/>
    <w:rsid w:val="00A116C5"/>
    <w:rsid w:val="00A129D0"/>
    <w:rsid w:val="00A12C33"/>
    <w:rsid w:val="00A12E13"/>
    <w:rsid w:val="00A138BA"/>
    <w:rsid w:val="00A14C8E"/>
    <w:rsid w:val="00A153D9"/>
    <w:rsid w:val="00A15F09"/>
    <w:rsid w:val="00A169B6"/>
    <w:rsid w:val="00A2271D"/>
    <w:rsid w:val="00A237D5"/>
    <w:rsid w:val="00A253B2"/>
    <w:rsid w:val="00A26A12"/>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7DE"/>
    <w:rsid w:val="00A648CD"/>
    <w:rsid w:val="00A6537A"/>
    <w:rsid w:val="00A66619"/>
    <w:rsid w:val="00A67866"/>
    <w:rsid w:val="00A70B07"/>
    <w:rsid w:val="00A723F8"/>
    <w:rsid w:val="00A77CCB"/>
    <w:rsid w:val="00A8191F"/>
    <w:rsid w:val="00A83D8D"/>
    <w:rsid w:val="00A8446B"/>
    <w:rsid w:val="00A8473F"/>
    <w:rsid w:val="00A862D6"/>
    <w:rsid w:val="00A8715E"/>
    <w:rsid w:val="00A9295B"/>
    <w:rsid w:val="00A93B09"/>
    <w:rsid w:val="00A94247"/>
    <w:rsid w:val="00A952D7"/>
    <w:rsid w:val="00A963F7"/>
    <w:rsid w:val="00A96AD8"/>
    <w:rsid w:val="00AA052C"/>
    <w:rsid w:val="00AA1E45"/>
    <w:rsid w:val="00AA3ABE"/>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0EB"/>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67CA1"/>
    <w:rsid w:val="00B72880"/>
    <w:rsid w:val="00B758BF"/>
    <w:rsid w:val="00B77738"/>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3228"/>
    <w:rsid w:val="00BD52D7"/>
    <w:rsid w:val="00BD5AD2"/>
    <w:rsid w:val="00BE22F3"/>
    <w:rsid w:val="00BE5B52"/>
    <w:rsid w:val="00BE613E"/>
    <w:rsid w:val="00BE7B8D"/>
    <w:rsid w:val="00BF0993"/>
    <w:rsid w:val="00BF10A9"/>
    <w:rsid w:val="00BF1703"/>
    <w:rsid w:val="00BF231C"/>
    <w:rsid w:val="00BF4085"/>
    <w:rsid w:val="00BF51E5"/>
    <w:rsid w:val="00BF74A6"/>
    <w:rsid w:val="00C013AD"/>
    <w:rsid w:val="00C0250C"/>
    <w:rsid w:val="00C04904"/>
    <w:rsid w:val="00C056B3"/>
    <w:rsid w:val="00C103E5"/>
    <w:rsid w:val="00C13319"/>
    <w:rsid w:val="00C13EE9"/>
    <w:rsid w:val="00C21540"/>
    <w:rsid w:val="00C21906"/>
    <w:rsid w:val="00C21BFA"/>
    <w:rsid w:val="00C22148"/>
    <w:rsid w:val="00C24C8D"/>
    <w:rsid w:val="00C25FE2"/>
    <w:rsid w:val="00C26B53"/>
    <w:rsid w:val="00C26D6D"/>
    <w:rsid w:val="00C279B2"/>
    <w:rsid w:val="00C33E50"/>
    <w:rsid w:val="00C34C20"/>
    <w:rsid w:val="00C35A3E"/>
    <w:rsid w:val="00C42130"/>
    <w:rsid w:val="00C423A4"/>
    <w:rsid w:val="00C44BF5"/>
    <w:rsid w:val="00C521D6"/>
    <w:rsid w:val="00C55232"/>
    <w:rsid w:val="00C553A4"/>
    <w:rsid w:val="00C55A06"/>
    <w:rsid w:val="00C55D03"/>
    <w:rsid w:val="00C601BC"/>
    <w:rsid w:val="00C623F0"/>
    <w:rsid w:val="00C6329F"/>
    <w:rsid w:val="00C63340"/>
    <w:rsid w:val="00C643F9"/>
    <w:rsid w:val="00C64E95"/>
    <w:rsid w:val="00C71372"/>
    <w:rsid w:val="00C72410"/>
    <w:rsid w:val="00C7287F"/>
    <w:rsid w:val="00C80982"/>
    <w:rsid w:val="00C80CB8"/>
    <w:rsid w:val="00C819F8"/>
    <w:rsid w:val="00C81DB1"/>
    <w:rsid w:val="00C8248C"/>
    <w:rsid w:val="00C82620"/>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4F14"/>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1613"/>
    <w:rsid w:val="00D126F5"/>
    <w:rsid w:val="00D1489E"/>
    <w:rsid w:val="00D20737"/>
    <w:rsid w:val="00D21E81"/>
    <w:rsid w:val="00D223DE"/>
    <w:rsid w:val="00D22751"/>
    <w:rsid w:val="00D245B0"/>
    <w:rsid w:val="00D25E37"/>
    <w:rsid w:val="00D2661A"/>
    <w:rsid w:val="00D27582"/>
    <w:rsid w:val="00D27EC4"/>
    <w:rsid w:val="00D32719"/>
    <w:rsid w:val="00D33333"/>
    <w:rsid w:val="00D33457"/>
    <w:rsid w:val="00D34BF7"/>
    <w:rsid w:val="00D352A2"/>
    <w:rsid w:val="00D3660F"/>
    <w:rsid w:val="00D4162B"/>
    <w:rsid w:val="00D4514F"/>
    <w:rsid w:val="00D451E2"/>
    <w:rsid w:val="00D45E89"/>
    <w:rsid w:val="00D45E8D"/>
    <w:rsid w:val="00D466AE"/>
    <w:rsid w:val="00D4734F"/>
    <w:rsid w:val="00D51BF3"/>
    <w:rsid w:val="00D66846"/>
    <w:rsid w:val="00D675FB"/>
    <w:rsid w:val="00D71F25"/>
    <w:rsid w:val="00D72A9C"/>
    <w:rsid w:val="00D7653C"/>
    <w:rsid w:val="00D77031"/>
    <w:rsid w:val="00D84941"/>
    <w:rsid w:val="00D84FA1"/>
    <w:rsid w:val="00D851F0"/>
    <w:rsid w:val="00D86DB7"/>
    <w:rsid w:val="00D91736"/>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3396"/>
    <w:rsid w:val="00DD4FE5"/>
    <w:rsid w:val="00DD54B0"/>
    <w:rsid w:val="00DD57EE"/>
    <w:rsid w:val="00DD6BCC"/>
    <w:rsid w:val="00DE0A4B"/>
    <w:rsid w:val="00DE2410"/>
    <w:rsid w:val="00DE2939"/>
    <w:rsid w:val="00DE6E81"/>
    <w:rsid w:val="00DE703F"/>
    <w:rsid w:val="00DE7595"/>
    <w:rsid w:val="00DF1961"/>
    <w:rsid w:val="00DF44DE"/>
    <w:rsid w:val="00DF4D9C"/>
    <w:rsid w:val="00DF5F11"/>
    <w:rsid w:val="00E01138"/>
    <w:rsid w:val="00E01D19"/>
    <w:rsid w:val="00E02DFB"/>
    <w:rsid w:val="00E030F9"/>
    <w:rsid w:val="00E0311A"/>
    <w:rsid w:val="00E03138"/>
    <w:rsid w:val="00E06404"/>
    <w:rsid w:val="00E065D2"/>
    <w:rsid w:val="00E11A85"/>
    <w:rsid w:val="00E12495"/>
    <w:rsid w:val="00E15CCD"/>
    <w:rsid w:val="00E16F43"/>
    <w:rsid w:val="00E202EF"/>
    <w:rsid w:val="00E210B5"/>
    <w:rsid w:val="00E23D99"/>
    <w:rsid w:val="00E2552F"/>
    <w:rsid w:val="00E3137A"/>
    <w:rsid w:val="00E32CCF"/>
    <w:rsid w:val="00E346F7"/>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27C6"/>
    <w:rsid w:val="00EA52F7"/>
    <w:rsid w:val="00EA58D1"/>
    <w:rsid w:val="00EA61BC"/>
    <w:rsid w:val="00EA681A"/>
    <w:rsid w:val="00EA735B"/>
    <w:rsid w:val="00EB17DE"/>
    <w:rsid w:val="00EB1E69"/>
    <w:rsid w:val="00EB2086"/>
    <w:rsid w:val="00EB5EDF"/>
    <w:rsid w:val="00EB60FE"/>
    <w:rsid w:val="00EB74DB"/>
    <w:rsid w:val="00EC5359"/>
    <w:rsid w:val="00EC562A"/>
    <w:rsid w:val="00EC5D14"/>
    <w:rsid w:val="00ED067A"/>
    <w:rsid w:val="00ED2B50"/>
    <w:rsid w:val="00EE0350"/>
    <w:rsid w:val="00EE0719"/>
    <w:rsid w:val="00EE0E80"/>
    <w:rsid w:val="00EE54A6"/>
    <w:rsid w:val="00EE613F"/>
    <w:rsid w:val="00EE7295"/>
    <w:rsid w:val="00EE7869"/>
    <w:rsid w:val="00EF054A"/>
    <w:rsid w:val="00EF221E"/>
    <w:rsid w:val="00EF3235"/>
    <w:rsid w:val="00EF7E72"/>
    <w:rsid w:val="00F06D37"/>
    <w:rsid w:val="00F06DCA"/>
    <w:rsid w:val="00F07B9D"/>
    <w:rsid w:val="00F11586"/>
    <w:rsid w:val="00F1183B"/>
    <w:rsid w:val="00F11C9F"/>
    <w:rsid w:val="00F12263"/>
    <w:rsid w:val="00F1409D"/>
    <w:rsid w:val="00F14214"/>
    <w:rsid w:val="00F157A9"/>
    <w:rsid w:val="00F25BB6"/>
    <w:rsid w:val="00F26B7E"/>
    <w:rsid w:val="00F27A3B"/>
    <w:rsid w:val="00F33817"/>
    <w:rsid w:val="00F34B7B"/>
    <w:rsid w:val="00F420D5"/>
    <w:rsid w:val="00F44E41"/>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2E1"/>
    <w:rsid w:val="00F91349"/>
    <w:rsid w:val="00F93A8A"/>
    <w:rsid w:val="00F95248"/>
    <w:rsid w:val="00F956A9"/>
    <w:rsid w:val="00F963ED"/>
    <w:rsid w:val="00F966CF"/>
    <w:rsid w:val="00F96CAE"/>
    <w:rsid w:val="00F97C99"/>
    <w:rsid w:val="00FA4DAC"/>
    <w:rsid w:val="00FA662D"/>
    <w:rsid w:val="00FA7272"/>
    <w:rsid w:val="00FA73B1"/>
    <w:rsid w:val="00FB0CB9"/>
    <w:rsid w:val="00FB231D"/>
    <w:rsid w:val="00FB3025"/>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115E4BFD"/>
    <w:rsid w:val="18261368"/>
    <w:rsid w:val="7F694086"/>
    <w:rsid w:val="A1FF8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8"/>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9"/>
    <w:qFormat/>
    <w:uiPriority w:val="0"/>
    <w:pPr>
      <w:keepNext/>
      <w:keepLines/>
      <w:spacing w:before="260" w:after="260" w:line="416" w:lineRule="auto"/>
      <w:outlineLvl w:val="2"/>
    </w:pPr>
    <w:rPr>
      <w:b/>
      <w:bCs/>
      <w:sz w:val="32"/>
      <w:szCs w:val="32"/>
    </w:rPr>
  </w:style>
  <w:style w:type="paragraph" w:styleId="6">
    <w:name w:val="heading 4"/>
    <w:basedOn w:val="1"/>
    <w:next w:val="1"/>
    <w:link w:val="40"/>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41"/>
    <w:qFormat/>
    <w:uiPriority w:val="0"/>
    <w:pPr>
      <w:keepNext/>
      <w:keepLines/>
      <w:adjustRightInd/>
      <w:spacing w:before="280" w:after="290" w:line="376" w:lineRule="auto"/>
      <w:outlineLvl w:val="4"/>
    </w:pPr>
    <w:rPr>
      <w:b/>
      <w:bCs/>
      <w:sz w:val="28"/>
      <w:szCs w:val="28"/>
    </w:rPr>
  </w:style>
  <w:style w:type="paragraph" w:styleId="8">
    <w:name w:val="heading 6"/>
    <w:basedOn w:val="1"/>
    <w:next w:val="1"/>
    <w:link w:val="42"/>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3"/>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44"/>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45"/>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unhideWhenUsed/>
    <w:qFormat/>
    <w:uiPriority w:val="39"/>
    <w:pPr>
      <w:spacing w:line="300" w:lineRule="exact"/>
      <w:ind w:left="420"/>
    </w:pPr>
    <w:rPr>
      <w:rFonts w:ascii="宋体"/>
    </w:rPr>
  </w:style>
  <w:style w:type="paragraph" w:styleId="12">
    <w:name w:val="toc 7"/>
    <w:basedOn w:val="1"/>
    <w:next w:val="1"/>
    <w:unhideWhenUsed/>
    <w:qFormat/>
    <w:uiPriority w:val="39"/>
    <w:pPr>
      <w:tabs>
        <w:tab w:val="right" w:leader="dot" w:pos="9344"/>
      </w:tabs>
      <w:spacing w:line="300" w:lineRule="exact"/>
      <w:ind w:left="1259"/>
    </w:pPr>
    <w:rPr>
      <w:rFonts w:ascii="宋体"/>
    </w:rPr>
  </w:style>
  <w:style w:type="paragraph" w:styleId="13">
    <w:name w:val="Normal Indent"/>
    <w:basedOn w:val="1"/>
    <w:qFormat/>
    <w:uiPriority w:val="0"/>
    <w:pPr>
      <w:ind w:firstLine="420"/>
    </w:pPr>
  </w:style>
  <w:style w:type="paragraph" w:styleId="14">
    <w:name w:val="annotation text"/>
    <w:basedOn w:val="1"/>
    <w:link w:val="233"/>
    <w:semiHidden/>
    <w:unhideWhenUsed/>
    <w:qFormat/>
    <w:uiPriority w:val="99"/>
    <w:pPr>
      <w:jc w:val="left"/>
    </w:pPr>
  </w:style>
  <w:style w:type="paragraph" w:styleId="15">
    <w:name w:val="Body Text"/>
    <w:basedOn w:val="1"/>
    <w:link w:val="89"/>
    <w:qFormat/>
    <w:uiPriority w:val="0"/>
    <w:pPr>
      <w:spacing w:after="120"/>
    </w:pPr>
  </w:style>
  <w:style w:type="paragraph" w:styleId="16">
    <w:name w:val="toc 5"/>
    <w:basedOn w:val="1"/>
    <w:next w:val="1"/>
    <w:unhideWhenUsed/>
    <w:qFormat/>
    <w:uiPriority w:val="39"/>
    <w:pPr>
      <w:ind w:left="839"/>
    </w:pPr>
    <w:rPr>
      <w:rFonts w:ascii="宋体"/>
    </w:rPr>
  </w:style>
  <w:style w:type="paragraph" w:styleId="17">
    <w:name w:val="Balloon Text"/>
    <w:basedOn w:val="1"/>
    <w:link w:val="48"/>
    <w:semiHidden/>
    <w:unhideWhenUsed/>
    <w:qFormat/>
    <w:uiPriority w:val="99"/>
    <w:rPr>
      <w:sz w:val="18"/>
      <w:szCs w:val="18"/>
    </w:rPr>
  </w:style>
  <w:style w:type="paragraph" w:styleId="18">
    <w:name w:val="footer"/>
    <w:basedOn w:val="1"/>
    <w:link w:val="47"/>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6"/>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2"/>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Title"/>
    <w:basedOn w:val="1"/>
    <w:link w:val="51"/>
    <w:qFormat/>
    <w:uiPriority w:val="0"/>
    <w:pPr>
      <w:spacing w:before="240" w:after="60"/>
      <w:jc w:val="center"/>
      <w:outlineLvl w:val="0"/>
    </w:pPr>
    <w:rPr>
      <w:rFonts w:ascii="Arial" w:hAnsi="Arial" w:cs="Arial"/>
      <w:b/>
      <w:bCs/>
      <w:sz w:val="32"/>
      <w:szCs w:val="32"/>
    </w:rPr>
  </w:style>
  <w:style w:type="paragraph" w:styleId="27">
    <w:name w:val="annotation subject"/>
    <w:basedOn w:val="14"/>
    <w:next w:val="14"/>
    <w:link w:val="237"/>
    <w:semiHidden/>
    <w:unhideWhenUsed/>
    <w:qFormat/>
    <w:uiPriority w:val="99"/>
    <w:rPr>
      <w:b/>
      <w:bCs/>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22"/>
    <w:rPr>
      <w:b/>
      <w:bCs/>
    </w:rPr>
  </w:style>
  <w:style w:type="character" w:styleId="32">
    <w:name w:val="page number"/>
    <w:qFormat/>
    <w:uiPriority w:val="0"/>
    <w:rPr>
      <w:rFonts w:ascii="宋体" w:hAnsi="Times New Roman" w:eastAsia="宋体"/>
      <w:sz w:val="18"/>
    </w:rPr>
  </w:style>
  <w:style w:type="character" w:styleId="33">
    <w:name w:val="Emphasis"/>
    <w:qFormat/>
    <w:uiPriority w:val="20"/>
    <w:rPr>
      <w:i/>
      <w:iCs/>
    </w:rPr>
  </w:style>
  <w:style w:type="character" w:styleId="34">
    <w:name w:val="Hyperlink"/>
    <w:qFormat/>
    <w:uiPriority w:val="99"/>
    <w:rPr>
      <w:rFonts w:ascii="宋体" w:hAnsi="Times New Roman" w:eastAsia="宋体"/>
      <w:color w:val="auto"/>
      <w:spacing w:val="0"/>
      <w:w w:val="100"/>
      <w:position w:val="0"/>
      <w:sz w:val="21"/>
      <w:u w:val="none"/>
      <w:vertAlign w:val="baseline"/>
    </w:rPr>
  </w:style>
  <w:style w:type="character" w:styleId="35">
    <w:name w:val="annotation reference"/>
    <w:basedOn w:val="30"/>
    <w:semiHidden/>
    <w:unhideWhenUsed/>
    <w:qFormat/>
    <w:uiPriority w:val="99"/>
    <w:rPr>
      <w:sz w:val="21"/>
      <w:szCs w:val="21"/>
    </w:rPr>
  </w:style>
  <w:style w:type="character" w:styleId="36">
    <w:name w:val="footnote reference"/>
    <w:semiHidden/>
    <w:qFormat/>
    <w:uiPriority w:val="0"/>
    <w:rPr>
      <w:rFonts w:ascii="宋体" w:hAnsi="宋体" w:eastAsia="宋体" w:cs="Times New Roman"/>
      <w:spacing w:val="0"/>
      <w:sz w:val="18"/>
      <w:vertAlign w:val="superscript"/>
    </w:rPr>
  </w:style>
  <w:style w:type="character" w:customStyle="1" w:styleId="37">
    <w:name w:val="标题 1 Char"/>
    <w:link w:val="3"/>
    <w:qFormat/>
    <w:uiPriority w:val="0"/>
    <w:rPr>
      <w:b/>
      <w:bCs/>
      <w:kern w:val="44"/>
      <w:sz w:val="44"/>
      <w:szCs w:val="44"/>
    </w:rPr>
  </w:style>
  <w:style w:type="character" w:customStyle="1" w:styleId="38">
    <w:name w:val="标题 2 Char"/>
    <w:link w:val="4"/>
    <w:qFormat/>
    <w:uiPriority w:val="0"/>
    <w:rPr>
      <w:rFonts w:ascii="Arial" w:hAnsi="Arial" w:eastAsia="黑体"/>
      <w:b/>
      <w:bCs/>
      <w:kern w:val="2"/>
      <w:sz w:val="32"/>
      <w:szCs w:val="32"/>
    </w:rPr>
  </w:style>
  <w:style w:type="character" w:customStyle="1" w:styleId="39">
    <w:name w:val="标题 3 Char"/>
    <w:link w:val="5"/>
    <w:qFormat/>
    <w:uiPriority w:val="0"/>
    <w:rPr>
      <w:b/>
      <w:bCs/>
      <w:kern w:val="2"/>
      <w:sz w:val="32"/>
      <w:szCs w:val="32"/>
    </w:rPr>
  </w:style>
  <w:style w:type="character" w:customStyle="1" w:styleId="40">
    <w:name w:val="标题 4 Char"/>
    <w:link w:val="6"/>
    <w:qFormat/>
    <w:uiPriority w:val="0"/>
    <w:rPr>
      <w:rFonts w:ascii="Arial" w:hAnsi="Arial" w:eastAsia="黑体"/>
      <w:b/>
      <w:bCs/>
      <w:kern w:val="2"/>
      <w:sz w:val="28"/>
      <w:szCs w:val="28"/>
    </w:rPr>
  </w:style>
  <w:style w:type="character" w:customStyle="1" w:styleId="41">
    <w:name w:val="标题 5 Char"/>
    <w:link w:val="7"/>
    <w:qFormat/>
    <w:uiPriority w:val="0"/>
    <w:rPr>
      <w:b/>
      <w:bCs/>
      <w:kern w:val="2"/>
      <w:sz w:val="28"/>
      <w:szCs w:val="28"/>
    </w:rPr>
  </w:style>
  <w:style w:type="character" w:customStyle="1" w:styleId="42">
    <w:name w:val="标题 6 Char"/>
    <w:link w:val="8"/>
    <w:qFormat/>
    <w:uiPriority w:val="0"/>
    <w:rPr>
      <w:rFonts w:ascii="Arial" w:hAnsi="Arial" w:eastAsia="黑体"/>
      <w:b/>
      <w:bCs/>
      <w:kern w:val="2"/>
      <w:sz w:val="24"/>
      <w:szCs w:val="24"/>
    </w:rPr>
  </w:style>
  <w:style w:type="character" w:customStyle="1" w:styleId="43">
    <w:name w:val="标题 7 Char"/>
    <w:link w:val="9"/>
    <w:qFormat/>
    <w:uiPriority w:val="0"/>
    <w:rPr>
      <w:b/>
      <w:bCs/>
      <w:kern w:val="2"/>
      <w:sz w:val="24"/>
      <w:szCs w:val="24"/>
    </w:rPr>
  </w:style>
  <w:style w:type="character" w:customStyle="1" w:styleId="44">
    <w:name w:val="标题 8 Char"/>
    <w:link w:val="10"/>
    <w:qFormat/>
    <w:uiPriority w:val="0"/>
    <w:rPr>
      <w:rFonts w:ascii="Arial" w:hAnsi="Arial" w:eastAsia="黑体"/>
      <w:kern w:val="2"/>
      <w:sz w:val="24"/>
      <w:szCs w:val="24"/>
    </w:rPr>
  </w:style>
  <w:style w:type="character" w:customStyle="1" w:styleId="45">
    <w:name w:val="标题 9 Char"/>
    <w:link w:val="11"/>
    <w:qFormat/>
    <w:uiPriority w:val="0"/>
    <w:rPr>
      <w:rFonts w:ascii="Arial" w:hAnsi="Arial" w:eastAsia="黑体"/>
      <w:kern w:val="2"/>
      <w:sz w:val="21"/>
      <w:szCs w:val="21"/>
    </w:rPr>
  </w:style>
  <w:style w:type="character" w:customStyle="1" w:styleId="46">
    <w:name w:val="页眉 Char"/>
    <w:link w:val="19"/>
    <w:qFormat/>
    <w:uiPriority w:val="99"/>
    <w:rPr>
      <w:kern w:val="2"/>
      <w:sz w:val="18"/>
      <w:szCs w:val="18"/>
    </w:rPr>
  </w:style>
  <w:style w:type="character" w:customStyle="1" w:styleId="47">
    <w:name w:val="页脚 Char"/>
    <w:link w:val="18"/>
    <w:qFormat/>
    <w:uiPriority w:val="99"/>
    <w:rPr>
      <w:rFonts w:ascii="宋体"/>
      <w:kern w:val="2"/>
      <w:sz w:val="18"/>
      <w:szCs w:val="18"/>
    </w:rPr>
  </w:style>
  <w:style w:type="character" w:customStyle="1" w:styleId="48">
    <w:name w:val="批注框文本 Char"/>
    <w:link w:val="17"/>
    <w:semiHidden/>
    <w:qFormat/>
    <w:uiPriority w:val="99"/>
    <w:rPr>
      <w:kern w:val="2"/>
      <w:sz w:val="18"/>
      <w:szCs w:val="18"/>
    </w:rPr>
  </w:style>
  <w:style w:type="paragraph" w:styleId="49">
    <w:name w:val="Quote"/>
    <w:basedOn w:val="1"/>
    <w:next w:val="1"/>
    <w:link w:val="50"/>
    <w:qFormat/>
    <w:uiPriority w:val="29"/>
    <w:rPr>
      <w:i/>
      <w:iCs/>
      <w:color w:val="000000"/>
    </w:rPr>
  </w:style>
  <w:style w:type="character" w:customStyle="1" w:styleId="50">
    <w:name w:val="引用 Char"/>
    <w:link w:val="49"/>
    <w:qFormat/>
    <w:uiPriority w:val="29"/>
    <w:rPr>
      <w:i/>
      <w:iCs/>
      <w:color w:val="000000"/>
      <w:kern w:val="2"/>
      <w:sz w:val="21"/>
      <w:szCs w:val="21"/>
    </w:rPr>
  </w:style>
  <w:style w:type="character" w:customStyle="1" w:styleId="51">
    <w:name w:val="标题 Char"/>
    <w:link w:val="26"/>
    <w:qFormat/>
    <w:uiPriority w:val="0"/>
    <w:rPr>
      <w:rFonts w:ascii="Arial" w:hAnsi="Arial" w:cs="Arial"/>
      <w:b/>
      <w:bCs/>
      <w:kern w:val="2"/>
      <w:sz w:val="32"/>
      <w:szCs w:val="32"/>
    </w:rPr>
  </w:style>
  <w:style w:type="paragraph" w:customStyle="1" w:styleId="52">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4">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5">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6">
    <w:name w:val="标准书眉一"/>
    <w:qFormat/>
    <w:uiPriority w:val="0"/>
    <w:pPr>
      <w:jc w:val="both"/>
    </w:pPr>
    <w:rPr>
      <w:rFonts w:ascii="Times New Roman" w:hAnsi="Times New Roman" w:eastAsia="宋体" w:cs="Times New Roman"/>
      <w:lang w:val="en-US" w:eastAsia="zh-CN" w:bidi="ar-SA"/>
    </w:rPr>
  </w:style>
  <w:style w:type="paragraph" w:customStyle="1" w:styleId="57">
    <w:name w:val="标准文件_ICS"/>
    <w:basedOn w:val="1"/>
    <w:qFormat/>
    <w:uiPriority w:val="0"/>
    <w:pPr>
      <w:spacing w:line="0" w:lineRule="atLeast"/>
    </w:pPr>
    <w:rPr>
      <w:rFonts w:ascii="黑体" w:hAnsi="宋体" w:eastAsia="黑体"/>
    </w:rPr>
  </w:style>
  <w:style w:type="paragraph" w:customStyle="1" w:styleId="58">
    <w:name w:val="标准文件_标准正文"/>
    <w:basedOn w:val="1"/>
    <w:next w:val="59"/>
    <w:qFormat/>
    <w:uiPriority w:val="0"/>
    <w:pPr>
      <w:snapToGrid w:val="0"/>
      <w:ind w:firstLine="200" w:firstLineChars="200"/>
    </w:pPr>
    <w:rPr>
      <w:kern w:val="0"/>
    </w:rPr>
  </w:style>
  <w:style w:type="paragraph" w:customStyle="1" w:styleId="59">
    <w:name w:val="标准文件_段"/>
    <w:link w:val="18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标准文件_版本"/>
    <w:basedOn w:val="58"/>
    <w:qFormat/>
    <w:uiPriority w:val="0"/>
    <w:pPr>
      <w:adjustRightInd/>
      <w:snapToGrid/>
      <w:ind w:firstLine="0" w:firstLineChars="0"/>
    </w:pPr>
    <w:rPr>
      <w:rFonts w:ascii="宋体" w:hAnsi="宋体"/>
      <w:kern w:val="2"/>
    </w:rPr>
  </w:style>
  <w:style w:type="paragraph" w:customStyle="1" w:styleId="61">
    <w:name w:val="标准文件_标准部门"/>
    <w:basedOn w:val="1"/>
    <w:qFormat/>
    <w:uiPriority w:val="0"/>
    <w:pPr>
      <w:jc w:val="center"/>
    </w:pPr>
    <w:rPr>
      <w:rFonts w:ascii="黑体" w:eastAsia="黑体"/>
      <w:kern w:val="0"/>
      <w:sz w:val="44"/>
    </w:rPr>
  </w:style>
  <w:style w:type="paragraph" w:customStyle="1" w:styleId="62">
    <w:name w:val="标准文件_标准代替"/>
    <w:basedOn w:val="1"/>
    <w:next w:val="1"/>
    <w:qFormat/>
    <w:uiPriority w:val="0"/>
    <w:pPr>
      <w:spacing w:line="310" w:lineRule="exact"/>
      <w:jc w:val="right"/>
    </w:pPr>
    <w:rPr>
      <w:rFonts w:ascii="宋体" w:hAnsi="宋体"/>
      <w:kern w:val="0"/>
    </w:rPr>
  </w:style>
  <w:style w:type="paragraph" w:customStyle="1" w:styleId="63">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4">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5">
    <w:name w:val="标准文件_页眉偶数页"/>
    <w:basedOn w:val="64"/>
    <w:next w:val="1"/>
    <w:qFormat/>
    <w:uiPriority w:val="0"/>
    <w:pPr>
      <w:jc w:val="left"/>
    </w:pPr>
  </w:style>
  <w:style w:type="paragraph" w:customStyle="1" w:styleId="66">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7">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8">
    <w:name w:val="标准文件_二级条标题"/>
    <w:next w:val="59"/>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9">
    <w:name w:val="标准文件_发布"/>
    <w:qFormat/>
    <w:uiPriority w:val="0"/>
    <w:rPr>
      <w:rFonts w:ascii="黑体" w:eastAsia="黑体"/>
      <w:spacing w:val="0"/>
      <w:w w:val="100"/>
      <w:position w:val="3"/>
      <w:sz w:val="28"/>
    </w:rPr>
  </w:style>
  <w:style w:type="paragraph" w:customStyle="1" w:styleId="70">
    <w:name w:val="标准文件_方框数字列项"/>
    <w:basedOn w:val="59"/>
    <w:qFormat/>
    <w:uiPriority w:val="0"/>
    <w:pPr>
      <w:numPr>
        <w:ilvl w:val="0"/>
        <w:numId w:val="3"/>
      </w:numPr>
      <w:ind w:firstLine="0" w:firstLineChars="0"/>
    </w:pPr>
  </w:style>
  <w:style w:type="paragraph" w:customStyle="1" w:styleId="71">
    <w:name w:val="标准文件_封面标准编号"/>
    <w:basedOn w:val="1"/>
    <w:next w:val="62"/>
    <w:qFormat/>
    <w:uiPriority w:val="0"/>
    <w:pPr>
      <w:spacing w:line="310" w:lineRule="exact"/>
      <w:jc w:val="right"/>
    </w:pPr>
    <w:rPr>
      <w:rFonts w:ascii="黑体" w:eastAsia="黑体"/>
      <w:kern w:val="0"/>
      <w:sz w:val="28"/>
    </w:rPr>
  </w:style>
  <w:style w:type="paragraph" w:customStyle="1" w:styleId="72">
    <w:name w:val="标准文件_封面标准分类号"/>
    <w:basedOn w:val="1"/>
    <w:qFormat/>
    <w:uiPriority w:val="0"/>
    <w:rPr>
      <w:rFonts w:ascii="黑体" w:eastAsia="黑体"/>
      <w:b/>
      <w:kern w:val="0"/>
      <w:sz w:val="28"/>
    </w:rPr>
  </w:style>
  <w:style w:type="paragraph" w:customStyle="1" w:styleId="73">
    <w:name w:val="标准文件_封面标准名称"/>
    <w:basedOn w:val="1"/>
    <w:qFormat/>
    <w:uiPriority w:val="0"/>
    <w:pPr>
      <w:spacing w:line="240" w:lineRule="auto"/>
      <w:jc w:val="center"/>
    </w:pPr>
    <w:rPr>
      <w:rFonts w:ascii="黑体" w:eastAsia="黑体"/>
      <w:kern w:val="0"/>
      <w:sz w:val="52"/>
    </w:rPr>
  </w:style>
  <w:style w:type="paragraph" w:customStyle="1" w:styleId="74">
    <w:name w:val="标准文件_封面标准英文名称"/>
    <w:basedOn w:val="1"/>
    <w:qFormat/>
    <w:uiPriority w:val="0"/>
    <w:pPr>
      <w:spacing w:line="240" w:lineRule="auto"/>
      <w:jc w:val="center"/>
    </w:pPr>
    <w:rPr>
      <w:rFonts w:ascii="黑体" w:eastAsia="黑体"/>
      <w:b/>
      <w:sz w:val="28"/>
    </w:rPr>
  </w:style>
  <w:style w:type="paragraph" w:customStyle="1" w:styleId="75">
    <w:name w:val="标准文件_封面发布日期"/>
    <w:basedOn w:val="1"/>
    <w:qFormat/>
    <w:uiPriority w:val="0"/>
    <w:pPr>
      <w:spacing w:line="310" w:lineRule="exact"/>
    </w:pPr>
    <w:rPr>
      <w:rFonts w:ascii="黑体" w:eastAsia="黑体"/>
      <w:kern w:val="0"/>
      <w:sz w:val="28"/>
    </w:rPr>
  </w:style>
  <w:style w:type="paragraph" w:customStyle="1" w:styleId="76">
    <w:name w:val="标准文件_封面密级"/>
    <w:basedOn w:val="1"/>
    <w:qFormat/>
    <w:uiPriority w:val="0"/>
    <w:rPr>
      <w:rFonts w:eastAsia="黑体"/>
      <w:sz w:val="32"/>
    </w:rPr>
  </w:style>
  <w:style w:type="paragraph" w:customStyle="1" w:styleId="77">
    <w:name w:val="标准文件_封面实施日期"/>
    <w:basedOn w:val="1"/>
    <w:qFormat/>
    <w:uiPriority w:val="0"/>
    <w:pPr>
      <w:spacing w:line="310" w:lineRule="exact"/>
      <w:jc w:val="right"/>
    </w:pPr>
    <w:rPr>
      <w:rFonts w:ascii="黑体" w:eastAsia="黑体"/>
      <w:sz w:val="28"/>
    </w:rPr>
  </w:style>
  <w:style w:type="paragraph" w:customStyle="1" w:styleId="78">
    <w:name w:val="标准文件_封面抬头"/>
    <w:basedOn w:val="59"/>
    <w:qFormat/>
    <w:uiPriority w:val="0"/>
    <w:pPr>
      <w:adjustRightInd w:val="0"/>
      <w:spacing w:line="800" w:lineRule="exact"/>
      <w:ind w:firstLine="0" w:firstLineChars="0"/>
      <w:jc w:val="distribute"/>
    </w:pPr>
    <w:rPr>
      <w:rFonts w:ascii="黑体" w:eastAsia="黑体"/>
      <w:b/>
      <w:sz w:val="64"/>
    </w:rPr>
  </w:style>
  <w:style w:type="paragraph" w:customStyle="1" w:styleId="79">
    <w:name w:val="标准文件_附录标识"/>
    <w:next w:val="59"/>
    <w:qFormat/>
    <w:uiPriority w:val="0"/>
    <w:pPr>
      <w:numPr>
        <w:ilvl w:val="0"/>
        <w:numId w:val="4"/>
      </w:numPr>
      <w:shd w:val="clear" w:color="FFFFFF" w:fill="FFFFFF"/>
      <w:tabs>
        <w:tab w:val="left" w:pos="6406"/>
      </w:tabs>
      <w:spacing w:before="560" w:after="50" w:afterLines="50"/>
      <w:ind w:left="0"/>
      <w:jc w:val="center"/>
      <w:outlineLvl w:val="0"/>
    </w:pPr>
    <w:rPr>
      <w:rFonts w:ascii="黑体" w:hAnsi="Times New Roman" w:eastAsia="黑体" w:cs="Times New Roman"/>
      <w:sz w:val="21"/>
      <w:lang w:val="en-US" w:eastAsia="zh-CN" w:bidi="ar-SA"/>
    </w:rPr>
  </w:style>
  <w:style w:type="paragraph" w:customStyle="1" w:styleId="80">
    <w:name w:val="标准文件_附录表标题"/>
    <w:next w:val="59"/>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1">
    <w:name w:val="标准文件_附录一级条标题"/>
    <w:next w:val="59"/>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2">
    <w:name w:val="标准文件_附录二级条标题"/>
    <w:basedOn w:val="81"/>
    <w:next w:val="59"/>
    <w:qFormat/>
    <w:uiPriority w:val="0"/>
    <w:pPr>
      <w:widowControl/>
      <w:numPr>
        <w:ilvl w:val="2"/>
      </w:numPr>
      <w:wordWrap w:val="0"/>
      <w:overflowPunct w:val="0"/>
      <w:autoSpaceDE w:val="0"/>
      <w:autoSpaceDN w:val="0"/>
      <w:textAlignment w:val="baseline"/>
      <w:outlineLvl w:val="3"/>
    </w:pPr>
  </w:style>
  <w:style w:type="paragraph" w:customStyle="1" w:styleId="83">
    <w:name w:val="标准文件_附录公式"/>
    <w:basedOn w:val="58"/>
    <w:next w:val="58"/>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4">
    <w:name w:val="标准文件_附录三级条标题"/>
    <w:next w:val="59"/>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5">
    <w:name w:val="标准文件_附录四级条标题"/>
    <w:next w:val="59"/>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6">
    <w:name w:val="标准文件_附录图标题"/>
    <w:next w:val="59"/>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7">
    <w:name w:val="标准文件_附录五级条标题"/>
    <w:next w:val="59"/>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8">
    <w:name w:val="标准文件_附录英文标识"/>
    <w:next w:val="15"/>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9">
    <w:name w:val="正文文本 Char"/>
    <w:link w:val="15"/>
    <w:qFormat/>
    <w:uiPriority w:val="0"/>
    <w:rPr>
      <w:kern w:val="2"/>
      <w:sz w:val="21"/>
      <w:szCs w:val="21"/>
    </w:rPr>
  </w:style>
  <w:style w:type="paragraph" w:customStyle="1" w:styleId="90">
    <w:name w:val="标准文件_附录章标题"/>
    <w:next w:val="5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1">
    <w:name w:val="标准文件_公式后的破折号"/>
    <w:basedOn w:val="59"/>
    <w:next w:val="59"/>
    <w:qFormat/>
    <w:uiPriority w:val="0"/>
    <w:pPr>
      <w:ind w:left="488" w:leftChars="200" w:hanging="289" w:hangingChars="290"/>
    </w:pPr>
  </w:style>
  <w:style w:type="paragraph" w:customStyle="1" w:styleId="92">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3">
    <w:name w:val="标准文件_目次、标准名称标题"/>
    <w:basedOn w:val="92"/>
    <w:next w:val="59"/>
    <w:qFormat/>
    <w:uiPriority w:val="0"/>
    <w:pPr>
      <w:spacing w:line="460" w:lineRule="exact"/>
      <w:ind w:left="0" w:firstLine="0"/>
    </w:pPr>
  </w:style>
  <w:style w:type="paragraph" w:customStyle="1" w:styleId="94">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5">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6">
    <w:name w:val="标准文件_破折号列项（二级）"/>
    <w:basedOn w:val="95"/>
    <w:qFormat/>
    <w:uiPriority w:val="0"/>
    <w:pPr>
      <w:numPr>
        <w:numId w:val="10"/>
      </w:numPr>
    </w:pPr>
  </w:style>
  <w:style w:type="paragraph" w:customStyle="1" w:styleId="97">
    <w:name w:val="标准文件_三级条标题"/>
    <w:basedOn w:val="68"/>
    <w:next w:val="59"/>
    <w:qFormat/>
    <w:uiPriority w:val="0"/>
    <w:pPr>
      <w:widowControl/>
      <w:numPr>
        <w:ilvl w:val="4"/>
      </w:numPr>
      <w:outlineLvl w:val="3"/>
    </w:pPr>
  </w:style>
  <w:style w:type="character" w:customStyle="1" w:styleId="98">
    <w:name w:val="不明显参考1"/>
    <w:qFormat/>
    <w:uiPriority w:val="31"/>
    <w:rPr>
      <w:smallCaps/>
      <w:color w:val="C0504D"/>
      <w:u w:val="single"/>
    </w:rPr>
  </w:style>
  <w:style w:type="paragraph" w:customStyle="1" w:styleId="99">
    <w:name w:val="标准文件_示例后续"/>
    <w:basedOn w:val="1"/>
    <w:qFormat/>
    <w:uiPriority w:val="0"/>
    <w:pPr>
      <w:adjustRightInd/>
      <w:spacing w:line="240" w:lineRule="auto"/>
      <w:ind w:firstLine="200" w:firstLineChars="200"/>
    </w:pPr>
    <w:rPr>
      <w:sz w:val="18"/>
      <w:szCs w:val="24"/>
    </w:rPr>
  </w:style>
  <w:style w:type="paragraph" w:customStyle="1" w:styleId="100">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1">
    <w:name w:val="标准文件_四级条标题"/>
    <w:next w:val="59"/>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2">
    <w:name w:val="脚注文本 Char"/>
    <w:link w:val="22"/>
    <w:semiHidden/>
    <w:qFormat/>
    <w:uiPriority w:val="0"/>
    <w:rPr>
      <w:rFonts w:ascii="宋体"/>
      <w:kern w:val="2"/>
      <w:sz w:val="18"/>
      <w:szCs w:val="18"/>
    </w:rPr>
  </w:style>
  <w:style w:type="paragraph" w:customStyle="1" w:styleId="103">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4">
    <w:name w:val="标准文件_图表脚注"/>
    <w:basedOn w:val="1"/>
    <w:next w:val="59"/>
    <w:qFormat/>
    <w:uiPriority w:val="0"/>
    <w:pPr>
      <w:numPr>
        <w:ilvl w:val="0"/>
        <w:numId w:val="12"/>
      </w:numPr>
      <w:spacing w:line="240" w:lineRule="auto"/>
      <w:jc w:val="left"/>
    </w:pPr>
    <w:rPr>
      <w:rFonts w:ascii="宋体" w:hAnsi="宋体"/>
      <w:sz w:val="18"/>
    </w:rPr>
  </w:style>
  <w:style w:type="character" w:customStyle="1" w:styleId="105">
    <w:name w:val="标准文件_图表脚注内容"/>
    <w:qFormat/>
    <w:uiPriority w:val="0"/>
    <w:rPr>
      <w:rFonts w:ascii="宋体" w:hAnsi="宋体" w:eastAsia="宋体" w:cs="Times New Roman"/>
      <w:spacing w:val="0"/>
      <w:sz w:val="18"/>
      <w:vertAlign w:val="superscript"/>
    </w:rPr>
  </w:style>
  <w:style w:type="paragraph" w:customStyle="1" w:styleId="106">
    <w:name w:val="标准文件_五级条标题"/>
    <w:next w:val="59"/>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7">
    <w:name w:val="标准文件_章标题"/>
    <w:next w:val="59"/>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8">
    <w:name w:val="标准文件_一级条标题"/>
    <w:basedOn w:val="107"/>
    <w:next w:val="59"/>
    <w:qFormat/>
    <w:uiPriority w:val="0"/>
    <w:pPr>
      <w:numPr>
        <w:ilvl w:val="2"/>
      </w:numPr>
      <w:spacing w:before="50" w:beforeLines="50" w:after="50" w:afterLines="50"/>
      <w:outlineLvl w:val="1"/>
    </w:pPr>
  </w:style>
  <w:style w:type="paragraph" w:customStyle="1" w:styleId="109">
    <w:name w:val="标准文件_一致程度"/>
    <w:basedOn w:val="1"/>
    <w:qFormat/>
    <w:uiPriority w:val="0"/>
    <w:pPr>
      <w:spacing w:line="440" w:lineRule="exact"/>
      <w:jc w:val="center"/>
    </w:pPr>
    <w:rPr>
      <w:sz w:val="28"/>
    </w:rPr>
  </w:style>
  <w:style w:type="paragraph" w:customStyle="1" w:styleId="110">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1">
    <w:name w:val="标准文件_英文图表脚注"/>
    <w:basedOn w:val="58"/>
    <w:qFormat/>
    <w:uiPriority w:val="0"/>
    <w:pPr>
      <w:widowControl/>
      <w:adjustRightInd/>
      <w:snapToGrid/>
      <w:spacing w:line="240" w:lineRule="auto"/>
      <w:ind w:left="79" w:hanging="79" w:hangingChars="80"/>
    </w:pPr>
    <w:rPr>
      <w:rFonts w:ascii="宋体" w:hAnsi="宋体"/>
    </w:rPr>
  </w:style>
  <w:style w:type="paragraph" w:customStyle="1" w:styleId="112">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3">
    <w:name w:val="标准文件_英文注："/>
    <w:basedOn w:val="1"/>
    <w:next w:val="59"/>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4">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5">
    <w:name w:val="标准文件_正文表标题"/>
    <w:next w:val="59"/>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公式"/>
    <w:basedOn w:val="1"/>
    <w:next w:val="58"/>
    <w:qFormat/>
    <w:uiPriority w:val="0"/>
    <w:pPr>
      <w:tabs>
        <w:tab w:val="center" w:pos="4678"/>
        <w:tab w:val="right" w:leader="middleDot" w:pos="9356"/>
      </w:tabs>
      <w:spacing w:line="240" w:lineRule="auto"/>
    </w:pPr>
    <w:rPr>
      <w:rFonts w:ascii="宋体" w:hAnsi="宋体"/>
    </w:rPr>
  </w:style>
  <w:style w:type="paragraph" w:customStyle="1" w:styleId="117">
    <w:name w:val="标准文件_正文图标题"/>
    <w:next w:val="59"/>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英文表标题"/>
    <w:next w:val="59"/>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9">
    <w:name w:val="标准文件_正文英文图标题"/>
    <w:next w:val="59"/>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0">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1">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2">
    <w:name w:val="发布部门"/>
    <w:next w:val="59"/>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4">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8">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9">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0">
    <w:name w:val="封面正文"/>
    <w:qFormat/>
    <w:uiPriority w:val="0"/>
    <w:pPr>
      <w:jc w:val="both"/>
    </w:pPr>
    <w:rPr>
      <w:rFonts w:ascii="Times New Roman" w:hAnsi="Times New Roman" w:eastAsia="宋体" w:cs="Times New Roman"/>
      <w:lang w:val="en-US" w:eastAsia="zh-CN" w:bidi="ar-SA"/>
    </w:rPr>
  </w:style>
  <w:style w:type="paragraph" w:customStyle="1" w:styleId="131">
    <w:name w:val="附录二级无标题条"/>
    <w:basedOn w:val="1"/>
    <w:next w:val="59"/>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2">
    <w:name w:val="附录三级无标题条"/>
    <w:basedOn w:val="131"/>
    <w:next w:val="59"/>
    <w:qFormat/>
    <w:uiPriority w:val="0"/>
    <w:pPr>
      <w:outlineLvl w:val="4"/>
    </w:pPr>
  </w:style>
  <w:style w:type="paragraph" w:customStyle="1" w:styleId="133">
    <w:name w:val="附录四级无标题条"/>
    <w:basedOn w:val="132"/>
    <w:next w:val="59"/>
    <w:qFormat/>
    <w:uiPriority w:val="0"/>
    <w:pPr>
      <w:outlineLvl w:val="5"/>
    </w:pPr>
  </w:style>
  <w:style w:type="paragraph" w:customStyle="1" w:styleId="134">
    <w:name w:val="附录图"/>
    <w:next w:val="59"/>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5">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6">
    <w:name w:val="附录五级无标题条"/>
    <w:basedOn w:val="133"/>
    <w:next w:val="59"/>
    <w:qFormat/>
    <w:uiPriority w:val="0"/>
    <w:pPr>
      <w:outlineLvl w:val="6"/>
    </w:pPr>
  </w:style>
  <w:style w:type="paragraph" w:customStyle="1" w:styleId="137">
    <w:name w:val="附录性质"/>
    <w:basedOn w:val="1"/>
    <w:qFormat/>
    <w:uiPriority w:val="0"/>
    <w:pPr>
      <w:widowControl/>
      <w:adjustRightInd/>
      <w:jc w:val="center"/>
    </w:pPr>
    <w:rPr>
      <w:rFonts w:ascii="黑体" w:eastAsia="黑体"/>
    </w:rPr>
  </w:style>
  <w:style w:type="paragraph" w:customStyle="1" w:styleId="138">
    <w:name w:val="附录一级无标题条"/>
    <w:basedOn w:val="90"/>
    <w:next w:val="59"/>
    <w:qFormat/>
    <w:uiPriority w:val="0"/>
    <w:pPr>
      <w:autoSpaceDN w:val="0"/>
      <w:outlineLvl w:val="2"/>
    </w:pPr>
    <w:rPr>
      <w:rFonts w:ascii="宋体" w:hAnsi="宋体" w:eastAsia="宋体"/>
    </w:rPr>
  </w:style>
  <w:style w:type="character" w:customStyle="1" w:styleId="139">
    <w:name w:val="个人答复风格"/>
    <w:qFormat/>
    <w:uiPriority w:val="0"/>
    <w:rPr>
      <w:rFonts w:ascii="Arial" w:hAnsi="Arial" w:eastAsia="宋体" w:cs="Arial"/>
      <w:color w:val="auto"/>
      <w:spacing w:val="0"/>
      <w:sz w:val="20"/>
    </w:rPr>
  </w:style>
  <w:style w:type="character" w:customStyle="1" w:styleId="140">
    <w:name w:val="个人撰写风格"/>
    <w:qFormat/>
    <w:uiPriority w:val="0"/>
    <w:rPr>
      <w:rFonts w:ascii="Arial" w:hAnsi="Arial" w:eastAsia="宋体" w:cs="Arial"/>
      <w:color w:val="auto"/>
      <w:spacing w:val="0"/>
      <w:sz w:val="20"/>
    </w:rPr>
  </w:style>
  <w:style w:type="paragraph" w:customStyle="1" w:styleId="141">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2">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3">
    <w:name w:val="列项·"/>
    <w:basedOn w:val="59"/>
    <w:qFormat/>
    <w:uiPriority w:val="0"/>
    <w:pPr>
      <w:tabs>
        <w:tab w:val="left" w:pos="840"/>
      </w:tabs>
    </w:pPr>
  </w:style>
  <w:style w:type="paragraph" w:customStyle="1" w:styleId="14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5">
    <w:name w:val="目录 21"/>
    <w:basedOn w:val="1"/>
    <w:next w:val="1"/>
    <w:semiHidden/>
    <w:qFormat/>
    <w:uiPriority w:val="0"/>
    <w:pPr>
      <w:adjustRightInd/>
      <w:spacing w:line="240" w:lineRule="auto"/>
      <w:jc w:val="left"/>
    </w:pPr>
    <w:rPr>
      <w:bCs/>
      <w:iCs/>
    </w:rPr>
  </w:style>
  <w:style w:type="paragraph" w:customStyle="1" w:styleId="146">
    <w:name w:val="目录 31"/>
    <w:basedOn w:val="1"/>
    <w:next w:val="1"/>
    <w:semiHidden/>
    <w:qFormat/>
    <w:uiPriority w:val="0"/>
    <w:pPr>
      <w:spacing w:line="240" w:lineRule="auto"/>
    </w:pPr>
    <w:rPr>
      <w:rFonts w:ascii="宋体" w:hAnsi="宋体"/>
      <w:iCs/>
    </w:rPr>
  </w:style>
  <w:style w:type="paragraph" w:customStyle="1" w:styleId="147">
    <w:name w:val="目录 41"/>
    <w:basedOn w:val="1"/>
    <w:next w:val="1"/>
    <w:semiHidden/>
    <w:qFormat/>
    <w:uiPriority w:val="0"/>
    <w:pPr>
      <w:adjustRightInd/>
      <w:spacing w:line="240" w:lineRule="auto"/>
      <w:jc w:val="left"/>
    </w:pPr>
  </w:style>
  <w:style w:type="paragraph" w:customStyle="1" w:styleId="148">
    <w:name w:val="目录 51"/>
    <w:basedOn w:val="1"/>
    <w:next w:val="1"/>
    <w:semiHidden/>
    <w:qFormat/>
    <w:uiPriority w:val="0"/>
    <w:pPr>
      <w:spacing w:line="240" w:lineRule="auto"/>
    </w:pPr>
    <w:rPr>
      <w:rFonts w:ascii="宋体" w:hAnsi="宋体"/>
    </w:rPr>
  </w:style>
  <w:style w:type="paragraph" w:customStyle="1" w:styleId="149">
    <w:name w:val="目录 61"/>
    <w:basedOn w:val="1"/>
    <w:next w:val="1"/>
    <w:semiHidden/>
    <w:qFormat/>
    <w:uiPriority w:val="0"/>
    <w:pPr>
      <w:adjustRightInd/>
      <w:spacing w:line="240" w:lineRule="auto"/>
      <w:jc w:val="left"/>
    </w:pPr>
  </w:style>
  <w:style w:type="paragraph" w:customStyle="1" w:styleId="150">
    <w:name w:val="目录 71"/>
    <w:basedOn w:val="149"/>
    <w:semiHidden/>
    <w:qFormat/>
    <w:uiPriority w:val="0"/>
    <w:pPr>
      <w:ind w:left="1260"/>
    </w:pPr>
  </w:style>
  <w:style w:type="paragraph" w:customStyle="1" w:styleId="151">
    <w:name w:val="目录 81"/>
    <w:basedOn w:val="150"/>
    <w:semiHidden/>
    <w:qFormat/>
    <w:uiPriority w:val="0"/>
    <w:pPr>
      <w:ind w:left="1470"/>
    </w:pPr>
  </w:style>
  <w:style w:type="paragraph" w:customStyle="1" w:styleId="152">
    <w:name w:val="目录 91"/>
    <w:basedOn w:val="151"/>
    <w:semiHidden/>
    <w:qFormat/>
    <w:uiPriority w:val="0"/>
    <w:pPr>
      <w:ind w:left="1680"/>
    </w:pPr>
  </w:style>
  <w:style w:type="paragraph" w:customStyle="1" w:styleId="15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4">
    <w:name w:val="其他发布部门"/>
    <w:basedOn w:val="122"/>
    <w:qFormat/>
    <w:uiPriority w:val="0"/>
    <w:pPr>
      <w:framePr/>
      <w:spacing w:line="0" w:lineRule="atLeast"/>
    </w:pPr>
    <w:rPr>
      <w:rFonts w:ascii="黑体" w:eastAsia="黑体"/>
      <w:b w:val="0"/>
    </w:rPr>
  </w:style>
  <w:style w:type="paragraph" w:customStyle="1" w:styleId="155">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6">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7">
    <w:name w:val="实施日期"/>
    <w:basedOn w:val="123"/>
    <w:qFormat/>
    <w:uiPriority w:val="0"/>
    <w:pPr>
      <w:framePr w:hSpace="0" w:xAlign="right"/>
      <w:jc w:val="right"/>
    </w:pPr>
  </w:style>
  <w:style w:type="paragraph" w:customStyle="1" w:styleId="158">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0">
    <w:name w:val="无标题条"/>
    <w:next w:val="59"/>
    <w:qFormat/>
    <w:uiPriority w:val="0"/>
    <w:pPr>
      <w:jc w:val="both"/>
    </w:pPr>
    <w:rPr>
      <w:rFonts w:ascii="宋体" w:hAnsi="宋体" w:eastAsia="宋体" w:cs="Times New Roman"/>
      <w:sz w:val="21"/>
      <w:lang w:val="en-US" w:eastAsia="zh-CN" w:bidi="ar-SA"/>
    </w:rPr>
  </w:style>
  <w:style w:type="paragraph" w:customStyle="1" w:styleId="161">
    <w:name w:val="五级无标题条"/>
    <w:basedOn w:val="1"/>
    <w:qFormat/>
    <w:uiPriority w:val="0"/>
    <w:pPr>
      <w:numPr>
        <w:ilvl w:val="6"/>
        <w:numId w:val="20"/>
      </w:numPr>
      <w:adjustRightInd/>
    </w:pPr>
    <w:rPr>
      <w:szCs w:val="24"/>
    </w:rPr>
  </w:style>
  <w:style w:type="paragraph" w:customStyle="1" w:styleId="162">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3">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4">
    <w:name w:val="注×:后续"/>
    <w:basedOn w:val="163"/>
    <w:qFormat/>
    <w:uiPriority w:val="0"/>
    <w:pPr>
      <w:ind w:left="1406" w:leftChars="0" w:hanging="499" w:firstLineChars="0"/>
    </w:pPr>
  </w:style>
  <w:style w:type="paragraph" w:customStyle="1" w:styleId="165">
    <w:name w:val="标准文件_一级无标题"/>
    <w:basedOn w:val="108"/>
    <w:qFormat/>
    <w:uiPriority w:val="0"/>
    <w:pPr>
      <w:spacing w:before="0" w:beforeLines="0" w:after="0" w:afterLines="0"/>
      <w:outlineLvl w:val="9"/>
    </w:pPr>
    <w:rPr>
      <w:rFonts w:ascii="宋体" w:eastAsia="宋体"/>
    </w:rPr>
  </w:style>
  <w:style w:type="paragraph" w:customStyle="1" w:styleId="166">
    <w:name w:val="标准文件_五级无标题"/>
    <w:basedOn w:val="106"/>
    <w:qFormat/>
    <w:uiPriority w:val="0"/>
    <w:pPr>
      <w:spacing w:before="0" w:beforeLines="0" w:after="0" w:afterLines="0"/>
      <w:outlineLvl w:val="9"/>
    </w:pPr>
    <w:rPr>
      <w:rFonts w:ascii="宋体" w:eastAsia="宋体"/>
    </w:rPr>
  </w:style>
  <w:style w:type="paragraph" w:customStyle="1" w:styleId="167">
    <w:name w:val="标准文件_三级无标题"/>
    <w:basedOn w:val="97"/>
    <w:qFormat/>
    <w:uiPriority w:val="0"/>
    <w:pPr>
      <w:spacing w:before="0" w:beforeLines="0" w:after="0" w:afterLines="0"/>
      <w:outlineLvl w:val="9"/>
    </w:pPr>
    <w:rPr>
      <w:rFonts w:ascii="宋体" w:eastAsia="宋体"/>
    </w:rPr>
  </w:style>
  <w:style w:type="paragraph" w:customStyle="1" w:styleId="168">
    <w:name w:val="标准文件_二级无标题"/>
    <w:basedOn w:val="68"/>
    <w:qFormat/>
    <w:uiPriority w:val="0"/>
    <w:pPr>
      <w:spacing w:before="0" w:beforeLines="0" w:after="0" w:afterLines="0"/>
      <w:outlineLvl w:val="9"/>
    </w:pPr>
    <w:rPr>
      <w:rFonts w:ascii="宋体" w:eastAsia="宋体"/>
    </w:rPr>
  </w:style>
  <w:style w:type="paragraph" w:customStyle="1" w:styleId="169">
    <w:name w:val="标准_四级无标题"/>
    <w:basedOn w:val="101"/>
    <w:next w:val="59"/>
    <w:qFormat/>
    <w:uiPriority w:val="0"/>
    <w:rPr>
      <w:rFonts w:eastAsia="宋体"/>
    </w:rPr>
  </w:style>
  <w:style w:type="paragraph" w:customStyle="1" w:styleId="170">
    <w:name w:val="标准文件_四级无标题"/>
    <w:basedOn w:val="101"/>
    <w:qFormat/>
    <w:uiPriority w:val="0"/>
    <w:pPr>
      <w:spacing w:before="0" w:beforeLines="0" w:after="0" w:afterLines="0"/>
      <w:outlineLvl w:val="9"/>
    </w:pPr>
    <w:rPr>
      <w:rFonts w:ascii="宋体" w:hAnsi="黑体" w:eastAsia="宋体"/>
      <w:szCs w:val="52"/>
    </w:rPr>
  </w:style>
  <w:style w:type="paragraph" w:customStyle="1" w:styleId="171">
    <w:name w:val="标准文件_大写罗马数字编号列项"/>
    <w:basedOn w:val="59"/>
    <w:qFormat/>
    <w:uiPriority w:val="0"/>
    <w:pPr>
      <w:numPr>
        <w:ilvl w:val="0"/>
        <w:numId w:val="23"/>
      </w:numPr>
      <w:ind w:firstLine="0" w:firstLineChars="0"/>
    </w:pPr>
    <w:rPr>
      <w:rFonts w:ascii="Times New Roman" w:cs="Arial"/>
      <w:szCs w:val="28"/>
    </w:rPr>
  </w:style>
  <w:style w:type="paragraph" w:customStyle="1" w:styleId="172">
    <w:name w:val="标准文件_小写罗马数字编号列项"/>
    <w:basedOn w:val="59"/>
    <w:qFormat/>
    <w:uiPriority w:val="0"/>
    <w:pPr>
      <w:numPr>
        <w:ilvl w:val="0"/>
        <w:numId w:val="24"/>
      </w:numPr>
      <w:ind w:firstLine="0" w:firstLineChars="0"/>
    </w:pPr>
    <w:rPr>
      <w:rFonts w:cs="Arial"/>
      <w:szCs w:val="28"/>
    </w:rPr>
  </w:style>
  <w:style w:type="paragraph" w:customStyle="1" w:styleId="173">
    <w:name w:val="标准文件_附录标题"/>
    <w:basedOn w:val="79"/>
    <w:qFormat/>
    <w:uiPriority w:val="0"/>
    <w:pPr>
      <w:numPr>
        <w:numId w:val="0"/>
      </w:numPr>
      <w:spacing w:after="280"/>
      <w:outlineLvl w:val="9"/>
    </w:pPr>
  </w:style>
  <w:style w:type="paragraph" w:customStyle="1" w:styleId="174">
    <w:name w:val="标准文件_二级项"/>
    <w:qFormat/>
    <w:uiPriority w:val="0"/>
    <w:rPr>
      <w:rFonts w:ascii="宋体" w:hAnsi="Times New Roman" w:eastAsia="宋体" w:cs="Times New Roman"/>
      <w:sz w:val="21"/>
      <w:lang w:val="en-US" w:eastAsia="zh-CN" w:bidi="ar-SA"/>
    </w:rPr>
  </w:style>
  <w:style w:type="paragraph" w:customStyle="1" w:styleId="175">
    <w:name w:val="标准文件_三级项"/>
    <w:basedOn w:val="1"/>
    <w:qFormat/>
    <w:uiPriority w:val="0"/>
    <w:pPr>
      <w:numPr>
        <w:ilvl w:val="2"/>
        <w:numId w:val="21"/>
      </w:numPr>
      <w:spacing w:line="536870612" w:lineRule="auto"/>
    </w:pPr>
    <w:rPr>
      <w:rFonts w:ascii="Times New Roman" w:hAnsi="Times New Roman"/>
    </w:rPr>
  </w:style>
  <w:style w:type="paragraph" w:customStyle="1" w:styleId="176">
    <w:name w:val="图表脚注说明"/>
    <w:basedOn w:val="1"/>
    <w:next w:val="59"/>
    <w:qFormat/>
    <w:uiPriority w:val="0"/>
    <w:pPr>
      <w:numPr>
        <w:ilvl w:val="0"/>
        <w:numId w:val="25"/>
      </w:numPr>
      <w:adjustRightInd/>
      <w:spacing w:line="240" w:lineRule="auto"/>
    </w:pPr>
    <w:rPr>
      <w:rFonts w:ascii="宋体" w:hAnsi="Times New Roman"/>
      <w:sz w:val="18"/>
      <w:szCs w:val="18"/>
    </w:rPr>
  </w:style>
  <w:style w:type="paragraph" w:customStyle="1" w:styleId="177">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8">
    <w:name w:val="标准文件_索引字母"/>
    <w:next w:val="59"/>
    <w:qFormat/>
    <w:uiPriority w:val="0"/>
    <w:pPr>
      <w:jc w:val="center"/>
    </w:pPr>
    <w:rPr>
      <w:rFonts w:ascii="宋体" w:hAnsi="宋体" w:eastAsia="Times New Roman" w:cs="Times New Roman"/>
      <w:b/>
      <w:kern w:val="2"/>
      <w:sz w:val="21"/>
      <w:lang w:val="en-US" w:eastAsia="zh-CN" w:bidi="ar-SA"/>
    </w:rPr>
  </w:style>
  <w:style w:type="paragraph" w:customStyle="1" w:styleId="179">
    <w:name w:val="标准文件_附录前"/>
    <w:next w:val="59"/>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0">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1">
    <w:name w:val="标准文件_表格"/>
    <w:basedOn w:val="59"/>
    <w:qFormat/>
    <w:uiPriority w:val="0"/>
    <w:pPr>
      <w:ind w:firstLine="0" w:firstLineChars="0"/>
      <w:jc w:val="center"/>
    </w:pPr>
    <w:rPr>
      <w:sz w:val="18"/>
    </w:rPr>
  </w:style>
  <w:style w:type="paragraph" w:customStyle="1" w:styleId="182">
    <w:name w:val="标准文件_注："/>
    <w:next w:val="59"/>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示例："/>
    <w:next w:val="185"/>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5">
    <w:name w:val="标准文件_示例内容"/>
    <w:basedOn w:val="59"/>
    <w:qFormat/>
    <w:uiPriority w:val="0"/>
    <w:pPr>
      <w:ind w:firstLine="420"/>
    </w:pPr>
    <w:rPr>
      <w:sz w:val="18"/>
    </w:rPr>
  </w:style>
  <w:style w:type="paragraph" w:customStyle="1" w:styleId="186">
    <w:name w:val="标准文件_示例×："/>
    <w:basedOn w:val="1"/>
    <w:next w:val="185"/>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7">
    <w:name w:val="标准文件_段 Char"/>
    <w:link w:val="59"/>
    <w:qFormat/>
    <w:uiPriority w:val="0"/>
    <w:rPr>
      <w:rFonts w:ascii="宋体" w:hAnsi="Times New Roman"/>
      <w:sz w:val="21"/>
    </w:rPr>
  </w:style>
  <w:style w:type="paragraph" w:customStyle="1" w:styleId="188">
    <w:name w:val="标准文件_表格续"/>
    <w:basedOn w:val="59"/>
    <w:next w:val="59"/>
    <w:qFormat/>
    <w:uiPriority w:val="0"/>
    <w:pPr>
      <w:jc w:val="center"/>
    </w:pPr>
    <w:rPr>
      <w:rFonts w:ascii="黑体" w:hAnsi="黑体" w:eastAsia="黑体"/>
    </w:rPr>
  </w:style>
  <w:style w:type="character" w:styleId="189">
    <w:name w:val="Placeholder Text"/>
    <w:basedOn w:val="30"/>
    <w:semiHidden/>
    <w:qFormat/>
    <w:uiPriority w:val="99"/>
    <w:rPr>
      <w:color w:val="808080"/>
    </w:rPr>
  </w:style>
  <w:style w:type="paragraph" w:customStyle="1" w:styleId="190">
    <w:name w:val="标准文件_二级项2"/>
    <w:basedOn w:val="59"/>
    <w:qFormat/>
    <w:uiPriority w:val="0"/>
    <w:pPr>
      <w:numPr>
        <w:ilvl w:val="1"/>
        <w:numId w:val="21"/>
      </w:numPr>
      <w:ind w:firstLine="0" w:firstLineChars="0"/>
    </w:pPr>
  </w:style>
  <w:style w:type="paragraph" w:customStyle="1" w:styleId="191">
    <w:name w:val="标准文件_三级项2"/>
    <w:basedOn w:val="59"/>
    <w:qFormat/>
    <w:uiPriority w:val="0"/>
    <w:pPr>
      <w:numPr>
        <w:ilvl w:val="0"/>
        <w:numId w:val="30"/>
      </w:numPr>
      <w:spacing w:line="300" w:lineRule="exact"/>
      <w:ind w:firstLineChars="0"/>
    </w:pPr>
    <w:rPr>
      <w:rFonts w:ascii="Times New Roman"/>
    </w:rPr>
  </w:style>
  <w:style w:type="paragraph" w:customStyle="1" w:styleId="192">
    <w:name w:val="标准文件_一级项2"/>
    <w:basedOn w:val="59"/>
    <w:qFormat/>
    <w:uiPriority w:val="0"/>
    <w:pPr>
      <w:numPr>
        <w:ilvl w:val="0"/>
        <w:numId w:val="31"/>
      </w:numPr>
      <w:spacing w:line="300" w:lineRule="exact"/>
      <w:ind w:firstLineChars="0"/>
    </w:pPr>
    <w:rPr>
      <w:rFonts w:ascii="Times New Roman"/>
    </w:rPr>
  </w:style>
  <w:style w:type="paragraph" w:customStyle="1" w:styleId="193">
    <w:name w:val="标准文件_提示"/>
    <w:basedOn w:val="59"/>
    <w:next w:val="59"/>
    <w:qFormat/>
    <w:uiPriority w:val="0"/>
    <w:pPr>
      <w:ind w:firstLine="420"/>
    </w:pPr>
    <w:rPr>
      <w:rFonts w:ascii="黑体" w:eastAsia="黑体"/>
    </w:rPr>
  </w:style>
  <w:style w:type="character" w:customStyle="1" w:styleId="194">
    <w:name w:val="标准文件_来源"/>
    <w:basedOn w:val="30"/>
    <w:qFormat/>
    <w:uiPriority w:val="1"/>
    <w:rPr>
      <w:rFonts w:eastAsia="宋体"/>
      <w:sz w:val="21"/>
    </w:rPr>
  </w:style>
  <w:style w:type="paragraph" w:customStyle="1" w:styleId="195">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6">
    <w:name w:val="其他发布日期"/>
    <w:basedOn w:val="123"/>
    <w:qFormat/>
    <w:uiPriority w:val="0"/>
    <w:pPr>
      <w:framePr w:w="3997" w:h="471" w:hRule="exact" w:hSpace="0" w:vSpace="181" w:vAnchor="page" w:hAnchor="page" w:x="1419" w:y="14097"/>
    </w:pPr>
  </w:style>
  <w:style w:type="paragraph" w:customStyle="1" w:styleId="197">
    <w:name w:val="其他实施日期"/>
    <w:basedOn w:val="157"/>
    <w:qFormat/>
    <w:uiPriority w:val="0"/>
    <w:pPr>
      <w:framePr w:w="3997" w:h="471" w:hRule="exact" w:vSpace="181" w:vAnchor="page" w:hAnchor="page" w:x="7089" w:y="14097"/>
    </w:pPr>
  </w:style>
  <w:style w:type="paragraph" w:customStyle="1" w:styleId="198">
    <w:name w:val="标准文件_文件编号"/>
    <w:basedOn w:val="59"/>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9">
    <w:name w:val="标准文件_替换文件编号"/>
    <w:basedOn w:val="198"/>
    <w:qFormat/>
    <w:uiPriority w:val="0"/>
    <w:pPr>
      <w:framePr/>
      <w:spacing w:before="57"/>
    </w:pPr>
    <w:rPr>
      <w:sz w:val="21"/>
    </w:rPr>
  </w:style>
  <w:style w:type="paragraph" w:customStyle="1" w:styleId="200">
    <w:name w:val="标准文件_文件名称"/>
    <w:basedOn w:val="59"/>
    <w:next w:val="59"/>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1">
    <w:name w:val="标准文件_附录图标号"/>
    <w:basedOn w:val="59"/>
    <w:next w:val="59"/>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2">
    <w:name w:val="标准文件_附录表标号"/>
    <w:basedOn w:val="59"/>
    <w:next w:val="59"/>
    <w:qFormat/>
    <w:uiPriority w:val="0"/>
    <w:pPr>
      <w:numPr>
        <w:ilvl w:val="0"/>
        <w:numId w:val="5"/>
      </w:numPr>
      <w:spacing w:line="14" w:lineRule="exact"/>
      <w:ind w:firstLine="0" w:firstLineChars="0"/>
      <w:jc w:val="center"/>
    </w:pPr>
    <w:rPr>
      <w:rFonts w:eastAsia="黑体"/>
      <w:vanish/>
      <w:sz w:val="2"/>
    </w:rPr>
  </w:style>
  <w:style w:type="paragraph" w:customStyle="1" w:styleId="203">
    <w:name w:val="标准文件_引言一级条标题"/>
    <w:basedOn w:val="59"/>
    <w:next w:val="59"/>
    <w:qFormat/>
    <w:uiPriority w:val="0"/>
    <w:pPr>
      <w:numPr>
        <w:ilvl w:val="1"/>
        <w:numId w:val="8"/>
      </w:numPr>
      <w:spacing w:before="50" w:beforeLines="50" w:after="50" w:afterLines="50"/>
      <w:ind w:firstLineChars="0"/>
    </w:pPr>
    <w:rPr>
      <w:rFonts w:ascii="黑体" w:eastAsia="黑体"/>
    </w:rPr>
  </w:style>
  <w:style w:type="paragraph" w:customStyle="1" w:styleId="204">
    <w:name w:val="标准文件_引言二级条标题"/>
    <w:basedOn w:val="59"/>
    <w:next w:val="59"/>
    <w:qFormat/>
    <w:uiPriority w:val="0"/>
    <w:pPr>
      <w:numPr>
        <w:ilvl w:val="2"/>
        <w:numId w:val="8"/>
      </w:numPr>
      <w:spacing w:before="50" w:beforeLines="50" w:after="50" w:afterLines="50"/>
      <w:ind w:firstLineChars="0"/>
    </w:pPr>
    <w:rPr>
      <w:rFonts w:ascii="黑体" w:eastAsia="黑体"/>
    </w:rPr>
  </w:style>
  <w:style w:type="paragraph" w:customStyle="1" w:styleId="205">
    <w:name w:val="标准文件_引言三级条标题"/>
    <w:basedOn w:val="59"/>
    <w:next w:val="59"/>
    <w:qFormat/>
    <w:uiPriority w:val="0"/>
    <w:pPr>
      <w:numPr>
        <w:ilvl w:val="3"/>
        <w:numId w:val="8"/>
      </w:numPr>
      <w:spacing w:before="50" w:beforeLines="50" w:after="50" w:afterLines="50"/>
      <w:ind w:firstLineChars="0"/>
    </w:pPr>
    <w:rPr>
      <w:rFonts w:ascii="黑体" w:eastAsia="黑体"/>
    </w:rPr>
  </w:style>
  <w:style w:type="paragraph" w:customStyle="1" w:styleId="206">
    <w:name w:val="标准文件_引言四级条标题"/>
    <w:basedOn w:val="59"/>
    <w:next w:val="59"/>
    <w:qFormat/>
    <w:uiPriority w:val="0"/>
    <w:pPr>
      <w:numPr>
        <w:ilvl w:val="4"/>
        <w:numId w:val="8"/>
      </w:numPr>
      <w:spacing w:before="50" w:beforeLines="50" w:after="50" w:afterLines="50"/>
      <w:ind w:firstLineChars="0"/>
    </w:pPr>
    <w:rPr>
      <w:rFonts w:ascii="黑体" w:eastAsia="黑体"/>
    </w:rPr>
  </w:style>
  <w:style w:type="paragraph" w:customStyle="1" w:styleId="207">
    <w:name w:val="标准文件_引言五级条标题"/>
    <w:basedOn w:val="59"/>
    <w:next w:val="59"/>
    <w:qFormat/>
    <w:uiPriority w:val="0"/>
    <w:pPr>
      <w:numPr>
        <w:ilvl w:val="5"/>
        <w:numId w:val="8"/>
      </w:numPr>
      <w:spacing w:before="50" w:beforeLines="50" w:after="50" w:afterLines="50"/>
      <w:ind w:firstLineChars="0"/>
    </w:pPr>
    <w:rPr>
      <w:rFonts w:ascii="黑体" w:eastAsia="黑体"/>
    </w:rPr>
  </w:style>
  <w:style w:type="paragraph" w:customStyle="1" w:styleId="208">
    <w:name w:val="标准文件_注后"/>
    <w:basedOn w:val="59"/>
    <w:qFormat/>
    <w:uiPriority w:val="0"/>
    <w:pPr>
      <w:ind w:left="811" w:firstLine="0" w:firstLineChars="0"/>
    </w:pPr>
    <w:rPr>
      <w:sz w:val="18"/>
    </w:rPr>
  </w:style>
  <w:style w:type="paragraph" w:customStyle="1" w:styleId="209">
    <w:name w:val="标准文件_注X后"/>
    <w:basedOn w:val="59"/>
    <w:qFormat/>
    <w:uiPriority w:val="0"/>
    <w:pPr>
      <w:ind w:left="811" w:firstLine="0" w:firstLineChars="0"/>
    </w:pPr>
    <w:rPr>
      <w:sz w:val="18"/>
    </w:rPr>
  </w:style>
  <w:style w:type="paragraph" w:customStyle="1" w:styleId="210">
    <w:name w:val="标准文件_示例后"/>
    <w:basedOn w:val="59"/>
    <w:qFormat/>
    <w:uiPriority w:val="0"/>
    <w:pPr>
      <w:ind w:left="964" w:firstLine="0" w:firstLineChars="0"/>
    </w:pPr>
    <w:rPr>
      <w:sz w:val="18"/>
    </w:rPr>
  </w:style>
  <w:style w:type="paragraph" w:customStyle="1" w:styleId="211">
    <w:name w:val="标准文件_示例X后"/>
    <w:basedOn w:val="59"/>
    <w:link w:val="212"/>
    <w:qFormat/>
    <w:uiPriority w:val="0"/>
    <w:pPr>
      <w:ind w:left="1049" w:firstLine="0" w:firstLineChars="0"/>
    </w:pPr>
    <w:rPr>
      <w:sz w:val="18"/>
    </w:rPr>
  </w:style>
  <w:style w:type="character" w:customStyle="1" w:styleId="212">
    <w:name w:val="标准文件_示例X后 字符"/>
    <w:basedOn w:val="187"/>
    <w:link w:val="211"/>
    <w:qFormat/>
    <w:uiPriority w:val="0"/>
    <w:rPr>
      <w:rFonts w:ascii="宋体" w:hAnsi="Times New Roman"/>
      <w:sz w:val="18"/>
    </w:rPr>
  </w:style>
  <w:style w:type="paragraph" w:customStyle="1" w:styleId="213">
    <w:name w:val="标准文件_索引项"/>
    <w:basedOn w:val="59"/>
    <w:next w:val="59"/>
    <w:qFormat/>
    <w:uiPriority w:val="0"/>
    <w:pPr>
      <w:tabs>
        <w:tab w:val="right" w:leader="dot" w:pos="9356"/>
      </w:tabs>
      <w:ind w:left="210" w:hanging="210" w:firstLineChars="0"/>
      <w:jc w:val="left"/>
    </w:pPr>
  </w:style>
  <w:style w:type="paragraph" w:customStyle="1" w:styleId="214">
    <w:name w:val="标准文件_附录一级无标题"/>
    <w:basedOn w:val="81"/>
    <w:qFormat/>
    <w:uiPriority w:val="0"/>
    <w:pPr>
      <w:spacing w:before="0" w:beforeLines="0" w:after="0" w:afterLines="0" w:line="276" w:lineRule="auto"/>
      <w:outlineLvl w:val="9"/>
    </w:pPr>
    <w:rPr>
      <w:rFonts w:ascii="宋体" w:eastAsia="宋体"/>
    </w:rPr>
  </w:style>
  <w:style w:type="paragraph" w:customStyle="1" w:styleId="215">
    <w:name w:val="标准文件_附录二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三级无标题"/>
    <w:basedOn w:val="84"/>
    <w:qFormat/>
    <w:uiPriority w:val="0"/>
    <w:pPr>
      <w:spacing w:before="0" w:beforeLines="0" w:after="0" w:afterLines="0" w:line="276" w:lineRule="auto"/>
      <w:outlineLvl w:val="9"/>
    </w:pPr>
    <w:rPr>
      <w:rFonts w:ascii="宋体" w:eastAsia="宋体"/>
    </w:rPr>
  </w:style>
  <w:style w:type="paragraph" w:customStyle="1" w:styleId="217">
    <w:name w:val="标准文件_附录四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五级无标题"/>
    <w:basedOn w:val="87"/>
    <w:qFormat/>
    <w:uiPriority w:val="0"/>
    <w:pPr>
      <w:spacing w:before="0" w:beforeLines="0" w:after="0" w:afterLines="0" w:line="276" w:lineRule="auto"/>
      <w:outlineLvl w:val="9"/>
    </w:pPr>
    <w:rPr>
      <w:rFonts w:ascii="宋体" w:eastAsia="宋体"/>
    </w:rPr>
  </w:style>
  <w:style w:type="paragraph" w:customStyle="1" w:styleId="219">
    <w:name w:val="标准文件_引言一级无标题"/>
    <w:basedOn w:val="203"/>
    <w:next w:val="59"/>
    <w:qFormat/>
    <w:uiPriority w:val="0"/>
    <w:pPr>
      <w:spacing w:before="0" w:beforeLines="0" w:after="0" w:afterLines="0" w:line="276" w:lineRule="auto"/>
    </w:pPr>
    <w:rPr>
      <w:rFonts w:ascii="宋体" w:eastAsia="宋体"/>
    </w:rPr>
  </w:style>
  <w:style w:type="paragraph" w:customStyle="1" w:styleId="220">
    <w:name w:val="标准文件_引言二级无标题"/>
    <w:basedOn w:val="204"/>
    <w:next w:val="59"/>
    <w:qFormat/>
    <w:uiPriority w:val="0"/>
    <w:pPr>
      <w:spacing w:before="0" w:beforeLines="0" w:after="0" w:afterLines="0" w:line="276" w:lineRule="auto"/>
    </w:pPr>
    <w:rPr>
      <w:rFonts w:ascii="宋体" w:eastAsia="宋体"/>
    </w:rPr>
  </w:style>
  <w:style w:type="paragraph" w:customStyle="1" w:styleId="221">
    <w:name w:val="标准文件_引言三级无标题"/>
    <w:basedOn w:val="205"/>
    <w:qFormat/>
    <w:uiPriority w:val="0"/>
    <w:pPr>
      <w:spacing w:before="0" w:beforeLines="0" w:after="0" w:afterLines="0" w:line="276" w:lineRule="auto"/>
    </w:pPr>
    <w:rPr>
      <w:rFonts w:ascii="宋体" w:eastAsia="宋体"/>
    </w:rPr>
  </w:style>
  <w:style w:type="paragraph" w:customStyle="1" w:styleId="222">
    <w:name w:val="标准文件_引言四级无标题"/>
    <w:basedOn w:val="206"/>
    <w:next w:val="59"/>
    <w:qFormat/>
    <w:uiPriority w:val="0"/>
    <w:pPr>
      <w:spacing w:before="0" w:beforeLines="0" w:after="0" w:afterLines="0" w:line="276" w:lineRule="auto"/>
    </w:pPr>
    <w:rPr>
      <w:rFonts w:ascii="宋体" w:eastAsia="宋体"/>
    </w:rPr>
  </w:style>
  <w:style w:type="paragraph" w:customStyle="1" w:styleId="223">
    <w:name w:val="标准文件_引言五级无标题"/>
    <w:basedOn w:val="207"/>
    <w:next w:val="59"/>
    <w:qFormat/>
    <w:uiPriority w:val="0"/>
    <w:pPr>
      <w:spacing w:before="0" w:beforeLines="0" w:after="0" w:afterLines="0" w:line="276" w:lineRule="auto"/>
    </w:pPr>
    <w:rPr>
      <w:rFonts w:ascii="宋体" w:eastAsia="宋体"/>
    </w:rPr>
  </w:style>
  <w:style w:type="paragraph" w:customStyle="1" w:styleId="224">
    <w:name w:val="标准文件_索引标题"/>
    <w:basedOn w:val="66"/>
    <w:next w:val="59"/>
    <w:qFormat/>
    <w:uiPriority w:val="0"/>
    <w:rPr>
      <w:rFonts w:hAnsi="黑体"/>
    </w:rPr>
  </w:style>
  <w:style w:type="paragraph" w:customStyle="1" w:styleId="225">
    <w:name w:val="标准文件_脚注内容"/>
    <w:basedOn w:val="59"/>
    <w:qFormat/>
    <w:uiPriority w:val="0"/>
    <w:pPr>
      <w:ind w:left="400" w:leftChars="200" w:hanging="200" w:hangingChars="200"/>
    </w:pPr>
    <w:rPr>
      <w:sz w:val="15"/>
    </w:rPr>
  </w:style>
  <w:style w:type="paragraph" w:customStyle="1" w:styleId="226">
    <w:name w:val="标准文件_术语条一"/>
    <w:basedOn w:val="165"/>
    <w:next w:val="59"/>
    <w:qFormat/>
    <w:uiPriority w:val="0"/>
  </w:style>
  <w:style w:type="paragraph" w:customStyle="1" w:styleId="227">
    <w:name w:val="标准文件_术语条二"/>
    <w:basedOn w:val="168"/>
    <w:next w:val="59"/>
    <w:qFormat/>
    <w:uiPriority w:val="0"/>
  </w:style>
  <w:style w:type="paragraph" w:customStyle="1" w:styleId="228">
    <w:name w:val="标准文件_术语条三"/>
    <w:basedOn w:val="167"/>
    <w:next w:val="59"/>
    <w:qFormat/>
    <w:uiPriority w:val="0"/>
  </w:style>
  <w:style w:type="paragraph" w:customStyle="1" w:styleId="229">
    <w:name w:val="标准文件_术语条四"/>
    <w:basedOn w:val="170"/>
    <w:next w:val="59"/>
    <w:qFormat/>
    <w:uiPriority w:val="0"/>
  </w:style>
  <w:style w:type="paragraph" w:customStyle="1" w:styleId="230">
    <w:name w:val="标准文件_术语条五"/>
    <w:basedOn w:val="166"/>
    <w:next w:val="59"/>
    <w:qFormat/>
    <w:uiPriority w:val="0"/>
  </w:style>
  <w:style w:type="paragraph" w:customStyle="1" w:styleId="23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2">
    <w:name w:val="发布"/>
    <w:basedOn w:val="30"/>
    <w:qFormat/>
    <w:uiPriority w:val="0"/>
    <w:rPr>
      <w:rFonts w:ascii="黑体" w:eastAsia="黑体"/>
      <w:spacing w:val="85"/>
      <w:w w:val="100"/>
      <w:position w:val="3"/>
      <w:sz w:val="28"/>
      <w:szCs w:val="28"/>
    </w:rPr>
  </w:style>
  <w:style w:type="character" w:customStyle="1" w:styleId="233">
    <w:name w:val="批注文字 Char"/>
    <w:basedOn w:val="30"/>
    <w:link w:val="14"/>
    <w:semiHidden/>
    <w:qFormat/>
    <w:uiPriority w:val="99"/>
    <w:rPr>
      <w:kern w:val="2"/>
      <w:sz w:val="21"/>
      <w:szCs w:val="21"/>
    </w:rPr>
  </w:style>
  <w:style w:type="table" w:customStyle="1" w:styleId="234">
    <w:name w:val="Table Normal"/>
    <w:semiHidden/>
    <w:unhideWhenUsed/>
    <w:qFormat/>
    <w:uiPriority w:val="0"/>
    <w:rPr>
      <w:rFonts w:asciiTheme="minorHAnsi" w:hAnsiTheme="minorHAnsi" w:eastAsiaTheme="minorEastAsia" w:cstheme="minorBidi"/>
    </w:rPr>
    <w:tblPr>
      <w:tblCellMar>
        <w:top w:w="0" w:type="dxa"/>
        <w:left w:w="0" w:type="dxa"/>
        <w:bottom w:w="0" w:type="dxa"/>
        <w:right w:w="0" w:type="dxa"/>
      </w:tblCellMar>
    </w:tblPr>
  </w:style>
  <w:style w:type="paragraph" w:customStyle="1" w:styleId="235">
    <w:name w:val="Table Text"/>
    <w:basedOn w:val="1"/>
    <w:semiHidden/>
    <w:qFormat/>
    <w:uiPriority w:val="0"/>
    <w:pPr>
      <w:adjustRightInd/>
      <w:spacing w:line="240" w:lineRule="auto"/>
    </w:pPr>
    <w:rPr>
      <w:rFonts w:ascii="Arial" w:hAnsi="Arial" w:eastAsia="Arial" w:cs="Arial"/>
      <w:lang w:eastAsia="en-US"/>
    </w:rPr>
  </w:style>
  <w:style w:type="paragraph" w:customStyle="1" w:styleId="236">
    <w:name w:val="修订1"/>
    <w:hidden/>
    <w:semiHidden/>
    <w:qFormat/>
    <w:uiPriority w:val="99"/>
    <w:rPr>
      <w:rFonts w:ascii="Calibri" w:hAnsi="Calibri" w:eastAsia="宋体" w:cs="Times New Roman"/>
      <w:kern w:val="2"/>
      <w:sz w:val="21"/>
      <w:szCs w:val="21"/>
      <w:lang w:val="en-US" w:eastAsia="zh-CN" w:bidi="ar-SA"/>
    </w:rPr>
  </w:style>
  <w:style w:type="character" w:customStyle="1" w:styleId="237">
    <w:name w:val="批注主题 Char"/>
    <w:basedOn w:val="233"/>
    <w:link w:val="27"/>
    <w:semiHidden/>
    <w:qFormat/>
    <w:uiPriority w:val="99"/>
    <w:rPr>
      <w:b/>
      <w:bCs/>
      <w:kern w:val="2"/>
      <w:sz w:val="21"/>
      <w:szCs w:val="21"/>
    </w:rPr>
  </w:style>
  <w:style w:type="paragraph" w:customStyle="1" w:styleId="238">
    <w:name w:val="修订2"/>
    <w:hidden/>
    <w:unhideWhenUsed/>
    <w:qFormat/>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6" Type="http://schemas.openxmlformats.org/officeDocument/2006/relationships/glossaryDocument" Target="glossary/document.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33.jpeg"/><Relationship Id="rId71" Type="http://schemas.openxmlformats.org/officeDocument/2006/relationships/image" Target="media/image32.jpeg"/><Relationship Id="rId70" Type="http://schemas.openxmlformats.org/officeDocument/2006/relationships/image" Target="media/image31.jpeg"/><Relationship Id="rId7" Type="http://schemas.openxmlformats.org/officeDocument/2006/relationships/header" Target="header3.xml"/><Relationship Id="rId69" Type="http://schemas.openxmlformats.org/officeDocument/2006/relationships/image" Target="media/image30.jpeg"/><Relationship Id="rId68" Type="http://schemas.openxmlformats.org/officeDocument/2006/relationships/image" Target="media/image29.jpeg"/><Relationship Id="rId67" Type="http://schemas.openxmlformats.org/officeDocument/2006/relationships/image" Target="media/image28.jpeg"/><Relationship Id="rId66" Type="http://schemas.openxmlformats.org/officeDocument/2006/relationships/image" Target="media/image27.jpeg"/><Relationship Id="rId65" Type="http://schemas.openxmlformats.org/officeDocument/2006/relationships/image" Target="media/image26.jpeg"/><Relationship Id="rId64" Type="http://schemas.openxmlformats.org/officeDocument/2006/relationships/image" Target="media/image25.jpeg"/><Relationship Id="rId63" Type="http://schemas.openxmlformats.org/officeDocument/2006/relationships/image" Target="media/image24.png"/><Relationship Id="rId62" Type="http://schemas.openxmlformats.org/officeDocument/2006/relationships/image" Target="media/image23.png"/><Relationship Id="rId61" Type="http://schemas.openxmlformats.org/officeDocument/2006/relationships/image" Target="media/image22.png"/><Relationship Id="rId60" Type="http://schemas.openxmlformats.org/officeDocument/2006/relationships/image" Target="media/image21.png"/><Relationship Id="rId6" Type="http://schemas.openxmlformats.org/officeDocument/2006/relationships/header" Target="header2.xml"/><Relationship Id="rId59" Type="http://schemas.openxmlformats.org/officeDocument/2006/relationships/image" Target="media/image20.png"/><Relationship Id="rId58" Type="http://schemas.openxmlformats.org/officeDocument/2006/relationships/image" Target="media/image19.png"/><Relationship Id="rId57" Type="http://schemas.openxmlformats.org/officeDocument/2006/relationships/image" Target="media/image18.jpeg"/><Relationship Id="rId56" Type="http://schemas.openxmlformats.org/officeDocument/2006/relationships/image" Target="media/image17.jpeg"/><Relationship Id="rId55" Type="http://schemas.openxmlformats.org/officeDocument/2006/relationships/image" Target="media/image16.jpeg"/><Relationship Id="rId54" Type="http://schemas.openxmlformats.org/officeDocument/2006/relationships/image" Target="media/image15.jpeg"/><Relationship Id="rId53" Type="http://schemas.openxmlformats.org/officeDocument/2006/relationships/image" Target="media/image14.jpeg"/><Relationship Id="rId52" Type="http://schemas.openxmlformats.org/officeDocument/2006/relationships/image" Target="media/image13.jpeg"/><Relationship Id="rId51" Type="http://schemas.openxmlformats.org/officeDocument/2006/relationships/image" Target="media/image12.jpeg"/><Relationship Id="rId50" Type="http://schemas.openxmlformats.org/officeDocument/2006/relationships/image" Target="media/image11.jpeg"/><Relationship Id="rId5" Type="http://schemas.openxmlformats.org/officeDocument/2006/relationships/header" Target="header1.xml"/><Relationship Id="rId49" Type="http://schemas.openxmlformats.org/officeDocument/2006/relationships/image" Target="media/image10.jpeg"/><Relationship Id="rId48" Type="http://schemas.openxmlformats.org/officeDocument/2006/relationships/image" Target="media/image9.jpeg"/><Relationship Id="rId47" Type="http://schemas.openxmlformats.org/officeDocument/2006/relationships/image" Target="media/image8.jpeg"/><Relationship Id="rId46" Type="http://schemas.openxmlformats.org/officeDocument/2006/relationships/image" Target="media/image7.jpe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endnotes" Target="endnotes.xml"/><Relationship Id="rId39" Type="http://schemas.openxmlformats.org/officeDocument/2006/relationships/image" Target="media/image1.tiff"/><Relationship Id="rId38" Type="http://schemas.openxmlformats.org/officeDocument/2006/relationships/theme" Target="theme/theme1.xml"/><Relationship Id="rId37" Type="http://schemas.openxmlformats.org/officeDocument/2006/relationships/footer" Target="footer16.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scjgj/C:\Program%20Files%20(x86)\StandardEditor\template\&#22320;&#26041;&#26631;&#20934;.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842A69CB24249E983B8ECD3D53EBB89"/>
        <w:style w:val=""/>
        <w:category>
          <w:name w:val="常规"/>
          <w:gallery w:val="placeholder"/>
        </w:category>
        <w:types>
          <w:type w:val="bbPlcHdr"/>
        </w:types>
        <w:behaviors>
          <w:behavior w:val="content"/>
        </w:behaviors>
        <w:description w:val=""/>
        <w:guid w:val="{480189AD-53D1-4C90-BA91-43D770C42728}"/>
      </w:docPartPr>
      <w:docPartBody>
        <w:p>
          <w:pPr>
            <w:pStyle w:val="5"/>
          </w:pPr>
          <w:r>
            <w:rPr>
              <w:rStyle w:val="4"/>
              <w:rFonts w:hint="eastAsia"/>
            </w:rPr>
            <w:t>单击或点击此处输入文字。</w:t>
          </w:r>
        </w:p>
      </w:docPartBody>
    </w:docPart>
    <w:docPart>
      <w:docPartPr>
        <w:name w:val="2C65A197DB7444C9A038D79A1B043EBB"/>
        <w:style w:val=""/>
        <w:category>
          <w:name w:val="常规"/>
          <w:gallery w:val="placeholder"/>
        </w:category>
        <w:types>
          <w:type w:val="bbPlcHdr"/>
        </w:types>
        <w:behaviors>
          <w:behavior w:val="content"/>
        </w:behaviors>
        <w:description w:val=""/>
        <w:guid w:val="{082E9775-497B-416D-94AA-AF0113CC56AA}"/>
      </w:docPartPr>
      <w:docPartBody>
        <w:p>
          <w:pPr>
            <w:pStyle w:val="6"/>
          </w:pPr>
          <w:r>
            <w:rPr>
              <w:rStyle w:val="4"/>
              <w:rFonts w:hint="eastAsia"/>
            </w:rPr>
            <w:t>选择一项。</w:t>
          </w:r>
        </w:p>
      </w:docPartBody>
    </w:docPart>
    <w:docPart>
      <w:docPartPr>
        <w:name w:val="471C99C718A445E787911CB862C874B3"/>
        <w:style w:val=""/>
        <w:category>
          <w:name w:val="常规"/>
          <w:gallery w:val="placeholder"/>
        </w:category>
        <w:types>
          <w:type w:val="bbPlcHdr"/>
        </w:types>
        <w:behaviors>
          <w:behavior w:val="content"/>
        </w:behaviors>
        <w:description w:val=""/>
        <w:guid w:val="{CEDE4B91-B68E-4651-989B-9311B3133E84}"/>
      </w:docPartPr>
      <w:docPartBody>
        <w:p>
          <w:pPr>
            <w:pStyle w:val="7"/>
          </w:pPr>
          <w:r>
            <w:rPr>
              <w:rStyle w:val="4"/>
              <w:rFonts w:hint="eastAsia"/>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等线">
    <w:altName w:val="仿宋"/>
    <w:panose1 w:val="00000000000000000000"/>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true"/>
  <w:bordersDoNotSurroundFooter w:val="true"/>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757"/>
    <w:rsid w:val="00022466"/>
    <w:rsid w:val="00034A68"/>
    <w:rsid w:val="000449D7"/>
    <w:rsid w:val="00100A41"/>
    <w:rsid w:val="001B4F15"/>
    <w:rsid w:val="002A6C61"/>
    <w:rsid w:val="002D72F5"/>
    <w:rsid w:val="00362B36"/>
    <w:rsid w:val="00423A30"/>
    <w:rsid w:val="004563BC"/>
    <w:rsid w:val="00470184"/>
    <w:rsid w:val="004A3F95"/>
    <w:rsid w:val="00622C17"/>
    <w:rsid w:val="006445C7"/>
    <w:rsid w:val="00651211"/>
    <w:rsid w:val="0072187A"/>
    <w:rsid w:val="00805DAA"/>
    <w:rsid w:val="00811CB9"/>
    <w:rsid w:val="0083620E"/>
    <w:rsid w:val="008F4DCB"/>
    <w:rsid w:val="009915F5"/>
    <w:rsid w:val="009A3B85"/>
    <w:rsid w:val="009E0757"/>
    <w:rsid w:val="00A863DF"/>
    <w:rsid w:val="00AA3ABE"/>
    <w:rsid w:val="00B55FEC"/>
    <w:rsid w:val="00B77738"/>
    <w:rsid w:val="00B90688"/>
    <w:rsid w:val="00C70C7D"/>
    <w:rsid w:val="00D245B0"/>
    <w:rsid w:val="00DC0BD3"/>
    <w:rsid w:val="00DD3396"/>
    <w:rsid w:val="00ED7644"/>
    <w:rsid w:val="00F001DF"/>
    <w:rsid w:val="00F34B7B"/>
    <w:rsid w:val="00FE3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B842A69CB24249E983B8ECD3D53EBB8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2C65A197DB7444C9A038D79A1B043EB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471C99C718A445E787911CB862C874B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26</Pages>
  <Words>2204</Words>
  <Characters>12565</Characters>
  <Lines>104</Lines>
  <Paragraphs>29</Paragraphs>
  <TotalTime>0</TotalTime>
  <ScaleCrop>false</ScaleCrop>
  <LinksUpToDate>false</LinksUpToDate>
  <CharactersWithSpaces>14740</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2025-04-16T20:07:00Z</dcterms:created>
  <dc:creator>Administrator</dc:creator>
  <cp:lastModifiedBy>scjgj</cp:lastModifiedBy>
  <cp:lastPrinted>2025-05-12T11:36:00Z</cp:lastPrinted>
  <dcterms:modified xsi:type="dcterms:W3CDTF">2025-06-23T16:48:27Z</dcterms:modified>
  <dc:title>地方标准</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TemplateDocerSaveRecord">
    <vt:lpwstr>eyJoZGlkIjoiNGM3ZDUzNGVlZjgzMjQ0NjQ2NDZmYzdkM2NlZTQ0NjMiLCJ1c2VySWQiOiI0MjUzNTgzNTIifQ==</vt:lpwstr>
  </property>
  <property fmtid="{D5CDD505-2E9C-101B-9397-08002B2CF9AE}" pid="16" name="KSOProductBuildVer">
    <vt:lpwstr>2052-11.8.2.10386</vt:lpwstr>
  </property>
  <property fmtid="{D5CDD505-2E9C-101B-9397-08002B2CF9AE}" pid="17" name="ICV">
    <vt:lpwstr>9B59B3C288DD48E0987422F499466448_13</vt:lpwstr>
  </property>
</Properties>
</file>